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C66" w:rsidRDefault="00796C66">
      <w:pPr>
        <w:spacing w:line="360" w:lineRule="auto"/>
        <w:jc w:val="center"/>
        <w:rPr>
          <w:b/>
          <w:bCs/>
          <w:sz w:val="24"/>
        </w:rPr>
      </w:pPr>
    </w:p>
    <w:p w:rsidR="00796C66" w:rsidRDefault="00796C66">
      <w:pPr>
        <w:spacing w:line="360" w:lineRule="auto"/>
        <w:jc w:val="center"/>
        <w:rPr>
          <w:b/>
          <w:bCs/>
          <w:sz w:val="24"/>
        </w:rPr>
      </w:pPr>
    </w:p>
    <w:p w:rsidR="00796C66" w:rsidRDefault="00796C66">
      <w:pPr>
        <w:spacing w:line="360" w:lineRule="auto"/>
        <w:jc w:val="center"/>
        <w:rPr>
          <w:b/>
          <w:bCs/>
          <w:sz w:val="24"/>
        </w:rPr>
      </w:pPr>
    </w:p>
    <w:p w:rsidR="00796C66" w:rsidRDefault="00796C66">
      <w:pPr>
        <w:spacing w:line="360" w:lineRule="auto"/>
        <w:jc w:val="center"/>
        <w:rPr>
          <w:b/>
          <w:bCs/>
          <w:sz w:val="24"/>
        </w:rPr>
      </w:pPr>
    </w:p>
    <w:p w:rsidR="00796C66" w:rsidRDefault="00796C66">
      <w:pPr>
        <w:spacing w:before="120"/>
        <w:jc w:val="center"/>
        <w:rPr>
          <w:rFonts w:eastAsia="黑体"/>
          <w:b/>
          <w:sz w:val="44"/>
          <w:szCs w:val="44"/>
        </w:rPr>
      </w:pPr>
    </w:p>
    <w:p w:rsidR="00796C66" w:rsidRDefault="00FB6202">
      <w:pPr>
        <w:spacing w:before="120"/>
        <w:jc w:val="center"/>
        <w:rPr>
          <w:rFonts w:ascii="黑体" w:eastAsia="黑体" w:hAnsi="黑体" w:cs="黑体"/>
          <w:sz w:val="36"/>
          <w:szCs w:val="36"/>
        </w:rPr>
      </w:pPr>
      <w:r>
        <w:rPr>
          <w:rFonts w:ascii="黑体" w:eastAsia="黑体" w:hAnsi="黑体" w:cs="黑体" w:hint="eastAsia"/>
          <w:noProof/>
          <w:sz w:val="36"/>
          <w:szCs w:val="36"/>
        </w:rPr>
        <w:t>华商安远稳进一年持有期混合型基金中基金（</w:t>
      </w:r>
      <w:r>
        <w:rPr>
          <w:rFonts w:ascii="黑体" w:eastAsia="黑体" w:hAnsi="黑体" w:cs="黑体" w:hint="eastAsia"/>
          <w:noProof/>
          <w:sz w:val="36"/>
          <w:szCs w:val="36"/>
        </w:rPr>
        <w:t>FOF</w:t>
      </w:r>
      <w:r>
        <w:rPr>
          <w:rFonts w:ascii="黑体" w:eastAsia="黑体" w:hAnsi="黑体" w:cs="黑体" w:hint="eastAsia"/>
          <w:noProof/>
          <w:sz w:val="36"/>
          <w:szCs w:val="36"/>
        </w:rPr>
        <w:t>）</w:t>
      </w:r>
    </w:p>
    <w:p w:rsidR="00796C66" w:rsidRDefault="00FB6202">
      <w:pPr>
        <w:spacing w:before="120"/>
        <w:jc w:val="center"/>
        <w:rPr>
          <w:rFonts w:ascii="黑体" w:eastAsia="黑体" w:hAnsi="黑体" w:cs="黑体"/>
          <w:sz w:val="36"/>
          <w:szCs w:val="36"/>
        </w:rPr>
      </w:pPr>
      <w:r>
        <w:rPr>
          <w:rFonts w:ascii="黑体" w:eastAsia="黑体" w:hAnsi="黑体" w:cs="黑体" w:hint="eastAsia"/>
          <w:sz w:val="36"/>
          <w:szCs w:val="36"/>
        </w:rPr>
        <w:t>招募说明书</w:t>
      </w:r>
      <w:r>
        <w:rPr>
          <w:rFonts w:ascii="黑体" w:eastAsia="黑体" w:hAnsi="黑体" w:cs="黑体" w:hint="eastAsia"/>
          <w:sz w:val="36"/>
          <w:szCs w:val="36"/>
        </w:rPr>
        <w:t>更新</w:t>
      </w:r>
    </w:p>
    <w:p w:rsidR="00796C66" w:rsidRDefault="00FB6202">
      <w:pPr>
        <w:spacing w:before="120"/>
        <w:jc w:val="center"/>
        <w:rPr>
          <w:rFonts w:ascii="黑体" w:eastAsia="黑体" w:hAnsi="黑体" w:cs="黑体"/>
          <w:sz w:val="36"/>
          <w:szCs w:val="36"/>
        </w:rPr>
      </w:pPr>
      <w:r>
        <w:rPr>
          <w:rFonts w:ascii="黑体" w:eastAsia="黑体" w:hAnsi="黑体" w:cs="黑体" w:hint="eastAsia"/>
          <w:sz w:val="36"/>
          <w:szCs w:val="36"/>
        </w:rPr>
        <w:t>（</w:t>
      </w:r>
      <w:r>
        <w:rPr>
          <w:rFonts w:ascii="黑体" w:eastAsia="黑体" w:hAnsi="黑体" w:cs="黑体" w:hint="eastAsia"/>
          <w:noProof/>
          <w:sz w:val="36"/>
          <w:szCs w:val="36"/>
        </w:rPr>
        <w:t>2026</w:t>
      </w:r>
      <w:r>
        <w:rPr>
          <w:rFonts w:ascii="黑体" w:eastAsia="黑体" w:hAnsi="黑体" w:cs="黑体" w:hint="eastAsia"/>
          <w:noProof/>
          <w:sz w:val="36"/>
          <w:szCs w:val="36"/>
        </w:rPr>
        <w:t>年第</w:t>
      </w:r>
      <w:r>
        <w:rPr>
          <w:rFonts w:ascii="黑体" w:eastAsia="黑体" w:hAnsi="黑体" w:cs="黑体" w:hint="eastAsia"/>
          <w:noProof/>
          <w:sz w:val="36"/>
          <w:szCs w:val="36"/>
        </w:rPr>
        <w:t>2</w:t>
      </w:r>
      <w:r>
        <w:rPr>
          <w:rFonts w:ascii="黑体" w:eastAsia="黑体" w:hAnsi="黑体" w:cs="黑体" w:hint="eastAsia"/>
          <w:noProof/>
          <w:sz w:val="36"/>
          <w:szCs w:val="36"/>
        </w:rPr>
        <w:t>号</w:t>
      </w:r>
      <w:r>
        <w:rPr>
          <w:rFonts w:ascii="黑体" w:eastAsia="黑体" w:hAnsi="黑体" w:cs="黑体" w:hint="eastAsia"/>
          <w:sz w:val="36"/>
          <w:szCs w:val="36"/>
        </w:rPr>
        <w:t>）</w:t>
      </w:r>
    </w:p>
    <w:p w:rsidR="00796C66" w:rsidRDefault="00796C66">
      <w:pPr>
        <w:spacing w:before="120"/>
        <w:jc w:val="center"/>
        <w:rPr>
          <w:rFonts w:ascii="黑体" w:eastAsia="黑体" w:hAnsi="黑体" w:cs="黑体"/>
          <w:sz w:val="36"/>
          <w:szCs w:val="36"/>
        </w:rPr>
      </w:pPr>
    </w:p>
    <w:p w:rsidR="00796C66" w:rsidRDefault="00796C66">
      <w:pPr>
        <w:spacing w:before="120"/>
        <w:jc w:val="center"/>
        <w:rPr>
          <w:rFonts w:ascii="黑体" w:eastAsia="黑体" w:hAnsi="黑体" w:cs="黑体"/>
          <w:sz w:val="36"/>
          <w:szCs w:val="36"/>
        </w:rPr>
      </w:pPr>
    </w:p>
    <w:p w:rsidR="00796C66" w:rsidRDefault="00796C66">
      <w:pPr>
        <w:spacing w:before="120"/>
        <w:jc w:val="center"/>
        <w:rPr>
          <w:rFonts w:eastAsia="黑体"/>
          <w:b/>
          <w:spacing w:val="20"/>
          <w:sz w:val="4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796C66">
      <w:pPr>
        <w:pStyle w:val="a9"/>
        <w:jc w:val="center"/>
        <w:rPr>
          <w:rFonts w:ascii="Times New Roman" w:hAnsi="Times New Roman"/>
          <w:sz w:val="24"/>
        </w:rPr>
      </w:pPr>
    </w:p>
    <w:p w:rsidR="00796C66" w:rsidRDefault="00FB6202">
      <w:pPr>
        <w:pStyle w:val="a9"/>
        <w:spacing w:line="360" w:lineRule="auto"/>
        <w:jc w:val="center"/>
        <w:rPr>
          <w:rFonts w:ascii="黑体" w:eastAsia="黑体" w:hAnsi="黑体" w:cs="黑体"/>
          <w:sz w:val="28"/>
          <w:szCs w:val="28"/>
        </w:rPr>
      </w:pPr>
      <w:r>
        <w:rPr>
          <w:rFonts w:ascii="黑体" w:eastAsia="黑体" w:hAnsi="黑体" w:cs="黑体" w:hint="eastAsia"/>
          <w:sz w:val="28"/>
          <w:szCs w:val="28"/>
        </w:rPr>
        <w:t>基金管理人：</w:t>
      </w:r>
      <w:r>
        <w:rPr>
          <w:rFonts w:ascii="黑体" w:eastAsia="黑体" w:hAnsi="黑体" w:cs="黑体" w:hint="eastAsia"/>
          <w:noProof/>
          <w:sz w:val="28"/>
          <w:szCs w:val="28"/>
        </w:rPr>
        <w:t>华商基金管理有限公司</w:t>
      </w:r>
    </w:p>
    <w:p w:rsidR="00796C66" w:rsidRDefault="00FB6202">
      <w:pPr>
        <w:pStyle w:val="a9"/>
        <w:spacing w:line="360" w:lineRule="auto"/>
        <w:jc w:val="center"/>
        <w:rPr>
          <w:rFonts w:hAnsi="宋体"/>
          <w:sz w:val="28"/>
          <w:szCs w:val="28"/>
        </w:rPr>
      </w:pPr>
      <w:r>
        <w:rPr>
          <w:rFonts w:ascii="黑体" w:eastAsia="黑体" w:hAnsi="黑体" w:cs="黑体" w:hint="eastAsia"/>
          <w:sz w:val="28"/>
          <w:szCs w:val="28"/>
        </w:rPr>
        <w:t>基金托管人：</w:t>
      </w:r>
      <w:r>
        <w:rPr>
          <w:rFonts w:ascii="黑体" w:eastAsia="黑体" w:hAnsi="黑体" w:cs="黑体" w:hint="eastAsia"/>
          <w:noProof/>
          <w:sz w:val="28"/>
          <w:szCs w:val="28"/>
        </w:rPr>
        <w:t>平安银行股份有限公司</w:t>
      </w:r>
    </w:p>
    <w:p w:rsidR="00796C66" w:rsidRDefault="00796C66">
      <w:pPr>
        <w:pStyle w:val="aa"/>
        <w:jc w:val="center"/>
        <w:rPr>
          <w:rFonts w:ascii="Times New Roman" w:eastAsia="黑体" w:hAnsi="Times New Roman"/>
          <w:color w:val="auto"/>
          <w:sz w:val="28"/>
          <w:szCs w:val="28"/>
        </w:rPr>
      </w:pPr>
    </w:p>
    <w:p w:rsidR="00796C66" w:rsidRDefault="00796C66">
      <w:pPr>
        <w:pStyle w:val="a9"/>
        <w:jc w:val="center"/>
        <w:rPr>
          <w:rFonts w:ascii="Times New Roman" w:hAnsi="Times New Roman"/>
          <w:b/>
          <w:sz w:val="30"/>
          <w:u w:val="single"/>
        </w:rPr>
      </w:pPr>
    </w:p>
    <w:p w:rsidR="00796C66" w:rsidRDefault="00796C66">
      <w:pPr>
        <w:pStyle w:val="a9"/>
        <w:jc w:val="center"/>
        <w:rPr>
          <w:rFonts w:ascii="Times New Roman" w:hAnsi="Times New Roman"/>
          <w:b/>
          <w:sz w:val="30"/>
          <w:u w:val="single"/>
        </w:rPr>
      </w:pPr>
    </w:p>
    <w:p w:rsidR="00796C66" w:rsidRDefault="00FB6202">
      <w:pPr>
        <w:pStyle w:val="a9"/>
        <w:jc w:val="center"/>
        <w:rPr>
          <w:rFonts w:ascii="黑体" w:eastAsia="黑体" w:hAnsi="黑体" w:cs="黑体"/>
          <w:b/>
          <w:sz w:val="30"/>
        </w:rPr>
      </w:pPr>
      <w:r>
        <w:rPr>
          <w:rFonts w:ascii="黑体" w:eastAsia="黑体" w:hAnsi="黑体" w:cs="黑体" w:hint="eastAsia"/>
          <w:b/>
          <w:noProof/>
          <w:sz w:val="30"/>
        </w:rPr>
        <w:t>二〇二六年十月</w:t>
      </w:r>
    </w:p>
    <w:p w:rsidR="00796C66" w:rsidRDefault="00796C66">
      <w:pPr>
        <w:pStyle w:val="a9"/>
        <w:jc w:val="center"/>
        <w:rPr>
          <w:rFonts w:ascii="Times New Roman" w:hAnsi="Times New Roman"/>
          <w:b/>
          <w:sz w:val="30"/>
          <w:u w:val="single"/>
        </w:rPr>
      </w:pPr>
    </w:p>
    <w:p w:rsidR="00796C66" w:rsidRDefault="00796C66">
      <w:pPr>
        <w:pStyle w:val="a9"/>
        <w:jc w:val="center"/>
        <w:rPr>
          <w:rFonts w:ascii="Times New Roman" w:hAnsi="Times New Roman"/>
          <w:b/>
          <w:sz w:val="30"/>
          <w:u w:val="single"/>
        </w:rPr>
      </w:pPr>
    </w:p>
    <w:p w:rsidR="00796C66" w:rsidRDefault="00FB6202">
      <w:pPr>
        <w:pStyle w:val="ae"/>
        <w:outlineLvl w:val="0"/>
      </w:pPr>
      <w:r>
        <w:rPr>
          <w:sz w:val="30"/>
          <w:szCs w:val="20"/>
          <w:u w:val="single"/>
        </w:rPr>
        <w:br w:type="page"/>
      </w:r>
      <w:bookmarkStart w:id="0" w:name="_Toc256000000"/>
      <w:r>
        <w:rPr>
          <w:noProof/>
        </w:rPr>
        <w:lastRenderedPageBreak/>
        <w:t>重要提示</w:t>
      </w:r>
      <w:bookmarkEnd w:id="0"/>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华商安远稳进一年持有期混合型基金中基金</w:t>
      </w:r>
      <w:r>
        <w:rPr>
          <w:rFonts w:ascii="宋体" w:hAnsi="宋体" w:cs="宋体"/>
          <w:kern w:val="0"/>
          <w:szCs w:val="21"/>
        </w:rPr>
        <w:t>(FOF)</w:t>
      </w:r>
      <w:r>
        <w:rPr>
          <w:rFonts w:ascii="宋体" w:hAnsi="宋体" w:cs="宋体"/>
          <w:kern w:val="0"/>
          <w:szCs w:val="21"/>
        </w:rPr>
        <w:t>（以下简称</w:t>
      </w:r>
      <w:r>
        <w:rPr>
          <w:rFonts w:ascii="宋体" w:hAnsi="宋体" w:cs="宋体"/>
          <w:kern w:val="0"/>
          <w:szCs w:val="21"/>
        </w:rPr>
        <w:t>“</w:t>
      </w:r>
      <w:r>
        <w:rPr>
          <w:rFonts w:ascii="宋体" w:hAnsi="宋体" w:cs="宋体"/>
          <w:kern w:val="0"/>
          <w:szCs w:val="21"/>
        </w:rPr>
        <w:t>本基金</w:t>
      </w:r>
      <w:r>
        <w:rPr>
          <w:rFonts w:ascii="宋体" w:hAnsi="宋体" w:cs="宋体"/>
          <w:kern w:val="0"/>
          <w:szCs w:val="21"/>
        </w:rPr>
        <w:t>”</w:t>
      </w:r>
      <w:r>
        <w:rPr>
          <w:rFonts w:ascii="宋体" w:hAnsi="宋体" w:cs="宋体"/>
          <w:kern w:val="0"/>
          <w:szCs w:val="21"/>
        </w:rPr>
        <w:t>）经中国证监会</w:t>
      </w:r>
      <w:r>
        <w:rPr>
          <w:rFonts w:ascii="宋体" w:hAnsi="宋体" w:cs="宋体"/>
          <w:kern w:val="0"/>
          <w:szCs w:val="21"/>
        </w:rPr>
        <w:t>2022</w:t>
      </w:r>
      <w:r>
        <w:rPr>
          <w:rFonts w:ascii="宋体" w:hAnsi="宋体" w:cs="宋体"/>
          <w:kern w:val="0"/>
          <w:szCs w:val="21"/>
        </w:rPr>
        <w:t>年</w:t>
      </w:r>
      <w:r>
        <w:rPr>
          <w:rFonts w:ascii="宋体" w:hAnsi="宋体" w:cs="宋体"/>
          <w:kern w:val="0"/>
          <w:szCs w:val="21"/>
        </w:rPr>
        <w:t>6</w:t>
      </w:r>
      <w:r>
        <w:rPr>
          <w:rFonts w:ascii="宋体" w:hAnsi="宋体" w:cs="宋体"/>
          <w:kern w:val="0"/>
          <w:szCs w:val="21"/>
        </w:rPr>
        <w:t>月</w:t>
      </w:r>
      <w:r>
        <w:rPr>
          <w:rFonts w:ascii="宋体" w:hAnsi="宋体" w:cs="宋体"/>
          <w:kern w:val="0"/>
          <w:szCs w:val="21"/>
        </w:rPr>
        <w:t>27</w:t>
      </w:r>
      <w:r>
        <w:rPr>
          <w:rFonts w:ascii="宋体" w:hAnsi="宋体" w:cs="宋体"/>
          <w:kern w:val="0"/>
          <w:szCs w:val="21"/>
        </w:rPr>
        <w:t>日证监许可【</w:t>
      </w:r>
      <w:r>
        <w:rPr>
          <w:rFonts w:ascii="宋体" w:hAnsi="宋体" w:cs="宋体"/>
          <w:kern w:val="0"/>
          <w:szCs w:val="21"/>
        </w:rPr>
        <w:t>2022</w:t>
      </w:r>
      <w:r>
        <w:rPr>
          <w:rFonts w:ascii="宋体" w:hAnsi="宋体" w:cs="宋体"/>
          <w:kern w:val="0"/>
          <w:szCs w:val="21"/>
        </w:rPr>
        <w:t>】</w:t>
      </w:r>
      <w:r>
        <w:rPr>
          <w:rFonts w:ascii="宋体" w:hAnsi="宋体" w:cs="宋体"/>
          <w:kern w:val="0"/>
          <w:szCs w:val="21"/>
        </w:rPr>
        <w:t>1370</w:t>
      </w:r>
      <w:r>
        <w:rPr>
          <w:rFonts w:ascii="宋体" w:hAnsi="宋体" w:cs="宋体"/>
          <w:kern w:val="0"/>
          <w:szCs w:val="21"/>
        </w:rPr>
        <w:t>号文注册，本基金基金合同于</w:t>
      </w:r>
      <w:r>
        <w:rPr>
          <w:rFonts w:ascii="宋体" w:hAnsi="宋体" w:cs="宋体"/>
          <w:kern w:val="0"/>
          <w:szCs w:val="21"/>
        </w:rPr>
        <w:t>2022</w:t>
      </w:r>
      <w:r>
        <w:rPr>
          <w:rFonts w:ascii="宋体" w:hAnsi="宋体" w:cs="宋体"/>
          <w:kern w:val="0"/>
          <w:szCs w:val="21"/>
        </w:rPr>
        <w:t>年</w:t>
      </w:r>
      <w:r>
        <w:rPr>
          <w:rFonts w:ascii="宋体" w:hAnsi="宋体" w:cs="宋体"/>
          <w:kern w:val="0"/>
          <w:szCs w:val="21"/>
        </w:rPr>
        <w:t>11</w:t>
      </w:r>
      <w:r>
        <w:rPr>
          <w:rFonts w:ascii="宋体" w:hAnsi="宋体" w:cs="宋体"/>
          <w:kern w:val="0"/>
          <w:szCs w:val="21"/>
        </w:rPr>
        <w:t>月</w:t>
      </w:r>
      <w:r>
        <w:rPr>
          <w:rFonts w:ascii="宋体" w:hAnsi="宋体" w:cs="宋体"/>
          <w:kern w:val="0"/>
          <w:szCs w:val="21"/>
        </w:rPr>
        <w:t>22</w:t>
      </w:r>
      <w:r>
        <w:rPr>
          <w:rFonts w:ascii="宋体" w:hAnsi="宋体" w:cs="宋体"/>
          <w:kern w:val="0"/>
          <w:szCs w:val="21"/>
        </w:rPr>
        <w:t>日生效。</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基金管理人保证本招募说明书的内容真实、准确、完整。本招募说明书经中国证监会注册，但中国证监会对本基金募集的注册，并不表明其对本基金的投资价值、市场前景、风险和收益作出实质性判断、推荐或保证，也不表明投资于本基金没有风险。</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本基金投资于证券市场，基金净值会因为证券市场波动等因素产生波动，投资者根据所持有的基金份额享受基金收益，同时承担相应的投资风险。本基金投资中的风险包括：因整体政治、经济、社会等环境因素对证券市场价格产生影响而形成的系统性风险，个别证券特有的非系统性风险，由于基金份额持有人连续大量赎回基金产</w:t>
      </w:r>
      <w:r>
        <w:rPr>
          <w:rFonts w:ascii="宋体" w:hAnsi="宋体" w:cs="宋体"/>
          <w:kern w:val="0"/>
          <w:szCs w:val="21"/>
        </w:rPr>
        <w:t>生的流动性风险，基金管理人在基金管理实施过程中产生的基金管理风险，本基金的特定风险等。</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本基金每份基金份额的最短持有期限为一年。对于认购所得基金份额，自基金合同生效日的次一年对日起可申请赎回，如该对日不存在或为非工作日的，则顺延至下一工作日；对于申购所得基金份额，自申购确认日的次一年对日起可申请赎回，如该对日不存在或为非工作日的，则顺延至下一工作日。</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一年持有期到期日及一年持有期到期日之后，基金份额持有人方可提出赎回申请。因此，对于基金份额持有人而言，存在投资本基金后一年内无法赎回的风险。</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本基金投资于资产</w:t>
      </w:r>
      <w:r>
        <w:rPr>
          <w:rFonts w:ascii="宋体" w:hAnsi="宋体" w:cs="宋体"/>
          <w:kern w:val="0"/>
          <w:szCs w:val="21"/>
        </w:rPr>
        <w:t>支持证券，基金管理人虽然已制定了投资决策流程和风险控制制度，但本基金仍将面临资产支持证券所特有的信用风险、利率风险、流动性风险、提前偿付风险、操作风险和法律风险等各种风险。</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本基金的投资范围包括存托凭证。存托凭证是新证券品种，本基金投资存托凭证在承担境内上市交易股票投资的共同风险外，还将承担与存托凭证、创新企业发行、境外发行人以及交易机制相关的特有风险。</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本基金可根据投资策略需要或不同配置地市场环境的变化，选择将部分基金资产投资于港股或选择不将基金资产投资于港股，基金资产并非必然投资港股。</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本基金若投资内地</w:t>
      </w:r>
      <w:r>
        <w:rPr>
          <w:rFonts w:ascii="宋体" w:hAnsi="宋体" w:cs="宋体"/>
          <w:kern w:val="0"/>
          <w:szCs w:val="21"/>
        </w:rPr>
        <w:t>与香港股票市场交易互联互通机制（以下简称</w:t>
      </w:r>
      <w:r>
        <w:rPr>
          <w:rFonts w:ascii="宋体" w:hAnsi="宋体" w:cs="宋体"/>
          <w:kern w:val="0"/>
          <w:szCs w:val="21"/>
        </w:rPr>
        <w:t>“</w:t>
      </w:r>
      <w:r>
        <w:rPr>
          <w:rFonts w:ascii="宋体" w:hAnsi="宋体" w:cs="宋体"/>
          <w:kern w:val="0"/>
          <w:szCs w:val="21"/>
        </w:rPr>
        <w:t>港股通机制</w:t>
      </w:r>
      <w:r>
        <w:rPr>
          <w:rFonts w:ascii="宋体" w:hAnsi="宋体" w:cs="宋体"/>
          <w:kern w:val="0"/>
          <w:szCs w:val="21"/>
        </w:rPr>
        <w:t>”</w:t>
      </w:r>
      <w:r>
        <w:rPr>
          <w:rFonts w:ascii="宋体" w:hAnsi="宋体" w:cs="宋体"/>
          <w:kern w:val="0"/>
          <w:szCs w:val="21"/>
        </w:rPr>
        <w:t>）允许买卖的规定范围内的香港联合交易所有限公司（以下简称</w:t>
      </w:r>
      <w:r>
        <w:rPr>
          <w:rFonts w:ascii="宋体" w:hAnsi="宋体" w:cs="宋体"/>
          <w:kern w:val="0"/>
          <w:szCs w:val="21"/>
        </w:rPr>
        <w:t>“</w:t>
      </w:r>
      <w:r>
        <w:rPr>
          <w:rFonts w:ascii="宋体" w:hAnsi="宋体" w:cs="宋体"/>
          <w:kern w:val="0"/>
          <w:szCs w:val="21"/>
        </w:rPr>
        <w:t>香港联合交易所</w:t>
      </w:r>
      <w:r>
        <w:rPr>
          <w:rFonts w:ascii="宋体" w:hAnsi="宋体" w:cs="宋体"/>
          <w:kern w:val="0"/>
          <w:szCs w:val="21"/>
        </w:rPr>
        <w:t>”</w:t>
      </w:r>
      <w:r>
        <w:rPr>
          <w:rFonts w:ascii="宋体" w:hAnsi="宋体" w:cs="宋体"/>
          <w:kern w:val="0"/>
          <w:szCs w:val="21"/>
        </w:rPr>
        <w:t>）上市的股票的，会面临港股通机制下因投资环境、投资标的、市场制度以及交易规则等差异带来的特有风险，包括港股市场股价波动较大的风险（港股市场实行</w:t>
      </w:r>
      <w:r>
        <w:rPr>
          <w:rFonts w:ascii="宋体" w:hAnsi="宋体" w:cs="宋体"/>
          <w:kern w:val="0"/>
          <w:szCs w:val="21"/>
        </w:rPr>
        <w:t>T+0</w:t>
      </w:r>
      <w:r>
        <w:rPr>
          <w:rFonts w:ascii="宋体" w:hAnsi="宋体" w:cs="宋体"/>
          <w:kern w:val="0"/>
          <w:szCs w:val="21"/>
        </w:rPr>
        <w:t>回转交易，且对个股不设涨跌幅限制，港股股价可能表现出比</w:t>
      </w:r>
      <w:r>
        <w:rPr>
          <w:rFonts w:ascii="宋体" w:hAnsi="宋体" w:cs="宋体"/>
          <w:kern w:val="0"/>
          <w:szCs w:val="21"/>
        </w:rPr>
        <w:t>A</w:t>
      </w:r>
      <w:r>
        <w:rPr>
          <w:rFonts w:ascii="宋体" w:hAnsi="宋体" w:cs="宋体"/>
          <w:kern w:val="0"/>
          <w:szCs w:val="21"/>
        </w:rPr>
        <w:t>股更为剧烈的股价波动）、汇率风险（汇率波动可能对基金的投资收益造成损失）、港股通机制下交易日不连贯可能带来的风险（在内地开市香港休市的情形下，港股通不能正常交易，港股不能及时卖出，</w:t>
      </w:r>
      <w:r>
        <w:rPr>
          <w:rFonts w:ascii="宋体" w:hAnsi="宋体" w:cs="宋体"/>
          <w:kern w:val="0"/>
          <w:szCs w:val="21"/>
        </w:rPr>
        <w:t>可能带来一定的流动性风险）等。</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lastRenderedPageBreak/>
        <w:t>当本基金持有特定资产且存在或潜在大额赎回申请时，基金管理人履行约定的程序后，可以依照约定启用侧袋机制，具体详见基金合同和本招募说明书的相关章节。侧袋机制实施期间，基金管理人将对基金简称进行特殊标识，并不得办理侧袋账户的申购赎回。请投资者仔细阅读相关内容并关注本基金启用侧袋机制时的特定风险。</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本基金单一投资者持有基金份额数不得达到或超过基金份额总数的</w:t>
      </w:r>
      <w:r>
        <w:rPr>
          <w:rFonts w:ascii="宋体" w:hAnsi="宋体" w:cs="宋体"/>
          <w:kern w:val="0"/>
          <w:szCs w:val="21"/>
        </w:rPr>
        <w:t>50%</w:t>
      </w:r>
      <w:r>
        <w:rPr>
          <w:rFonts w:ascii="宋体" w:hAnsi="宋体" w:cs="宋体"/>
          <w:kern w:val="0"/>
          <w:szCs w:val="21"/>
        </w:rPr>
        <w:t>，但在基金运作过程中因基金份额赎回等情形导致被动达到或超过</w:t>
      </w:r>
      <w:r>
        <w:rPr>
          <w:rFonts w:ascii="宋体" w:hAnsi="宋体" w:cs="宋体"/>
          <w:kern w:val="0"/>
          <w:szCs w:val="21"/>
        </w:rPr>
        <w:t>50%</w:t>
      </w:r>
      <w:r>
        <w:rPr>
          <w:rFonts w:ascii="宋体" w:hAnsi="宋体" w:cs="宋体"/>
          <w:kern w:val="0"/>
          <w:szCs w:val="21"/>
        </w:rPr>
        <w:t>的除外。法律法规、监管机构另有规定的，从其规定。</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基金投资有</w:t>
      </w:r>
      <w:r>
        <w:rPr>
          <w:rFonts w:ascii="宋体" w:hAnsi="宋体" w:cs="宋体"/>
          <w:kern w:val="0"/>
          <w:szCs w:val="21"/>
        </w:rPr>
        <w:t>风险，投资人认购（或申购）基金时应认真阅读本招募说明书、基金产品资料概要和基金合同等信息披露文件，自主判断基金的投资价值，自主做出投资决策，自行承担投资风险，全面认识本基金的风险收益特征和产品特性，并充分考虑自身的风险承受能力，理性判断市场，谨慎做出投资决策。</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基金的过往业绩并不预示其未来表现，基金管理人管理的其他基金的业绩也不构成对本基金业绩表现的保证。</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基金管理人依照恪尽职守、诚实信用、谨慎勤勉的原则管理和运用基金财产，但不保证基金一定盈利，也不保证最低收益。</w:t>
      </w:r>
    </w:p>
    <w:p w:rsidR="00796C66" w:rsidRDefault="00FB6202">
      <w:pPr>
        <w:pStyle w:val="div"/>
        <w:widowControl/>
        <w:spacing w:line="360" w:lineRule="auto"/>
        <w:ind w:firstLine="420"/>
        <w:rPr>
          <w:rFonts w:eastAsia="Times New Roman"/>
          <w:kern w:val="0"/>
          <w:szCs w:val="21"/>
        </w:rPr>
      </w:pPr>
      <w:r>
        <w:rPr>
          <w:rFonts w:ascii="宋体" w:hAnsi="宋体" w:cs="宋体"/>
          <w:kern w:val="0"/>
          <w:szCs w:val="21"/>
        </w:rPr>
        <w:t>本招募说明书</w:t>
      </w:r>
      <w:r>
        <w:rPr>
          <w:rFonts w:ascii="宋体" w:hAnsi="宋体" w:cs="宋体"/>
          <w:kern w:val="0"/>
          <w:szCs w:val="21"/>
        </w:rPr>
        <w:t>“</w:t>
      </w:r>
      <w:r>
        <w:rPr>
          <w:rFonts w:ascii="宋体" w:hAnsi="宋体" w:cs="宋体"/>
          <w:kern w:val="0"/>
          <w:szCs w:val="21"/>
        </w:rPr>
        <w:t>基金管理人</w:t>
      </w:r>
      <w:r>
        <w:rPr>
          <w:rFonts w:ascii="宋体" w:hAnsi="宋体" w:cs="宋体"/>
          <w:kern w:val="0"/>
          <w:szCs w:val="21"/>
        </w:rPr>
        <w:t>”</w:t>
      </w:r>
      <w:r>
        <w:rPr>
          <w:rFonts w:ascii="宋体" w:hAnsi="宋体" w:cs="宋体"/>
          <w:kern w:val="0"/>
          <w:szCs w:val="21"/>
        </w:rPr>
        <w:t>章节的内容截止日</w:t>
      </w:r>
      <w:r>
        <w:rPr>
          <w:rFonts w:ascii="宋体" w:hAnsi="宋体" w:cs="宋体"/>
          <w:kern w:val="0"/>
          <w:szCs w:val="21"/>
        </w:rPr>
        <w:t>为</w:t>
      </w:r>
      <w:r>
        <w:rPr>
          <w:rFonts w:ascii="宋体" w:hAnsi="宋体" w:cs="宋体"/>
          <w:kern w:val="0"/>
          <w:szCs w:val="21"/>
        </w:rPr>
        <w:t>2026</w:t>
      </w:r>
      <w:r>
        <w:rPr>
          <w:rFonts w:ascii="宋体" w:hAnsi="宋体" w:cs="宋体"/>
          <w:kern w:val="0"/>
          <w:szCs w:val="21"/>
        </w:rPr>
        <w:t>年</w:t>
      </w:r>
      <w:r>
        <w:rPr>
          <w:rFonts w:ascii="宋体" w:hAnsi="宋体" w:cs="宋体"/>
          <w:kern w:val="0"/>
          <w:szCs w:val="21"/>
        </w:rPr>
        <w:t>10</w:t>
      </w:r>
      <w:r>
        <w:rPr>
          <w:rFonts w:ascii="宋体" w:hAnsi="宋体" w:cs="宋体"/>
          <w:kern w:val="0"/>
          <w:szCs w:val="21"/>
        </w:rPr>
        <w:t>月</w:t>
      </w:r>
      <w:r>
        <w:rPr>
          <w:rFonts w:ascii="宋体" w:hAnsi="宋体" w:cs="宋体"/>
          <w:kern w:val="0"/>
          <w:szCs w:val="21"/>
        </w:rPr>
        <w:t>12</w:t>
      </w:r>
      <w:r>
        <w:rPr>
          <w:rFonts w:ascii="宋体" w:hAnsi="宋体" w:cs="宋体"/>
          <w:kern w:val="0"/>
          <w:szCs w:val="21"/>
        </w:rPr>
        <w:t>日，</w:t>
      </w:r>
      <w:r>
        <w:rPr>
          <w:rFonts w:ascii="宋体" w:hAnsi="宋体" w:cs="宋体"/>
          <w:kern w:val="0"/>
          <w:szCs w:val="21"/>
        </w:rPr>
        <w:t>“</w:t>
      </w:r>
      <w:r>
        <w:rPr>
          <w:rFonts w:ascii="宋体" w:hAnsi="宋体" w:cs="宋体"/>
          <w:kern w:val="0"/>
          <w:szCs w:val="21"/>
        </w:rPr>
        <w:t>基金托管人</w:t>
      </w:r>
      <w:r>
        <w:rPr>
          <w:rFonts w:ascii="宋体" w:hAnsi="宋体" w:cs="宋体"/>
          <w:kern w:val="0"/>
          <w:szCs w:val="21"/>
        </w:rPr>
        <w:t>”</w:t>
      </w:r>
      <w:r>
        <w:rPr>
          <w:rFonts w:ascii="宋体" w:hAnsi="宋体" w:cs="宋体"/>
          <w:kern w:val="0"/>
          <w:szCs w:val="21"/>
        </w:rPr>
        <w:t>部分所载内容截止日为</w:t>
      </w:r>
      <w:r>
        <w:rPr>
          <w:rFonts w:ascii="宋体" w:hAnsi="宋体" w:cs="宋体"/>
          <w:kern w:val="0"/>
          <w:szCs w:val="21"/>
        </w:rPr>
        <w:t>2026</w:t>
      </w:r>
      <w:r>
        <w:rPr>
          <w:rFonts w:ascii="宋体" w:hAnsi="宋体" w:cs="宋体"/>
          <w:kern w:val="0"/>
          <w:szCs w:val="21"/>
        </w:rPr>
        <w:t>年</w:t>
      </w:r>
      <w:r>
        <w:rPr>
          <w:rFonts w:ascii="宋体" w:hAnsi="宋体" w:cs="宋体"/>
          <w:kern w:val="0"/>
          <w:szCs w:val="21"/>
        </w:rPr>
        <w:t>9</w:t>
      </w:r>
      <w:r>
        <w:rPr>
          <w:rFonts w:ascii="宋体" w:hAnsi="宋体" w:cs="宋体"/>
          <w:kern w:val="0"/>
          <w:szCs w:val="21"/>
        </w:rPr>
        <w:t>月</w:t>
      </w:r>
      <w:r>
        <w:rPr>
          <w:rFonts w:ascii="宋体" w:hAnsi="宋体" w:cs="宋体"/>
          <w:kern w:val="0"/>
          <w:szCs w:val="21"/>
        </w:rPr>
        <w:t>2</w:t>
      </w:r>
      <w:r>
        <w:rPr>
          <w:rFonts w:ascii="宋体" w:hAnsi="宋体" w:cs="宋体"/>
          <w:kern w:val="0"/>
          <w:szCs w:val="21"/>
        </w:rPr>
        <w:t>日，其余所载内容截止日为</w:t>
      </w:r>
      <w:r>
        <w:rPr>
          <w:rFonts w:ascii="宋体" w:hAnsi="宋体" w:cs="宋体"/>
          <w:kern w:val="0"/>
          <w:szCs w:val="21"/>
        </w:rPr>
        <w:t>2026</w:t>
      </w:r>
      <w:r>
        <w:rPr>
          <w:rFonts w:ascii="宋体" w:hAnsi="宋体" w:cs="宋体"/>
          <w:kern w:val="0"/>
          <w:szCs w:val="21"/>
        </w:rPr>
        <w:t>年</w:t>
      </w:r>
      <w:r>
        <w:rPr>
          <w:rFonts w:ascii="宋体" w:hAnsi="宋体" w:cs="宋体"/>
          <w:kern w:val="0"/>
          <w:szCs w:val="21"/>
        </w:rPr>
        <w:t>8</w:t>
      </w:r>
      <w:r>
        <w:rPr>
          <w:rFonts w:ascii="宋体" w:hAnsi="宋体" w:cs="宋体"/>
          <w:kern w:val="0"/>
          <w:szCs w:val="21"/>
        </w:rPr>
        <w:t>月</w:t>
      </w:r>
      <w:r>
        <w:rPr>
          <w:rFonts w:ascii="宋体" w:hAnsi="宋体" w:cs="宋体"/>
          <w:kern w:val="0"/>
          <w:szCs w:val="21"/>
        </w:rPr>
        <w:t>18</w:t>
      </w:r>
      <w:r>
        <w:rPr>
          <w:rFonts w:ascii="宋体" w:hAnsi="宋体" w:cs="宋体"/>
          <w:kern w:val="0"/>
          <w:szCs w:val="21"/>
        </w:rPr>
        <w:t>日，有关财务数据和净值表现截止日为</w:t>
      </w:r>
      <w:r>
        <w:rPr>
          <w:rFonts w:ascii="宋体" w:hAnsi="宋体" w:cs="宋体"/>
          <w:kern w:val="0"/>
          <w:szCs w:val="21"/>
        </w:rPr>
        <w:t>2026</w:t>
      </w:r>
      <w:r>
        <w:rPr>
          <w:rFonts w:ascii="宋体" w:hAnsi="宋体" w:cs="宋体"/>
          <w:kern w:val="0"/>
          <w:szCs w:val="21"/>
        </w:rPr>
        <w:t>年</w:t>
      </w:r>
      <w:r>
        <w:rPr>
          <w:rFonts w:ascii="宋体" w:hAnsi="宋体" w:cs="宋体"/>
          <w:kern w:val="0"/>
          <w:szCs w:val="21"/>
        </w:rPr>
        <w:t>6</w:t>
      </w:r>
      <w:r>
        <w:rPr>
          <w:rFonts w:ascii="宋体" w:hAnsi="宋体" w:cs="宋体"/>
          <w:kern w:val="0"/>
          <w:szCs w:val="21"/>
        </w:rPr>
        <w:t>月</w:t>
      </w:r>
      <w:r>
        <w:rPr>
          <w:rFonts w:ascii="宋体" w:hAnsi="宋体" w:cs="宋体"/>
          <w:kern w:val="0"/>
          <w:szCs w:val="21"/>
        </w:rPr>
        <w:t>30</w:t>
      </w:r>
      <w:r>
        <w:rPr>
          <w:rFonts w:ascii="宋体" w:hAnsi="宋体" w:cs="宋体"/>
          <w:kern w:val="0"/>
          <w:szCs w:val="21"/>
        </w:rPr>
        <w:t>日（财务数据未经审计）。</w:t>
      </w:r>
    </w:p>
    <w:p w:rsidR="00796C66" w:rsidRDefault="00FB6202">
      <w:pPr>
        <w:autoSpaceDE w:val="0"/>
        <w:autoSpaceDN w:val="0"/>
        <w:adjustRightInd w:val="0"/>
        <w:spacing w:line="360" w:lineRule="auto"/>
        <w:ind w:firstLineChars="200" w:firstLine="480"/>
        <w:jc w:val="center"/>
        <w:rPr>
          <w:rFonts w:ascii="宋体" w:hAnsi="宋体"/>
          <w:sz w:val="24"/>
        </w:rPr>
      </w:pPr>
      <w:r>
        <w:rPr>
          <w:rFonts w:ascii="宋体" w:hAnsi="宋体"/>
          <w:sz w:val="24"/>
        </w:rPr>
        <w:br w:type="page"/>
      </w:r>
      <w:r>
        <w:rPr>
          <w:rFonts w:ascii="宋体" w:hAnsi="宋体"/>
          <w:sz w:val="24"/>
        </w:rPr>
        <w:lastRenderedPageBreak/>
        <w:t>目录</w:t>
      </w:r>
    </w:p>
    <w:p w:rsidR="00796C66" w:rsidRDefault="00FB6202">
      <w:pPr>
        <w:pStyle w:val="10"/>
        <w:rPr>
          <w:rFonts w:asciiTheme="minorHAnsi" w:hAnsiTheme="minorHAnsi"/>
          <w:noProof/>
          <w:sz w:val="22"/>
        </w:rPr>
      </w:pPr>
      <w:r>
        <w:rPr>
          <w:rFonts w:ascii="宋体" w:hAnsi="宋体"/>
          <w:sz w:val="24"/>
        </w:rPr>
        <w:fldChar w:fldCharType="begin"/>
      </w:r>
      <w:r>
        <w:rPr>
          <w:rFonts w:ascii="宋体" w:hAnsi="宋体"/>
          <w:sz w:val="24"/>
        </w:rPr>
        <w:instrText>TOC \o "1-1" \h \z \u</w:instrText>
      </w:r>
      <w:r>
        <w:rPr>
          <w:rFonts w:ascii="宋体" w:hAnsi="宋体"/>
          <w:sz w:val="24"/>
        </w:rPr>
        <w:fldChar w:fldCharType="separate"/>
      </w:r>
      <w:hyperlink w:anchor="_Toc256000000" w:history="1">
        <w:r>
          <w:rPr>
            <w:rStyle w:val="af6"/>
            <w:noProof/>
          </w:rPr>
          <w:t>重要提示</w:t>
        </w:r>
        <w:r>
          <w:tab/>
        </w:r>
        <w:r>
          <w:fldChar w:fldCharType="begin"/>
        </w:r>
        <w:r>
          <w:instrText xml:space="preserve"> PAGEREF _Toc256000000 \h </w:instrText>
        </w:r>
        <w:r>
          <w:fldChar w:fldCharType="separate"/>
        </w:r>
        <w:r>
          <w:t>2</w:t>
        </w:r>
        <w:r>
          <w:fldChar w:fldCharType="end"/>
        </w:r>
      </w:hyperlink>
    </w:p>
    <w:p w:rsidR="00796C66" w:rsidRDefault="00FB6202">
      <w:pPr>
        <w:pStyle w:val="10"/>
        <w:rPr>
          <w:rFonts w:asciiTheme="minorHAnsi" w:hAnsiTheme="minorHAnsi"/>
          <w:noProof/>
          <w:sz w:val="22"/>
        </w:rPr>
      </w:pPr>
      <w:hyperlink w:anchor="_Toc256000001" w:history="1">
        <w:r>
          <w:rPr>
            <w:rStyle w:val="af6"/>
            <w:noProof/>
          </w:rPr>
          <w:t>一、绪言</w:t>
        </w:r>
        <w:r>
          <w:tab/>
        </w:r>
        <w:r>
          <w:fldChar w:fldCharType="begin"/>
        </w:r>
        <w:r>
          <w:instrText xml:space="preserve"> PAGEREF _Toc256000001 \h </w:instrText>
        </w:r>
        <w:r>
          <w:fldChar w:fldCharType="separate"/>
        </w:r>
        <w:r>
          <w:t>5</w:t>
        </w:r>
        <w:r>
          <w:fldChar w:fldCharType="end"/>
        </w:r>
      </w:hyperlink>
    </w:p>
    <w:p w:rsidR="00796C66" w:rsidRDefault="00FB6202">
      <w:pPr>
        <w:pStyle w:val="10"/>
        <w:rPr>
          <w:rFonts w:asciiTheme="minorHAnsi" w:hAnsiTheme="minorHAnsi"/>
          <w:noProof/>
          <w:sz w:val="22"/>
        </w:rPr>
      </w:pPr>
      <w:hyperlink w:anchor="_Toc256000002" w:history="1">
        <w:r>
          <w:rPr>
            <w:rStyle w:val="af6"/>
            <w:noProof/>
          </w:rPr>
          <w:t>二、释义</w:t>
        </w:r>
        <w:r>
          <w:tab/>
        </w:r>
        <w:r>
          <w:fldChar w:fldCharType="begin"/>
        </w:r>
        <w:r>
          <w:instrText xml:space="preserve"> PAGEREF _Toc256000002 \h </w:instrText>
        </w:r>
        <w:r>
          <w:fldChar w:fldCharType="separate"/>
        </w:r>
        <w:r>
          <w:t>6</w:t>
        </w:r>
        <w:r>
          <w:fldChar w:fldCharType="end"/>
        </w:r>
      </w:hyperlink>
    </w:p>
    <w:p w:rsidR="00796C66" w:rsidRDefault="00FB6202">
      <w:pPr>
        <w:pStyle w:val="10"/>
        <w:rPr>
          <w:rFonts w:asciiTheme="minorHAnsi" w:hAnsiTheme="minorHAnsi"/>
          <w:noProof/>
          <w:sz w:val="22"/>
        </w:rPr>
      </w:pPr>
      <w:hyperlink w:anchor="_Toc256000003" w:history="1">
        <w:r>
          <w:rPr>
            <w:rStyle w:val="af6"/>
            <w:noProof/>
          </w:rPr>
          <w:t>三、基金管理人</w:t>
        </w:r>
        <w:r>
          <w:tab/>
        </w:r>
        <w:r>
          <w:fldChar w:fldCharType="begin"/>
        </w:r>
        <w:r>
          <w:instrText xml:space="preserve"> PAGEREF _Toc256</w:instrText>
        </w:r>
        <w:r>
          <w:instrText xml:space="preserve">000003 \h </w:instrText>
        </w:r>
        <w:r>
          <w:fldChar w:fldCharType="separate"/>
        </w:r>
        <w:r>
          <w:t>11</w:t>
        </w:r>
        <w:r>
          <w:fldChar w:fldCharType="end"/>
        </w:r>
      </w:hyperlink>
    </w:p>
    <w:p w:rsidR="00796C66" w:rsidRDefault="00FB6202">
      <w:pPr>
        <w:pStyle w:val="10"/>
        <w:rPr>
          <w:rFonts w:asciiTheme="minorHAnsi" w:hAnsiTheme="minorHAnsi"/>
          <w:noProof/>
          <w:sz w:val="22"/>
        </w:rPr>
      </w:pPr>
      <w:hyperlink w:anchor="_Toc256000004" w:history="1">
        <w:r>
          <w:rPr>
            <w:rStyle w:val="af6"/>
            <w:noProof/>
          </w:rPr>
          <w:t>四、基金托管人</w:t>
        </w:r>
        <w:r>
          <w:tab/>
        </w:r>
        <w:r>
          <w:fldChar w:fldCharType="begin"/>
        </w:r>
        <w:r>
          <w:instrText xml:space="preserve"> PAGEREF _Toc256000004 \h </w:instrText>
        </w:r>
        <w:r>
          <w:fldChar w:fldCharType="separate"/>
        </w:r>
        <w:r>
          <w:t>21</w:t>
        </w:r>
        <w:r>
          <w:fldChar w:fldCharType="end"/>
        </w:r>
      </w:hyperlink>
    </w:p>
    <w:p w:rsidR="00796C66" w:rsidRDefault="00FB6202">
      <w:pPr>
        <w:pStyle w:val="10"/>
        <w:rPr>
          <w:rFonts w:asciiTheme="minorHAnsi" w:hAnsiTheme="minorHAnsi"/>
          <w:noProof/>
          <w:sz w:val="22"/>
        </w:rPr>
      </w:pPr>
      <w:hyperlink w:anchor="_Toc256000005" w:history="1">
        <w:r>
          <w:rPr>
            <w:rStyle w:val="af6"/>
            <w:noProof/>
          </w:rPr>
          <w:t>五、相关</w:t>
        </w:r>
        <w:r>
          <w:rPr>
            <w:rStyle w:val="af6"/>
            <w:noProof/>
          </w:rPr>
          <w:t>服务机构</w:t>
        </w:r>
        <w:r>
          <w:tab/>
        </w:r>
        <w:r>
          <w:fldChar w:fldCharType="begin"/>
        </w:r>
        <w:r>
          <w:instrText xml:space="preserve"> PAGEREF _Toc256000005 \h </w:instrText>
        </w:r>
        <w:r>
          <w:fldChar w:fldCharType="separate"/>
        </w:r>
        <w:r>
          <w:t>24</w:t>
        </w:r>
        <w:r>
          <w:fldChar w:fldCharType="end"/>
        </w:r>
      </w:hyperlink>
    </w:p>
    <w:p w:rsidR="00796C66" w:rsidRDefault="00FB6202">
      <w:pPr>
        <w:pStyle w:val="10"/>
        <w:rPr>
          <w:rFonts w:asciiTheme="minorHAnsi" w:hAnsiTheme="minorHAnsi"/>
          <w:noProof/>
          <w:sz w:val="22"/>
        </w:rPr>
      </w:pPr>
      <w:hyperlink w:anchor="_Toc256000006" w:history="1">
        <w:r>
          <w:rPr>
            <w:rStyle w:val="af6"/>
            <w:noProof/>
          </w:rPr>
          <w:t>六、基金的募集</w:t>
        </w:r>
        <w:r>
          <w:tab/>
        </w:r>
        <w:r>
          <w:fldChar w:fldCharType="begin"/>
        </w:r>
        <w:r>
          <w:instrText xml:space="preserve"> PAGEREF _Toc256000006 \h </w:instrText>
        </w:r>
        <w:r>
          <w:fldChar w:fldCharType="separate"/>
        </w:r>
        <w:r>
          <w:t>26</w:t>
        </w:r>
        <w:r>
          <w:fldChar w:fldCharType="end"/>
        </w:r>
      </w:hyperlink>
    </w:p>
    <w:p w:rsidR="00796C66" w:rsidRDefault="00FB6202">
      <w:pPr>
        <w:pStyle w:val="10"/>
        <w:rPr>
          <w:rFonts w:asciiTheme="minorHAnsi" w:hAnsiTheme="minorHAnsi"/>
          <w:noProof/>
          <w:sz w:val="22"/>
        </w:rPr>
      </w:pPr>
      <w:hyperlink w:anchor="_Toc256000007" w:history="1">
        <w:r>
          <w:rPr>
            <w:rStyle w:val="af6"/>
            <w:noProof/>
          </w:rPr>
          <w:t>七、基金合同的生效</w:t>
        </w:r>
        <w:r>
          <w:tab/>
        </w:r>
        <w:r>
          <w:fldChar w:fldCharType="begin"/>
        </w:r>
        <w:r>
          <w:instrText xml:space="preserve"> PAGEREF _Toc256000007 \h </w:instrText>
        </w:r>
        <w:r>
          <w:fldChar w:fldCharType="separate"/>
        </w:r>
        <w:r>
          <w:t>27</w:t>
        </w:r>
        <w:r>
          <w:fldChar w:fldCharType="end"/>
        </w:r>
      </w:hyperlink>
    </w:p>
    <w:p w:rsidR="00796C66" w:rsidRDefault="00FB6202">
      <w:pPr>
        <w:pStyle w:val="10"/>
        <w:rPr>
          <w:rFonts w:asciiTheme="minorHAnsi" w:hAnsiTheme="minorHAnsi"/>
          <w:noProof/>
          <w:sz w:val="22"/>
        </w:rPr>
      </w:pPr>
      <w:hyperlink w:anchor="_Toc256000008" w:history="1">
        <w:r>
          <w:rPr>
            <w:rStyle w:val="af6"/>
            <w:noProof/>
          </w:rPr>
          <w:t>八、基金份额的申购、赎回与转换</w:t>
        </w:r>
        <w:r>
          <w:tab/>
        </w:r>
        <w:r>
          <w:fldChar w:fldCharType="begin"/>
        </w:r>
        <w:r>
          <w:instrText xml:space="preserve"> PAGEREF _Toc256000008 \h </w:instrText>
        </w:r>
        <w:r>
          <w:fldChar w:fldCharType="separate"/>
        </w:r>
        <w:r>
          <w:t>28</w:t>
        </w:r>
        <w:r>
          <w:fldChar w:fldCharType="end"/>
        </w:r>
      </w:hyperlink>
    </w:p>
    <w:p w:rsidR="00796C66" w:rsidRDefault="00FB6202">
      <w:pPr>
        <w:pStyle w:val="10"/>
        <w:rPr>
          <w:rFonts w:asciiTheme="minorHAnsi" w:hAnsiTheme="minorHAnsi"/>
          <w:noProof/>
          <w:sz w:val="22"/>
        </w:rPr>
      </w:pPr>
      <w:hyperlink w:anchor="_Toc256000009" w:history="1">
        <w:r>
          <w:rPr>
            <w:rStyle w:val="af6"/>
            <w:noProof/>
          </w:rPr>
          <w:t>九、基金的投资</w:t>
        </w:r>
        <w:r>
          <w:tab/>
        </w:r>
        <w:r>
          <w:fldChar w:fldCharType="begin"/>
        </w:r>
        <w:r>
          <w:instrText xml:space="preserve"> PAGEREF _Toc256000009 \h </w:instrText>
        </w:r>
        <w:r>
          <w:fldChar w:fldCharType="separate"/>
        </w:r>
        <w:r>
          <w:t>38</w:t>
        </w:r>
        <w:r>
          <w:fldChar w:fldCharType="end"/>
        </w:r>
      </w:hyperlink>
    </w:p>
    <w:p w:rsidR="00796C66" w:rsidRDefault="00FB6202">
      <w:pPr>
        <w:pStyle w:val="10"/>
        <w:rPr>
          <w:rFonts w:asciiTheme="minorHAnsi" w:hAnsiTheme="minorHAnsi"/>
          <w:noProof/>
          <w:sz w:val="22"/>
        </w:rPr>
      </w:pPr>
      <w:hyperlink w:anchor="_Toc256000010" w:history="1">
        <w:r>
          <w:rPr>
            <w:rStyle w:val="af6"/>
            <w:noProof/>
          </w:rPr>
          <w:t>十、基金的业绩</w:t>
        </w:r>
        <w:r>
          <w:tab/>
        </w:r>
        <w:r>
          <w:fldChar w:fldCharType="begin"/>
        </w:r>
        <w:r>
          <w:instrText xml:space="preserve"> PAGEREF _To</w:instrText>
        </w:r>
        <w:r>
          <w:instrText xml:space="preserve">c256000010 \h </w:instrText>
        </w:r>
        <w:r>
          <w:fldChar w:fldCharType="separate"/>
        </w:r>
        <w:r>
          <w:t>50</w:t>
        </w:r>
        <w:r>
          <w:fldChar w:fldCharType="end"/>
        </w:r>
      </w:hyperlink>
    </w:p>
    <w:p w:rsidR="00796C66" w:rsidRDefault="00FB6202">
      <w:pPr>
        <w:pStyle w:val="10"/>
        <w:rPr>
          <w:rFonts w:asciiTheme="minorHAnsi" w:hAnsiTheme="minorHAnsi"/>
          <w:noProof/>
          <w:sz w:val="22"/>
        </w:rPr>
      </w:pPr>
      <w:hyperlink w:anchor="_Toc256000011" w:history="1">
        <w:r>
          <w:rPr>
            <w:rStyle w:val="af6"/>
            <w:noProof/>
          </w:rPr>
          <w:t>十一、基金的财产</w:t>
        </w:r>
        <w:r>
          <w:tab/>
        </w:r>
        <w:r>
          <w:fldChar w:fldCharType="begin"/>
        </w:r>
        <w:r>
          <w:instrText xml:space="preserve"> PAGEREF _Toc256000011 \h </w:instrText>
        </w:r>
        <w:r>
          <w:fldChar w:fldCharType="separate"/>
        </w:r>
        <w:r>
          <w:t>52</w:t>
        </w:r>
        <w:r>
          <w:fldChar w:fldCharType="end"/>
        </w:r>
      </w:hyperlink>
    </w:p>
    <w:p w:rsidR="00796C66" w:rsidRDefault="00FB6202">
      <w:pPr>
        <w:pStyle w:val="10"/>
        <w:rPr>
          <w:rFonts w:asciiTheme="minorHAnsi" w:hAnsiTheme="minorHAnsi"/>
          <w:noProof/>
          <w:sz w:val="22"/>
        </w:rPr>
      </w:pPr>
      <w:hyperlink w:anchor="_Toc256000012" w:history="1">
        <w:r>
          <w:rPr>
            <w:rStyle w:val="af6"/>
            <w:noProof/>
          </w:rPr>
          <w:t>十二、基金资产的估值</w:t>
        </w:r>
        <w:r>
          <w:tab/>
        </w:r>
        <w:r>
          <w:fldChar w:fldCharType="begin"/>
        </w:r>
        <w:r>
          <w:instrText xml:space="preserve"> PAGEREF _Toc256000012 \h </w:instrText>
        </w:r>
        <w:r>
          <w:fldChar w:fldCharType="separate"/>
        </w:r>
        <w:r>
          <w:t>53</w:t>
        </w:r>
        <w:r>
          <w:fldChar w:fldCharType="end"/>
        </w:r>
      </w:hyperlink>
    </w:p>
    <w:p w:rsidR="00796C66" w:rsidRDefault="00FB6202">
      <w:pPr>
        <w:pStyle w:val="10"/>
        <w:rPr>
          <w:rFonts w:asciiTheme="minorHAnsi" w:hAnsiTheme="minorHAnsi"/>
          <w:noProof/>
          <w:sz w:val="22"/>
        </w:rPr>
      </w:pPr>
      <w:hyperlink w:anchor="_Toc256000013" w:history="1">
        <w:r>
          <w:rPr>
            <w:rStyle w:val="af6"/>
            <w:noProof/>
          </w:rPr>
          <w:t>十三、基金的收益与分配</w:t>
        </w:r>
        <w:r>
          <w:tab/>
        </w:r>
        <w:r>
          <w:fldChar w:fldCharType="begin"/>
        </w:r>
        <w:r>
          <w:instrText xml:space="preserve"> PAGEREF _Toc256000013 \h </w:instrText>
        </w:r>
        <w:r>
          <w:fldChar w:fldCharType="separate"/>
        </w:r>
        <w:r>
          <w:t>59</w:t>
        </w:r>
        <w:r>
          <w:fldChar w:fldCharType="end"/>
        </w:r>
      </w:hyperlink>
    </w:p>
    <w:p w:rsidR="00796C66" w:rsidRDefault="00FB6202">
      <w:pPr>
        <w:pStyle w:val="10"/>
        <w:rPr>
          <w:rFonts w:asciiTheme="minorHAnsi" w:hAnsiTheme="minorHAnsi"/>
          <w:noProof/>
          <w:sz w:val="22"/>
        </w:rPr>
      </w:pPr>
      <w:hyperlink w:anchor="_Toc256000014" w:history="1">
        <w:r>
          <w:rPr>
            <w:rStyle w:val="af6"/>
            <w:noProof/>
          </w:rPr>
          <w:t>十四、基金费用与税收</w:t>
        </w:r>
        <w:r>
          <w:tab/>
        </w:r>
        <w:r>
          <w:fldChar w:fldCharType="begin"/>
        </w:r>
        <w:r>
          <w:instrText xml:space="preserve"> PAGEREF _Toc256000014 \h </w:instrText>
        </w:r>
        <w:r>
          <w:fldChar w:fldCharType="separate"/>
        </w:r>
        <w:r>
          <w:t>61</w:t>
        </w:r>
        <w:r>
          <w:fldChar w:fldCharType="end"/>
        </w:r>
      </w:hyperlink>
    </w:p>
    <w:p w:rsidR="00796C66" w:rsidRDefault="00FB6202">
      <w:pPr>
        <w:pStyle w:val="10"/>
        <w:rPr>
          <w:rFonts w:asciiTheme="minorHAnsi" w:hAnsiTheme="minorHAnsi"/>
          <w:noProof/>
          <w:sz w:val="22"/>
        </w:rPr>
      </w:pPr>
      <w:hyperlink w:anchor="_Toc256000015" w:history="1">
        <w:r>
          <w:rPr>
            <w:rStyle w:val="af6"/>
            <w:noProof/>
          </w:rPr>
          <w:t>十五、基金的会计与审计</w:t>
        </w:r>
        <w:r>
          <w:tab/>
        </w:r>
        <w:r>
          <w:fldChar w:fldCharType="begin"/>
        </w:r>
        <w:r>
          <w:instrText xml:space="preserve"> PAGEREF _Toc256000015 \h </w:instrText>
        </w:r>
        <w:r>
          <w:fldChar w:fldCharType="separate"/>
        </w:r>
        <w:r>
          <w:t>64</w:t>
        </w:r>
        <w:r>
          <w:fldChar w:fldCharType="end"/>
        </w:r>
      </w:hyperlink>
    </w:p>
    <w:p w:rsidR="00796C66" w:rsidRDefault="00FB6202">
      <w:pPr>
        <w:pStyle w:val="10"/>
        <w:rPr>
          <w:rFonts w:asciiTheme="minorHAnsi" w:hAnsiTheme="minorHAnsi"/>
          <w:noProof/>
          <w:sz w:val="22"/>
        </w:rPr>
      </w:pPr>
      <w:hyperlink w:anchor="_Toc256000016" w:history="1">
        <w:r>
          <w:rPr>
            <w:rStyle w:val="af6"/>
            <w:noProof/>
          </w:rPr>
          <w:t>十六、基金的信息披露</w:t>
        </w:r>
        <w:r>
          <w:tab/>
        </w:r>
        <w:r>
          <w:fldChar w:fldCharType="begin"/>
        </w:r>
        <w:r>
          <w:instrText xml:space="preserve"> PAGEREF _Toc256000016 \h </w:instrText>
        </w:r>
        <w:r>
          <w:fldChar w:fldCharType="separate"/>
        </w:r>
        <w:r>
          <w:t>65</w:t>
        </w:r>
        <w:r>
          <w:fldChar w:fldCharType="end"/>
        </w:r>
      </w:hyperlink>
    </w:p>
    <w:p w:rsidR="00796C66" w:rsidRDefault="00FB6202">
      <w:pPr>
        <w:pStyle w:val="10"/>
        <w:rPr>
          <w:rFonts w:asciiTheme="minorHAnsi" w:hAnsiTheme="minorHAnsi"/>
          <w:noProof/>
          <w:sz w:val="22"/>
        </w:rPr>
      </w:pPr>
      <w:hyperlink w:anchor="_Toc256000017" w:history="1">
        <w:r>
          <w:rPr>
            <w:rStyle w:val="af6"/>
            <w:noProof/>
          </w:rPr>
          <w:t>十七、基金持有其他基金的信息披露</w:t>
        </w:r>
        <w:r>
          <w:tab/>
        </w:r>
        <w:r>
          <w:fldChar w:fldCharType="begin"/>
        </w:r>
        <w:r>
          <w:instrText xml:space="preserve"> PAGEREF _Toc256000017 \h </w:instrText>
        </w:r>
        <w:r>
          <w:fldChar w:fldCharType="separate"/>
        </w:r>
        <w:r>
          <w:t>71</w:t>
        </w:r>
        <w:r>
          <w:fldChar w:fldCharType="end"/>
        </w:r>
      </w:hyperlink>
    </w:p>
    <w:p w:rsidR="00796C66" w:rsidRDefault="00FB6202">
      <w:pPr>
        <w:pStyle w:val="10"/>
        <w:rPr>
          <w:rFonts w:asciiTheme="minorHAnsi" w:hAnsiTheme="minorHAnsi"/>
          <w:noProof/>
          <w:sz w:val="22"/>
        </w:rPr>
      </w:pPr>
      <w:hyperlink w:anchor="_Toc256000018" w:history="1">
        <w:r>
          <w:rPr>
            <w:rStyle w:val="af6"/>
            <w:noProof/>
          </w:rPr>
          <w:t>十八、侧袋机制</w:t>
        </w:r>
        <w:r>
          <w:tab/>
        </w:r>
        <w:r>
          <w:fldChar w:fldCharType="begin"/>
        </w:r>
        <w:r>
          <w:instrText xml:space="preserve"> PAGEREF _Toc256000018 \h </w:instrText>
        </w:r>
        <w:r>
          <w:fldChar w:fldCharType="separate"/>
        </w:r>
        <w:r>
          <w:t>76</w:t>
        </w:r>
        <w:r>
          <w:fldChar w:fldCharType="end"/>
        </w:r>
      </w:hyperlink>
    </w:p>
    <w:p w:rsidR="00796C66" w:rsidRDefault="00FB6202">
      <w:pPr>
        <w:pStyle w:val="10"/>
        <w:rPr>
          <w:rFonts w:asciiTheme="minorHAnsi" w:hAnsiTheme="minorHAnsi"/>
          <w:noProof/>
          <w:sz w:val="22"/>
        </w:rPr>
      </w:pPr>
      <w:hyperlink w:anchor="_Toc256000019" w:history="1">
        <w:r>
          <w:rPr>
            <w:rStyle w:val="af6"/>
            <w:noProof/>
          </w:rPr>
          <w:t>十九、风险揭示</w:t>
        </w:r>
        <w:r>
          <w:tab/>
        </w:r>
        <w:r>
          <w:fldChar w:fldCharType="begin"/>
        </w:r>
        <w:r>
          <w:instrText xml:space="preserve"> PAGEREF _To</w:instrText>
        </w:r>
        <w:r>
          <w:instrText xml:space="preserve">c256000019 \h </w:instrText>
        </w:r>
        <w:r>
          <w:fldChar w:fldCharType="separate"/>
        </w:r>
        <w:r>
          <w:t>79</w:t>
        </w:r>
        <w:r>
          <w:fldChar w:fldCharType="end"/>
        </w:r>
      </w:hyperlink>
    </w:p>
    <w:p w:rsidR="00796C66" w:rsidRDefault="00FB6202">
      <w:pPr>
        <w:pStyle w:val="10"/>
        <w:rPr>
          <w:rFonts w:asciiTheme="minorHAnsi" w:hAnsiTheme="minorHAnsi"/>
          <w:noProof/>
          <w:sz w:val="22"/>
        </w:rPr>
      </w:pPr>
      <w:hyperlink w:anchor="_Toc256000020" w:history="1">
        <w:r>
          <w:rPr>
            <w:rStyle w:val="af6"/>
            <w:noProof/>
          </w:rPr>
          <w:t>二十、基金合同的变更、终止与基金财产的清算</w:t>
        </w:r>
        <w:r>
          <w:tab/>
        </w:r>
        <w:r>
          <w:fldChar w:fldCharType="begin"/>
        </w:r>
        <w:r>
          <w:instrText xml:space="preserve"> PAGEREF _Toc256000020 \h </w:instrText>
        </w:r>
        <w:r>
          <w:fldChar w:fldCharType="separate"/>
        </w:r>
        <w:r>
          <w:t>86</w:t>
        </w:r>
        <w:r>
          <w:fldChar w:fldCharType="end"/>
        </w:r>
      </w:hyperlink>
    </w:p>
    <w:p w:rsidR="00796C66" w:rsidRDefault="00FB6202">
      <w:pPr>
        <w:pStyle w:val="10"/>
        <w:rPr>
          <w:rFonts w:asciiTheme="minorHAnsi" w:hAnsiTheme="minorHAnsi"/>
          <w:noProof/>
          <w:sz w:val="22"/>
        </w:rPr>
      </w:pPr>
      <w:hyperlink w:anchor="_Toc256000021" w:history="1">
        <w:r>
          <w:rPr>
            <w:rStyle w:val="af6"/>
            <w:noProof/>
          </w:rPr>
          <w:t>二十一、基金合同的内容摘要</w:t>
        </w:r>
        <w:r>
          <w:tab/>
        </w:r>
        <w:r>
          <w:fldChar w:fldCharType="begin"/>
        </w:r>
        <w:r>
          <w:instrText xml:space="preserve"> PAGEREF _Toc256000021 \h </w:instrText>
        </w:r>
        <w:r>
          <w:fldChar w:fldCharType="separate"/>
        </w:r>
        <w:r>
          <w:t>88</w:t>
        </w:r>
        <w:r>
          <w:fldChar w:fldCharType="end"/>
        </w:r>
      </w:hyperlink>
    </w:p>
    <w:p w:rsidR="00796C66" w:rsidRDefault="00FB6202">
      <w:pPr>
        <w:pStyle w:val="10"/>
        <w:rPr>
          <w:rFonts w:asciiTheme="minorHAnsi" w:hAnsiTheme="minorHAnsi"/>
          <w:noProof/>
          <w:sz w:val="22"/>
        </w:rPr>
      </w:pPr>
      <w:hyperlink w:anchor="_Toc256000022" w:history="1">
        <w:r>
          <w:rPr>
            <w:rStyle w:val="af6"/>
            <w:noProof/>
          </w:rPr>
          <w:t>二十二、基金托管协议的内容摘要</w:t>
        </w:r>
        <w:r>
          <w:tab/>
        </w:r>
        <w:r>
          <w:fldChar w:fldCharType="begin"/>
        </w:r>
        <w:r>
          <w:instrText xml:space="preserve"> PAGEREF _Toc256000022 \h </w:instrText>
        </w:r>
        <w:r>
          <w:fldChar w:fldCharType="separate"/>
        </w:r>
        <w:r>
          <w:t>102</w:t>
        </w:r>
        <w:r>
          <w:fldChar w:fldCharType="end"/>
        </w:r>
      </w:hyperlink>
    </w:p>
    <w:p w:rsidR="00796C66" w:rsidRDefault="00FB6202">
      <w:pPr>
        <w:pStyle w:val="10"/>
        <w:rPr>
          <w:rFonts w:asciiTheme="minorHAnsi" w:hAnsiTheme="minorHAnsi"/>
          <w:noProof/>
          <w:sz w:val="22"/>
        </w:rPr>
      </w:pPr>
      <w:hyperlink w:anchor="_Toc256000023" w:history="1">
        <w:r>
          <w:rPr>
            <w:rStyle w:val="af6"/>
            <w:noProof/>
          </w:rPr>
          <w:t>二十三、对基金份额持有人的服务</w:t>
        </w:r>
        <w:r>
          <w:tab/>
        </w:r>
        <w:r>
          <w:fldChar w:fldCharType="begin"/>
        </w:r>
        <w:r>
          <w:instrText xml:space="preserve"> PAGEREF _Toc256000023 \h </w:instrText>
        </w:r>
        <w:r>
          <w:fldChar w:fldCharType="separate"/>
        </w:r>
        <w:r>
          <w:t>112</w:t>
        </w:r>
        <w:r>
          <w:fldChar w:fldCharType="end"/>
        </w:r>
      </w:hyperlink>
    </w:p>
    <w:p w:rsidR="00796C66" w:rsidRDefault="00FB6202">
      <w:pPr>
        <w:pStyle w:val="10"/>
        <w:rPr>
          <w:rFonts w:asciiTheme="minorHAnsi" w:hAnsiTheme="minorHAnsi"/>
          <w:noProof/>
          <w:sz w:val="22"/>
        </w:rPr>
      </w:pPr>
      <w:hyperlink w:anchor="_Toc256000024" w:history="1">
        <w:r>
          <w:rPr>
            <w:rStyle w:val="af6"/>
            <w:noProof/>
          </w:rPr>
          <w:t>二十四、其他应披露事项</w:t>
        </w:r>
        <w:r>
          <w:tab/>
        </w:r>
        <w:r>
          <w:fldChar w:fldCharType="begin"/>
        </w:r>
        <w:r>
          <w:instrText xml:space="preserve"> PAGEREF _Toc256000024 \h </w:instrText>
        </w:r>
        <w:r>
          <w:fldChar w:fldCharType="separate"/>
        </w:r>
        <w:r>
          <w:t>114</w:t>
        </w:r>
        <w:r>
          <w:fldChar w:fldCharType="end"/>
        </w:r>
      </w:hyperlink>
    </w:p>
    <w:p w:rsidR="00796C66" w:rsidRDefault="00FB6202">
      <w:pPr>
        <w:pStyle w:val="10"/>
        <w:rPr>
          <w:rFonts w:asciiTheme="minorHAnsi" w:hAnsiTheme="minorHAnsi"/>
          <w:noProof/>
          <w:sz w:val="22"/>
        </w:rPr>
      </w:pPr>
      <w:hyperlink w:anchor="_Toc256000025" w:history="1">
        <w:r>
          <w:rPr>
            <w:rStyle w:val="af6"/>
            <w:noProof/>
          </w:rPr>
          <w:t>二十五、招募说明书存放及查阅方式</w:t>
        </w:r>
        <w:r>
          <w:tab/>
        </w:r>
        <w:r>
          <w:fldChar w:fldCharType="begin"/>
        </w:r>
        <w:r>
          <w:instrText xml:space="preserve"> PAGEREF _Toc256000025 \h </w:instrText>
        </w:r>
        <w:r>
          <w:fldChar w:fldCharType="separate"/>
        </w:r>
        <w:r>
          <w:t>116</w:t>
        </w:r>
        <w:r>
          <w:fldChar w:fldCharType="end"/>
        </w:r>
      </w:hyperlink>
    </w:p>
    <w:p w:rsidR="00796C66" w:rsidRDefault="00FB6202">
      <w:pPr>
        <w:pStyle w:val="10"/>
        <w:rPr>
          <w:rFonts w:asciiTheme="minorHAnsi" w:hAnsiTheme="minorHAnsi"/>
          <w:noProof/>
          <w:sz w:val="22"/>
        </w:rPr>
      </w:pPr>
      <w:hyperlink w:anchor="_Toc256000026" w:history="1">
        <w:r>
          <w:rPr>
            <w:rStyle w:val="af6"/>
            <w:noProof/>
          </w:rPr>
          <w:t>二十六、备查文件</w:t>
        </w:r>
        <w:r>
          <w:tab/>
        </w:r>
        <w:r>
          <w:fldChar w:fldCharType="begin"/>
        </w:r>
        <w:r>
          <w:instrText xml:space="preserve"> PAGEREF _Toc256000026 \h </w:instrText>
        </w:r>
        <w:r>
          <w:fldChar w:fldCharType="separate"/>
        </w:r>
        <w:r>
          <w:t>117</w:t>
        </w:r>
        <w:r>
          <w:fldChar w:fldCharType="end"/>
        </w:r>
      </w:hyperlink>
    </w:p>
    <w:p w:rsidR="00796C66" w:rsidRDefault="00FB6202">
      <w:pPr>
        <w:jc w:val="left"/>
        <w:rPr>
          <w:rFonts w:ascii="宋体" w:hAnsi="宋体"/>
          <w:sz w:val="24"/>
        </w:rPr>
      </w:pPr>
      <w:r>
        <w:rPr>
          <w:rFonts w:ascii="宋体" w:hAnsi="宋体"/>
          <w:sz w:val="24"/>
        </w:rPr>
        <w:fldChar w:fldCharType="end"/>
      </w:r>
      <w:r>
        <w:rPr>
          <w:rFonts w:ascii="宋体" w:hAnsi="宋体"/>
          <w:sz w:val="24"/>
        </w:rPr>
        <w:br w:type="page"/>
      </w:r>
    </w:p>
    <w:p w:rsidR="00796C66" w:rsidRDefault="00FB6202">
      <w:pPr>
        <w:pStyle w:val="ae"/>
        <w:outlineLvl w:val="0"/>
      </w:pPr>
      <w:bookmarkStart w:id="1" w:name="_Toc256000001"/>
      <w:r>
        <w:rPr>
          <w:noProof/>
        </w:rPr>
        <w:lastRenderedPageBreak/>
        <w:t>一</w:t>
      </w:r>
      <w:r>
        <w:rPr>
          <w:rStyle w:val="Char5"/>
          <w:b/>
          <w:bCs/>
          <w:noProof/>
        </w:rPr>
        <w:t>、</w:t>
      </w:r>
      <w:r>
        <w:rPr>
          <w:noProof/>
        </w:rPr>
        <w:t>绪言</w:t>
      </w:r>
      <w:bookmarkEnd w:id="1"/>
    </w:p>
    <w:p w:rsidR="00796C66" w:rsidRDefault="00FB6202">
      <w:pPr>
        <w:pStyle w:val="div"/>
        <w:spacing w:line="360" w:lineRule="auto"/>
        <w:ind w:firstLine="480"/>
        <w:rPr>
          <w:rFonts w:eastAsia="Times New Roman"/>
          <w:kern w:val="0"/>
          <w:szCs w:val="21"/>
        </w:rPr>
      </w:pPr>
      <w:r>
        <w:rPr>
          <w:rFonts w:ascii="宋体" w:hAnsi="宋体" w:cs="宋体"/>
          <w:kern w:val="0"/>
          <w:szCs w:val="21"/>
        </w:rPr>
        <w:t>《华商安远稳进一年持有期混合型基金中基金</w:t>
      </w:r>
      <w:r>
        <w:rPr>
          <w:rFonts w:ascii="宋体" w:hAnsi="宋体" w:cs="宋体"/>
          <w:kern w:val="0"/>
          <w:szCs w:val="21"/>
        </w:rPr>
        <w:t>(FOF)</w:t>
      </w:r>
      <w:r>
        <w:rPr>
          <w:rFonts w:ascii="宋体" w:hAnsi="宋体" w:cs="宋体"/>
          <w:kern w:val="0"/>
          <w:szCs w:val="21"/>
        </w:rPr>
        <w:t>招募说明书》（以下简称</w:t>
      </w:r>
      <w:r>
        <w:rPr>
          <w:rFonts w:ascii="宋体" w:hAnsi="宋体" w:cs="宋体"/>
          <w:kern w:val="0"/>
          <w:szCs w:val="21"/>
        </w:rPr>
        <w:t>“</w:t>
      </w:r>
      <w:r>
        <w:rPr>
          <w:rFonts w:ascii="宋体" w:hAnsi="宋体" w:cs="宋体"/>
          <w:kern w:val="0"/>
          <w:szCs w:val="21"/>
        </w:rPr>
        <w:t>本招募说明书</w:t>
      </w:r>
      <w:r>
        <w:rPr>
          <w:rFonts w:ascii="宋体" w:hAnsi="宋体" w:cs="宋体"/>
          <w:kern w:val="0"/>
          <w:szCs w:val="21"/>
        </w:rPr>
        <w:t>”</w:t>
      </w:r>
      <w:r>
        <w:rPr>
          <w:rFonts w:ascii="宋体" w:hAnsi="宋体" w:cs="宋体"/>
          <w:kern w:val="0"/>
          <w:szCs w:val="21"/>
        </w:rPr>
        <w:t>）依据《中华人民共和国证券法》（以下简称</w:t>
      </w:r>
      <w:r>
        <w:rPr>
          <w:rFonts w:ascii="宋体" w:hAnsi="宋体" w:cs="宋体"/>
          <w:kern w:val="0"/>
          <w:szCs w:val="21"/>
        </w:rPr>
        <w:t>“</w:t>
      </w:r>
      <w:r>
        <w:rPr>
          <w:rFonts w:ascii="宋体" w:hAnsi="宋体" w:cs="宋体"/>
          <w:kern w:val="0"/>
          <w:szCs w:val="21"/>
        </w:rPr>
        <w:t>《证券法》</w:t>
      </w:r>
      <w:r>
        <w:rPr>
          <w:rFonts w:ascii="宋体" w:hAnsi="宋体" w:cs="宋体"/>
          <w:kern w:val="0"/>
          <w:szCs w:val="21"/>
        </w:rPr>
        <w:t>”</w:t>
      </w:r>
      <w:r>
        <w:rPr>
          <w:rFonts w:ascii="宋体" w:hAnsi="宋体" w:cs="宋体"/>
          <w:kern w:val="0"/>
          <w:szCs w:val="21"/>
        </w:rPr>
        <w:t>）、《中华人民共和国证券投资基金法》（以下简称</w:t>
      </w:r>
      <w:r>
        <w:rPr>
          <w:rFonts w:ascii="宋体" w:hAnsi="宋体" w:cs="宋体"/>
          <w:kern w:val="0"/>
          <w:szCs w:val="21"/>
        </w:rPr>
        <w:t>“</w:t>
      </w:r>
      <w:r>
        <w:rPr>
          <w:rFonts w:ascii="宋体" w:hAnsi="宋体" w:cs="宋体"/>
          <w:kern w:val="0"/>
          <w:szCs w:val="21"/>
        </w:rPr>
        <w:t>《基金法》</w:t>
      </w:r>
      <w:r>
        <w:rPr>
          <w:rFonts w:ascii="宋体" w:hAnsi="宋体" w:cs="宋体"/>
          <w:kern w:val="0"/>
          <w:szCs w:val="21"/>
        </w:rPr>
        <w:t>”</w:t>
      </w:r>
      <w:r>
        <w:rPr>
          <w:rFonts w:ascii="宋体" w:hAnsi="宋体" w:cs="宋体"/>
          <w:kern w:val="0"/>
          <w:szCs w:val="21"/>
        </w:rPr>
        <w:t>）、《公开募集证券投资基金销售机构监督管理办法》（以下简称</w:t>
      </w:r>
      <w:r>
        <w:rPr>
          <w:rFonts w:ascii="宋体" w:hAnsi="宋体" w:cs="宋体"/>
          <w:kern w:val="0"/>
          <w:szCs w:val="21"/>
        </w:rPr>
        <w:t>“</w:t>
      </w:r>
      <w:r>
        <w:rPr>
          <w:rFonts w:ascii="宋体" w:hAnsi="宋体" w:cs="宋体"/>
          <w:kern w:val="0"/>
          <w:szCs w:val="21"/>
        </w:rPr>
        <w:t>《销售办法》</w:t>
      </w:r>
      <w:r>
        <w:rPr>
          <w:rFonts w:ascii="宋体" w:hAnsi="宋体" w:cs="宋体"/>
          <w:kern w:val="0"/>
          <w:szCs w:val="21"/>
        </w:rPr>
        <w:t>”</w:t>
      </w:r>
      <w:r>
        <w:rPr>
          <w:rFonts w:ascii="宋体" w:hAnsi="宋体" w:cs="宋体"/>
          <w:kern w:val="0"/>
          <w:szCs w:val="21"/>
        </w:rPr>
        <w:t>）、《公开募集证券投资基金运作管理办法》（以下简称</w:t>
      </w:r>
      <w:r>
        <w:rPr>
          <w:rFonts w:ascii="宋体" w:hAnsi="宋体" w:cs="宋体"/>
          <w:kern w:val="0"/>
          <w:szCs w:val="21"/>
        </w:rPr>
        <w:t>“</w:t>
      </w:r>
      <w:r>
        <w:rPr>
          <w:rFonts w:ascii="宋体" w:hAnsi="宋体" w:cs="宋体"/>
          <w:kern w:val="0"/>
          <w:szCs w:val="21"/>
        </w:rPr>
        <w:t>《运作办法》</w:t>
      </w:r>
      <w:r>
        <w:rPr>
          <w:rFonts w:ascii="宋体" w:hAnsi="宋体" w:cs="宋体"/>
          <w:kern w:val="0"/>
          <w:szCs w:val="21"/>
        </w:rPr>
        <w:t>”</w:t>
      </w:r>
      <w:r>
        <w:rPr>
          <w:rFonts w:ascii="宋体" w:hAnsi="宋体" w:cs="宋体"/>
          <w:kern w:val="0"/>
          <w:szCs w:val="21"/>
        </w:rPr>
        <w:t>）、《公开募集证券投资基金信息披露管理办法》（以下简称</w:t>
      </w:r>
      <w:r>
        <w:rPr>
          <w:rFonts w:ascii="宋体" w:hAnsi="宋体" w:cs="宋体"/>
          <w:kern w:val="0"/>
          <w:szCs w:val="21"/>
        </w:rPr>
        <w:t>“</w:t>
      </w:r>
      <w:r>
        <w:rPr>
          <w:rFonts w:ascii="宋体" w:hAnsi="宋体" w:cs="宋体"/>
          <w:kern w:val="0"/>
          <w:szCs w:val="21"/>
        </w:rPr>
        <w:t>《信息披露办法》</w:t>
      </w:r>
      <w:r>
        <w:rPr>
          <w:rFonts w:ascii="宋体" w:hAnsi="宋体" w:cs="宋体"/>
          <w:kern w:val="0"/>
          <w:szCs w:val="21"/>
        </w:rPr>
        <w:t>”</w:t>
      </w:r>
      <w:r>
        <w:rPr>
          <w:rFonts w:ascii="宋体" w:hAnsi="宋体" w:cs="宋体"/>
          <w:kern w:val="0"/>
          <w:szCs w:val="21"/>
        </w:rPr>
        <w:t>）、《公开募集证券投资基金运作指引第</w:t>
      </w:r>
      <w:r>
        <w:rPr>
          <w:rFonts w:ascii="宋体" w:hAnsi="宋体" w:cs="宋体"/>
          <w:kern w:val="0"/>
          <w:szCs w:val="21"/>
        </w:rPr>
        <w:t>2</w:t>
      </w:r>
      <w:r>
        <w:rPr>
          <w:rFonts w:ascii="宋体" w:hAnsi="宋体" w:cs="宋体"/>
          <w:kern w:val="0"/>
          <w:szCs w:val="21"/>
        </w:rPr>
        <w:t>号</w:t>
      </w:r>
      <w:r>
        <w:rPr>
          <w:rFonts w:ascii="宋体" w:hAnsi="宋体" w:cs="宋体"/>
          <w:kern w:val="0"/>
          <w:szCs w:val="21"/>
        </w:rPr>
        <w:t>——</w:t>
      </w:r>
      <w:r>
        <w:rPr>
          <w:rFonts w:ascii="宋体" w:hAnsi="宋体" w:cs="宋体"/>
          <w:kern w:val="0"/>
          <w:szCs w:val="21"/>
        </w:rPr>
        <w:t>基金中基金指引》、《公开募集开放式证券投资基金流动性</w:t>
      </w:r>
      <w:r>
        <w:rPr>
          <w:rFonts w:ascii="宋体" w:hAnsi="宋体" w:cs="宋体"/>
          <w:kern w:val="0"/>
          <w:szCs w:val="21"/>
        </w:rPr>
        <w:t>风险管理规定》</w:t>
      </w:r>
      <w:r>
        <w:rPr>
          <w:rFonts w:ascii="宋体" w:hAnsi="宋体" w:cs="宋体"/>
          <w:kern w:val="0"/>
          <w:szCs w:val="21"/>
        </w:rPr>
        <w:t>(</w:t>
      </w:r>
      <w:r>
        <w:rPr>
          <w:rFonts w:ascii="宋体" w:hAnsi="宋体" w:cs="宋体"/>
          <w:kern w:val="0"/>
          <w:szCs w:val="21"/>
        </w:rPr>
        <w:t>以下简称</w:t>
      </w:r>
      <w:r>
        <w:rPr>
          <w:rFonts w:ascii="宋体" w:hAnsi="宋体" w:cs="宋体"/>
          <w:kern w:val="0"/>
          <w:szCs w:val="21"/>
        </w:rPr>
        <w:t>“</w:t>
      </w:r>
      <w:r>
        <w:rPr>
          <w:rFonts w:ascii="宋体" w:hAnsi="宋体" w:cs="宋体"/>
          <w:kern w:val="0"/>
          <w:szCs w:val="21"/>
        </w:rPr>
        <w:t>《流动性风险管理规定》</w:t>
      </w:r>
      <w:r>
        <w:rPr>
          <w:rFonts w:ascii="宋体" w:hAnsi="宋体" w:cs="宋体"/>
          <w:kern w:val="0"/>
          <w:szCs w:val="21"/>
        </w:rPr>
        <w:t xml:space="preserve">”) </w:t>
      </w:r>
      <w:r>
        <w:rPr>
          <w:rFonts w:ascii="宋体" w:hAnsi="宋体" w:cs="宋体"/>
          <w:kern w:val="0"/>
          <w:szCs w:val="21"/>
        </w:rPr>
        <w:t>、《公开募集证券投资基金侧袋机制指引（试行）》及其他有关规定以及《华商安远稳进一年持有期混合型基金中基金</w:t>
      </w:r>
      <w:r>
        <w:rPr>
          <w:rFonts w:ascii="宋体" w:hAnsi="宋体" w:cs="宋体"/>
          <w:kern w:val="0"/>
          <w:szCs w:val="21"/>
        </w:rPr>
        <w:t>(FOF)</w:t>
      </w:r>
      <w:r>
        <w:rPr>
          <w:rFonts w:ascii="宋体" w:hAnsi="宋体" w:cs="宋体"/>
          <w:kern w:val="0"/>
          <w:szCs w:val="21"/>
        </w:rPr>
        <w:t>基金合同》（以下简称</w:t>
      </w:r>
      <w:r>
        <w:rPr>
          <w:rFonts w:ascii="宋体" w:hAnsi="宋体" w:cs="宋体"/>
          <w:kern w:val="0"/>
          <w:szCs w:val="21"/>
        </w:rPr>
        <w:t>“</w:t>
      </w:r>
      <w:r>
        <w:rPr>
          <w:rFonts w:ascii="宋体" w:hAnsi="宋体" w:cs="宋体"/>
          <w:kern w:val="0"/>
          <w:szCs w:val="21"/>
        </w:rPr>
        <w:t>基金合同</w:t>
      </w:r>
      <w:r>
        <w:rPr>
          <w:rFonts w:ascii="宋体" w:hAnsi="宋体" w:cs="宋体"/>
          <w:kern w:val="0"/>
          <w:szCs w:val="21"/>
        </w:rPr>
        <w:t>”</w:t>
      </w:r>
      <w:r>
        <w:rPr>
          <w:rFonts w:ascii="宋体" w:hAnsi="宋体" w:cs="宋体"/>
          <w:kern w:val="0"/>
          <w:szCs w:val="21"/>
        </w:rPr>
        <w:t>）编写。</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本招募说明书阐述了华商安远稳进一年持有期混合型基金中基金</w:t>
      </w:r>
      <w:r>
        <w:rPr>
          <w:rFonts w:ascii="宋体" w:hAnsi="宋体" w:cs="宋体"/>
          <w:kern w:val="0"/>
          <w:szCs w:val="21"/>
        </w:rPr>
        <w:t>(FOF)</w:t>
      </w:r>
      <w:r>
        <w:rPr>
          <w:rFonts w:ascii="宋体" w:hAnsi="宋体" w:cs="宋体"/>
          <w:kern w:val="0"/>
          <w:szCs w:val="21"/>
        </w:rPr>
        <w:t>的投资目标、策略、风险、费率等与投资人投资决策有关的必要事项，投资人在作出投资决策前应仔细阅读本招募说明书。</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基金管理人承诺本招募说明书不存在任何虚假记载、误导性陈述或者重大遗漏，并对其真实性、准确性、完整性承担法律责任。本基金是根据本</w:t>
      </w:r>
      <w:r>
        <w:rPr>
          <w:rFonts w:ascii="宋体" w:hAnsi="宋体" w:cs="宋体"/>
          <w:kern w:val="0"/>
          <w:szCs w:val="21"/>
        </w:rPr>
        <w:t>招募说明书所载明的资料申请募集的。本基金管理人没有委托或授权任何其他人提供未在本招募说明书中载明的信息，或对本招募说明书作任何解释或者说明。</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招募说明书根据本基金的基金合同编写，并经中国证监会注册。基金合同是约定基金合同当事人之间基本权利义务的法律文件，其他与本基金相关的涉及基金合同当事人之间权利义务关系的任何文件或表述，均以基金合同为准。基金合同的当事人包括基金管理人、基金托管人和基金份额持有人。基金投资者自依基金合同取得本基金基金份额，即成为基金份额持有人和基金合同的当事人，其持有基金份额的行为本身即</w:t>
      </w:r>
      <w:r>
        <w:rPr>
          <w:rFonts w:ascii="宋体" w:hAnsi="宋体" w:cs="宋体"/>
          <w:kern w:val="0"/>
          <w:szCs w:val="21"/>
        </w:rPr>
        <w:t>表明其对基金合同的承认和接受。基金份额持有人作为基金合同当事人并不以在基金合同上书面签章为必要条件。基金合同当事人按照《基金法》、基金合同及其他有关规定享有权利、承担义务。基金投资者欲了解基金份额持有人的权利和义务，应详细查阅基金合同。</w:t>
      </w:r>
      <w:r>
        <w:rPr>
          <w:rFonts w:ascii="宋体" w:hAnsi="宋体" w:cs="宋体"/>
          <w:kern w:val="0"/>
          <w:szCs w:val="21"/>
        </w:rPr>
        <w:br w:type="page"/>
      </w:r>
    </w:p>
    <w:p w:rsidR="00796C66" w:rsidRDefault="00FB6202">
      <w:pPr>
        <w:pStyle w:val="ae"/>
        <w:outlineLvl w:val="0"/>
      </w:pPr>
      <w:bookmarkStart w:id="2" w:name="_Toc256000002"/>
      <w:r>
        <w:rPr>
          <w:noProof/>
        </w:rPr>
        <w:lastRenderedPageBreak/>
        <w:t>二</w:t>
      </w:r>
      <w:r>
        <w:rPr>
          <w:rStyle w:val="Char5"/>
          <w:b/>
          <w:bCs/>
          <w:noProof/>
        </w:rPr>
        <w:t>、</w:t>
      </w:r>
      <w:r>
        <w:rPr>
          <w:noProof/>
        </w:rPr>
        <w:t>释义</w:t>
      </w:r>
      <w:bookmarkEnd w:id="2"/>
    </w:p>
    <w:p w:rsidR="00796C66" w:rsidRDefault="00FB6202">
      <w:pPr>
        <w:pStyle w:val="div"/>
        <w:spacing w:line="360" w:lineRule="auto"/>
        <w:ind w:firstLine="480"/>
        <w:rPr>
          <w:rFonts w:eastAsia="Times New Roman"/>
          <w:kern w:val="0"/>
          <w:szCs w:val="21"/>
        </w:rPr>
      </w:pPr>
      <w:r>
        <w:rPr>
          <w:rFonts w:ascii="宋体" w:hAnsi="宋体" w:cs="宋体"/>
          <w:kern w:val="0"/>
          <w:szCs w:val="21"/>
        </w:rPr>
        <w:t>本招募说明书中，除非文意另有所指，下列词语或简称具有如下含义：</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、基金或本基金：指华商安远稳进一年持有期混合型基金中基金</w:t>
      </w:r>
      <w:r>
        <w:rPr>
          <w:rFonts w:ascii="宋体" w:hAnsi="宋体" w:cs="宋体"/>
          <w:kern w:val="0"/>
          <w:szCs w:val="21"/>
        </w:rPr>
        <w:t>(FOF)</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、基金管理人：指华商基金管理有限公司。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、基金托管人：指平安银行股份有限公司。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、基金合同：指《华商安远稳进一年持有期混</w:t>
      </w:r>
      <w:r>
        <w:rPr>
          <w:rFonts w:ascii="宋体" w:hAnsi="宋体" w:cs="宋体"/>
          <w:kern w:val="0"/>
          <w:szCs w:val="21"/>
        </w:rPr>
        <w:t>合型基金中基金</w:t>
      </w:r>
      <w:r>
        <w:rPr>
          <w:rFonts w:ascii="宋体" w:hAnsi="宋体" w:cs="宋体"/>
          <w:kern w:val="0"/>
          <w:szCs w:val="21"/>
        </w:rPr>
        <w:t>(FOF)</w:t>
      </w:r>
      <w:r>
        <w:rPr>
          <w:rFonts w:ascii="宋体" w:hAnsi="宋体" w:cs="宋体"/>
          <w:kern w:val="0"/>
          <w:szCs w:val="21"/>
        </w:rPr>
        <w:t>基金合同》及对基金合同的任何有效修订和补充。</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、托管协议：指基金管理人与基金托管人就本基金签订之《华商安远稳进一年持有期混合型基金中基金</w:t>
      </w:r>
      <w:r>
        <w:rPr>
          <w:rFonts w:ascii="宋体" w:hAnsi="宋体" w:cs="宋体"/>
          <w:kern w:val="0"/>
          <w:szCs w:val="21"/>
        </w:rPr>
        <w:t>(FOF)</w:t>
      </w:r>
      <w:r>
        <w:rPr>
          <w:rFonts w:ascii="宋体" w:hAnsi="宋体" w:cs="宋体"/>
          <w:kern w:val="0"/>
          <w:szCs w:val="21"/>
        </w:rPr>
        <w:t>托管协议》及对该托管协议的任何有效修订和补充。</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、招募说明书或本招募说明书：指《华商安远稳进一年持有期混合型基金中基金</w:t>
      </w:r>
      <w:r>
        <w:rPr>
          <w:rFonts w:ascii="宋体" w:hAnsi="宋体" w:cs="宋体"/>
          <w:kern w:val="0"/>
          <w:szCs w:val="21"/>
        </w:rPr>
        <w:t>(FOF)</w:t>
      </w:r>
      <w:r>
        <w:rPr>
          <w:rFonts w:ascii="宋体" w:hAnsi="宋体" w:cs="宋体"/>
          <w:kern w:val="0"/>
          <w:szCs w:val="21"/>
        </w:rPr>
        <w:t>招募说明书》及其更新。</w:t>
      </w:r>
    </w:p>
    <w:p w:rsidR="00796C66" w:rsidRDefault="00FB6202">
      <w:pPr>
        <w:pStyle w:val="div"/>
        <w:spacing w:line="360" w:lineRule="auto"/>
        <w:ind w:firstLine="480"/>
        <w:rPr>
          <w:rFonts w:eastAsia="Times New Roman"/>
          <w:kern w:val="0"/>
          <w:szCs w:val="21"/>
        </w:rPr>
      </w:pPr>
      <w:r>
        <w:rPr>
          <w:rFonts w:ascii="宋体" w:hAnsi="宋体" w:cs="宋体"/>
          <w:kern w:val="0"/>
          <w:szCs w:val="21"/>
        </w:rPr>
        <w:t>7</w:t>
      </w:r>
      <w:r>
        <w:rPr>
          <w:rFonts w:ascii="宋体" w:hAnsi="宋体" w:cs="宋体"/>
          <w:kern w:val="0"/>
          <w:szCs w:val="21"/>
        </w:rPr>
        <w:t>、基金产品资料概要：指《华商安远稳进一年持有期混合型基金中基金</w:t>
      </w:r>
      <w:r>
        <w:rPr>
          <w:rFonts w:ascii="宋体" w:hAnsi="宋体" w:cs="宋体"/>
          <w:kern w:val="0"/>
          <w:szCs w:val="21"/>
        </w:rPr>
        <w:t>(FOF)</w:t>
      </w:r>
      <w:r>
        <w:rPr>
          <w:rFonts w:ascii="宋体" w:hAnsi="宋体" w:cs="宋体"/>
          <w:kern w:val="0"/>
          <w:szCs w:val="21"/>
        </w:rPr>
        <w:t>基金产品资料概要》及其更新。</w:t>
      </w:r>
    </w:p>
    <w:p w:rsidR="00796C66" w:rsidRDefault="00FB6202">
      <w:pPr>
        <w:pStyle w:val="div"/>
        <w:spacing w:line="360" w:lineRule="auto"/>
        <w:ind w:firstLine="480"/>
        <w:rPr>
          <w:rFonts w:eastAsia="Times New Roman"/>
          <w:kern w:val="0"/>
          <w:szCs w:val="21"/>
        </w:rPr>
      </w:pPr>
      <w:r>
        <w:rPr>
          <w:rFonts w:ascii="宋体" w:hAnsi="宋体" w:cs="宋体"/>
          <w:kern w:val="0"/>
          <w:szCs w:val="21"/>
        </w:rPr>
        <w:t>8</w:t>
      </w:r>
      <w:r>
        <w:rPr>
          <w:rFonts w:ascii="宋体" w:hAnsi="宋体" w:cs="宋体"/>
          <w:kern w:val="0"/>
          <w:szCs w:val="21"/>
        </w:rPr>
        <w:t>、基金份额发售公告：指《华商安远稳进一年持有期混合型基金中基金</w:t>
      </w:r>
      <w:r>
        <w:rPr>
          <w:rFonts w:ascii="宋体" w:hAnsi="宋体" w:cs="宋体"/>
          <w:kern w:val="0"/>
          <w:szCs w:val="21"/>
        </w:rPr>
        <w:t>(FOF)</w:t>
      </w:r>
      <w:r>
        <w:rPr>
          <w:rFonts w:ascii="宋体" w:hAnsi="宋体" w:cs="宋体"/>
          <w:kern w:val="0"/>
          <w:szCs w:val="21"/>
        </w:rPr>
        <w:t>基金份额发售公告》。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9</w:t>
      </w:r>
      <w:r>
        <w:rPr>
          <w:rFonts w:ascii="宋体" w:hAnsi="宋体" w:cs="宋体"/>
          <w:kern w:val="0"/>
          <w:szCs w:val="21"/>
        </w:rPr>
        <w:t>、法律法规：指中国现行有效并公布实施的法律、行政法规、规范性文件、司法解释、行政规章以及其他对基金合同当事人有约束力的决定、决议、通知等。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10</w:t>
      </w:r>
      <w:r>
        <w:rPr>
          <w:rFonts w:ascii="宋体" w:hAnsi="宋体" w:cs="宋体"/>
          <w:kern w:val="0"/>
          <w:szCs w:val="21"/>
        </w:rPr>
        <w:t>、《基金法》：指</w:t>
      </w:r>
      <w:r>
        <w:rPr>
          <w:rFonts w:ascii="宋体" w:hAnsi="宋体" w:cs="宋体"/>
          <w:kern w:val="0"/>
          <w:szCs w:val="21"/>
        </w:rPr>
        <w:t>2003</w:t>
      </w:r>
      <w:r>
        <w:rPr>
          <w:rFonts w:ascii="宋体" w:hAnsi="宋体" w:cs="宋体"/>
          <w:kern w:val="0"/>
          <w:szCs w:val="21"/>
        </w:rPr>
        <w:t>年</w:t>
      </w:r>
      <w:r>
        <w:rPr>
          <w:rFonts w:ascii="宋体" w:hAnsi="宋体" w:cs="宋体"/>
          <w:kern w:val="0"/>
          <w:szCs w:val="21"/>
        </w:rPr>
        <w:t>10</w:t>
      </w:r>
      <w:r>
        <w:rPr>
          <w:rFonts w:ascii="宋体" w:hAnsi="宋体" w:cs="宋体"/>
          <w:kern w:val="0"/>
          <w:szCs w:val="21"/>
        </w:rPr>
        <w:t>月</w:t>
      </w:r>
      <w:r>
        <w:rPr>
          <w:rFonts w:ascii="宋体" w:hAnsi="宋体" w:cs="宋体"/>
          <w:kern w:val="0"/>
          <w:szCs w:val="21"/>
        </w:rPr>
        <w:t>28</w:t>
      </w:r>
      <w:r>
        <w:rPr>
          <w:rFonts w:ascii="宋体" w:hAnsi="宋体" w:cs="宋体"/>
          <w:kern w:val="0"/>
          <w:szCs w:val="21"/>
        </w:rPr>
        <w:t>日经第十届全国人民代表大会常务委员会第五次会议通过，经</w:t>
      </w:r>
      <w:r>
        <w:rPr>
          <w:rFonts w:ascii="宋体" w:hAnsi="宋体" w:cs="宋体"/>
          <w:kern w:val="0"/>
          <w:szCs w:val="21"/>
        </w:rPr>
        <w:t>2012</w:t>
      </w:r>
      <w:r>
        <w:rPr>
          <w:rFonts w:ascii="宋体" w:hAnsi="宋体" w:cs="宋体"/>
          <w:kern w:val="0"/>
          <w:szCs w:val="21"/>
        </w:rPr>
        <w:t>年</w:t>
      </w:r>
      <w:r>
        <w:rPr>
          <w:rFonts w:ascii="宋体" w:hAnsi="宋体" w:cs="宋体"/>
          <w:kern w:val="0"/>
          <w:szCs w:val="21"/>
        </w:rPr>
        <w:t>12</w:t>
      </w:r>
      <w:r>
        <w:rPr>
          <w:rFonts w:ascii="宋体" w:hAnsi="宋体" w:cs="宋体"/>
          <w:kern w:val="0"/>
          <w:szCs w:val="21"/>
        </w:rPr>
        <w:t>月</w:t>
      </w:r>
      <w:r>
        <w:rPr>
          <w:rFonts w:ascii="宋体" w:hAnsi="宋体" w:cs="宋体"/>
          <w:kern w:val="0"/>
          <w:szCs w:val="21"/>
        </w:rPr>
        <w:t>28</w:t>
      </w:r>
      <w:r>
        <w:rPr>
          <w:rFonts w:ascii="宋体" w:hAnsi="宋体" w:cs="宋体"/>
          <w:kern w:val="0"/>
          <w:szCs w:val="21"/>
        </w:rPr>
        <w:t>日第十一届全国人民代表大会常务委员会第三十次会议修订，自</w:t>
      </w:r>
      <w:r>
        <w:rPr>
          <w:rFonts w:ascii="宋体" w:hAnsi="宋体" w:cs="宋体"/>
          <w:kern w:val="0"/>
          <w:szCs w:val="21"/>
        </w:rPr>
        <w:t>2013</w:t>
      </w:r>
      <w:r>
        <w:rPr>
          <w:rFonts w:ascii="宋体" w:hAnsi="宋体" w:cs="宋体"/>
          <w:kern w:val="0"/>
          <w:szCs w:val="21"/>
        </w:rPr>
        <w:t>年</w:t>
      </w:r>
      <w:r>
        <w:rPr>
          <w:rFonts w:ascii="宋体" w:hAnsi="宋体" w:cs="宋体"/>
          <w:kern w:val="0"/>
          <w:szCs w:val="21"/>
        </w:rPr>
        <w:t>6</w:t>
      </w:r>
      <w:r>
        <w:rPr>
          <w:rFonts w:ascii="宋体" w:hAnsi="宋体" w:cs="宋体"/>
          <w:kern w:val="0"/>
          <w:szCs w:val="21"/>
        </w:rPr>
        <w:t>月</w:t>
      </w:r>
      <w:r>
        <w:rPr>
          <w:rFonts w:ascii="宋体" w:hAnsi="宋体" w:cs="宋体"/>
          <w:kern w:val="0"/>
          <w:szCs w:val="21"/>
        </w:rPr>
        <w:t>1</w:t>
      </w:r>
      <w:r>
        <w:rPr>
          <w:rFonts w:ascii="宋体" w:hAnsi="宋体" w:cs="宋体"/>
          <w:kern w:val="0"/>
          <w:szCs w:val="21"/>
        </w:rPr>
        <w:t>日起实施，并经</w:t>
      </w:r>
      <w:r>
        <w:rPr>
          <w:rFonts w:ascii="宋体" w:hAnsi="宋体" w:cs="宋体"/>
          <w:kern w:val="0"/>
          <w:szCs w:val="21"/>
        </w:rPr>
        <w:t>2015</w:t>
      </w:r>
      <w:r>
        <w:rPr>
          <w:rFonts w:ascii="宋体" w:hAnsi="宋体" w:cs="宋体"/>
          <w:kern w:val="0"/>
          <w:szCs w:val="21"/>
        </w:rPr>
        <w:t>年</w:t>
      </w:r>
      <w:r>
        <w:rPr>
          <w:rFonts w:ascii="宋体" w:hAnsi="宋体" w:cs="宋体"/>
          <w:kern w:val="0"/>
          <w:szCs w:val="21"/>
        </w:rPr>
        <w:t>4</w:t>
      </w:r>
      <w:r>
        <w:rPr>
          <w:rFonts w:ascii="宋体" w:hAnsi="宋体" w:cs="宋体"/>
          <w:kern w:val="0"/>
          <w:szCs w:val="21"/>
        </w:rPr>
        <w:t>月</w:t>
      </w:r>
      <w:r>
        <w:rPr>
          <w:rFonts w:ascii="宋体" w:hAnsi="宋体" w:cs="宋体"/>
          <w:kern w:val="0"/>
          <w:szCs w:val="21"/>
        </w:rPr>
        <w:t>24</w:t>
      </w:r>
      <w:r>
        <w:rPr>
          <w:rFonts w:ascii="宋体" w:hAnsi="宋体" w:cs="宋体"/>
          <w:kern w:val="0"/>
          <w:szCs w:val="21"/>
        </w:rPr>
        <w:t>日第十二届全国人民代表大会常务委员会第十四次会议《全国人</w:t>
      </w:r>
      <w:r>
        <w:rPr>
          <w:rFonts w:ascii="宋体" w:hAnsi="宋体" w:cs="宋体"/>
          <w:kern w:val="0"/>
          <w:szCs w:val="21"/>
        </w:rPr>
        <w:t>民代表大会常务委员会关于修改</w:t>
      </w:r>
      <w:r>
        <w:rPr>
          <w:rFonts w:ascii="宋体" w:hAnsi="宋体" w:cs="宋体"/>
          <w:kern w:val="0"/>
          <w:szCs w:val="21"/>
        </w:rPr>
        <w:t>&lt;</w:t>
      </w:r>
      <w:r>
        <w:rPr>
          <w:rFonts w:ascii="宋体" w:hAnsi="宋体" w:cs="宋体"/>
          <w:kern w:val="0"/>
          <w:szCs w:val="21"/>
        </w:rPr>
        <w:t>中华人民共和国港口法</w:t>
      </w:r>
      <w:r>
        <w:rPr>
          <w:rFonts w:ascii="宋体" w:hAnsi="宋体" w:cs="宋体"/>
          <w:kern w:val="0"/>
          <w:szCs w:val="21"/>
        </w:rPr>
        <w:t>&gt;</w:t>
      </w:r>
      <w:r>
        <w:rPr>
          <w:rFonts w:ascii="宋体" w:hAnsi="宋体" w:cs="宋体"/>
          <w:kern w:val="0"/>
          <w:szCs w:val="21"/>
        </w:rPr>
        <w:t>等七部法律的决定》修正的《中华人民共和国证券投资基金法》及颁布机关对其不时做出的修订。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11</w:t>
      </w:r>
      <w:r>
        <w:rPr>
          <w:rFonts w:ascii="宋体" w:hAnsi="宋体" w:cs="宋体"/>
          <w:kern w:val="0"/>
          <w:szCs w:val="21"/>
        </w:rPr>
        <w:t>、《销售办法》：指中国证监会</w:t>
      </w:r>
      <w:r>
        <w:rPr>
          <w:rFonts w:ascii="宋体" w:hAnsi="宋体" w:cs="宋体"/>
          <w:kern w:val="0"/>
          <w:szCs w:val="21"/>
        </w:rPr>
        <w:t>2020</w:t>
      </w:r>
      <w:r>
        <w:rPr>
          <w:rFonts w:ascii="宋体" w:hAnsi="宋体" w:cs="宋体"/>
          <w:kern w:val="0"/>
          <w:szCs w:val="21"/>
        </w:rPr>
        <w:t>年</w:t>
      </w:r>
      <w:r>
        <w:rPr>
          <w:rFonts w:ascii="宋体" w:hAnsi="宋体" w:cs="宋体"/>
          <w:kern w:val="0"/>
          <w:szCs w:val="21"/>
        </w:rPr>
        <w:t>8</w:t>
      </w:r>
      <w:r>
        <w:rPr>
          <w:rFonts w:ascii="宋体" w:hAnsi="宋体" w:cs="宋体"/>
          <w:kern w:val="0"/>
          <w:szCs w:val="21"/>
        </w:rPr>
        <w:t>月</w:t>
      </w:r>
      <w:r>
        <w:rPr>
          <w:rFonts w:ascii="宋体" w:hAnsi="宋体" w:cs="宋体"/>
          <w:kern w:val="0"/>
          <w:szCs w:val="21"/>
        </w:rPr>
        <w:t>28</w:t>
      </w:r>
      <w:r>
        <w:rPr>
          <w:rFonts w:ascii="宋体" w:hAnsi="宋体" w:cs="宋体"/>
          <w:kern w:val="0"/>
          <w:szCs w:val="21"/>
        </w:rPr>
        <w:t>日颁布、同年</w:t>
      </w:r>
      <w:r>
        <w:rPr>
          <w:rFonts w:ascii="宋体" w:hAnsi="宋体" w:cs="宋体"/>
          <w:kern w:val="0"/>
          <w:szCs w:val="21"/>
        </w:rPr>
        <w:t>10</w:t>
      </w:r>
      <w:r>
        <w:rPr>
          <w:rFonts w:ascii="宋体" w:hAnsi="宋体" w:cs="宋体"/>
          <w:kern w:val="0"/>
          <w:szCs w:val="21"/>
        </w:rPr>
        <w:t>月</w:t>
      </w:r>
      <w:r>
        <w:rPr>
          <w:rFonts w:ascii="宋体" w:hAnsi="宋体" w:cs="宋体"/>
          <w:kern w:val="0"/>
          <w:szCs w:val="21"/>
        </w:rPr>
        <w:t>1</w:t>
      </w:r>
      <w:r>
        <w:rPr>
          <w:rFonts w:ascii="宋体" w:hAnsi="宋体" w:cs="宋体"/>
          <w:kern w:val="0"/>
          <w:szCs w:val="21"/>
        </w:rPr>
        <w:t>日实施的《公开募集证券投资基金销售机构监督管理办法》及颁布机关对其不时做出的修订。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12</w:t>
      </w:r>
      <w:r>
        <w:rPr>
          <w:rFonts w:ascii="宋体" w:hAnsi="宋体" w:cs="宋体"/>
          <w:kern w:val="0"/>
          <w:szCs w:val="21"/>
        </w:rPr>
        <w:t>、《信息披露办法》：指中国证监会</w:t>
      </w:r>
      <w:r>
        <w:rPr>
          <w:rFonts w:ascii="宋体" w:hAnsi="宋体" w:cs="宋体"/>
          <w:kern w:val="0"/>
          <w:szCs w:val="21"/>
        </w:rPr>
        <w:t>2019</w:t>
      </w:r>
      <w:r>
        <w:rPr>
          <w:rFonts w:ascii="宋体" w:hAnsi="宋体" w:cs="宋体"/>
          <w:kern w:val="0"/>
          <w:szCs w:val="21"/>
        </w:rPr>
        <w:t>年</w:t>
      </w:r>
      <w:r>
        <w:rPr>
          <w:rFonts w:ascii="宋体" w:hAnsi="宋体" w:cs="宋体"/>
          <w:kern w:val="0"/>
          <w:szCs w:val="21"/>
        </w:rPr>
        <w:t>7</w:t>
      </w:r>
      <w:r>
        <w:rPr>
          <w:rFonts w:ascii="宋体" w:hAnsi="宋体" w:cs="宋体"/>
          <w:kern w:val="0"/>
          <w:szCs w:val="21"/>
        </w:rPr>
        <w:t>月</w:t>
      </w:r>
      <w:r>
        <w:rPr>
          <w:rFonts w:ascii="宋体" w:hAnsi="宋体" w:cs="宋体"/>
          <w:kern w:val="0"/>
          <w:szCs w:val="21"/>
        </w:rPr>
        <w:t>26</w:t>
      </w:r>
      <w:r>
        <w:rPr>
          <w:rFonts w:ascii="宋体" w:hAnsi="宋体" w:cs="宋体"/>
          <w:kern w:val="0"/>
          <w:szCs w:val="21"/>
        </w:rPr>
        <w:t>日颁布、同年</w:t>
      </w:r>
      <w:r>
        <w:rPr>
          <w:rFonts w:ascii="宋体" w:hAnsi="宋体" w:cs="宋体"/>
          <w:kern w:val="0"/>
          <w:szCs w:val="21"/>
        </w:rPr>
        <w:t>9</w:t>
      </w:r>
      <w:r>
        <w:rPr>
          <w:rFonts w:ascii="宋体" w:hAnsi="宋体" w:cs="宋体"/>
          <w:kern w:val="0"/>
          <w:szCs w:val="21"/>
        </w:rPr>
        <w:t>月</w:t>
      </w:r>
      <w:r>
        <w:rPr>
          <w:rFonts w:ascii="宋体" w:hAnsi="宋体" w:cs="宋体"/>
          <w:kern w:val="0"/>
          <w:szCs w:val="21"/>
        </w:rPr>
        <w:t>1</w:t>
      </w:r>
      <w:r>
        <w:rPr>
          <w:rFonts w:ascii="宋体" w:hAnsi="宋体" w:cs="宋体"/>
          <w:kern w:val="0"/>
          <w:szCs w:val="21"/>
        </w:rPr>
        <w:t>日起实施，并经</w:t>
      </w:r>
      <w:r>
        <w:rPr>
          <w:rFonts w:ascii="宋体" w:hAnsi="宋体" w:cs="宋体"/>
          <w:kern w:val="0"/>
          <w:szCs w:val="21"/>
        </w:rPr>
        <w:t>2020</w:t>
      </w:r>
      <w:r>
        <w:rPr>
          <w:rFonts w:ascii="宋体" w:hAnsi="宋体" w:cs="宋体"/>
          <w:kern w:val="0"/>
          <w:szCs w:val="21"/>
        </w:rPr>
        <w:t>年</w:t>
      </w:r>
      <w:r>
        <w:rPr>
          <w:rFonts w:ascii="宋体" w:hAnsi="宋体" w:cs="宋体"/>
          <w:kern w:val="0"/>
          <w:szCs w:val="21"/>
        </w:rPr>
        <w:t>3</w:t>
      </w:r>
      <w:r>
        <w:rPr>
          <w:rFonts w:ascii="宋体" w:hAnsi="宋体" w:cs="宋体"/>
          <w:kern w:val="0"/>
          <w:szCs w:val="21"/>
        </w:rPr>
        <w:t>月</w:t>
      </w:r>
      <w:r>
        <w:rPr>
          <w:rFonts w:ascii="宋体" w:hAnsi="宋体" w:cs="宋体"/>
          <w:kern w:val="0"/>
          <w:szCs w:val="21"/>
        </w:rPr>
        <w:t>6</w:t>
      </w:r>
      <w:r>
        <w:rPr>
          <w:rFonts w:ascii="宋体" w:hAnsi="宋体" w:cs="宋体"/>
          <w:kern w:val="0"/>
          <w:szCs w:val="21"/>
        </w:rPr>
        <w:t>日中国证监会</w:t>
      </w:r>
      <w:r>
        <w:rPr>
          <w:rFonts w:ascii="宋体" w:hAnsi="宋体" w:cs="宋体"/>
          <w:kern w:val="0"/>
          <w:szCs w:val="21"/>
        </w:rPr>
        <w:t>2020</w:t>
      </w:r>
      <w:r>
        <w:rPr>
          <w:rFonts w:ascii="宋体" w:hAnsi="宋体" w:cs="宋体"/>
          <w:kern w:val="0"/>
          <w:szCs w:val="21"/>
        </w:rPr>
        <w:t>年第</w:t>
      </w:r>
      <w:r>
        <w:rPr>
          <w:rFonts w:ascii="宋体" w:hAnsi="宋体" w:cs="宋体"/>
          <w:kern w:val="0"/>
          <w:szCs w:val="21"/>
        </w:rPr>
        <w:t>2</w:t>
      </w:r>
      <w:r>
        <w:rPr>
          <w:rFonts w:ascii="宋体" w:hAnsi="宋体" w:cs="宋体"/>
          <w:kern w:val="0"/>
          <w:szCs w:val="21"/>
        </w:rPr>
        <w:t>次委务会审议通过的《关于修改部分证券期货规章的决定》修正的《公开募集证券投资基金信息披露管</w:t>
      </w:r>
      <w:r>
        <w:rPr>
          <w:rFonts w:ascii="宋体" w:hAnsi="宋体" w:cs="宋体"/>
          <w:kern w:val="0"/>
          <w:szCs w:val="21"/>
        </w:rPr>
        <w:t>理办法》及颁布机关对其不时做出的修订。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13</w:t>
      </w:r>
      <w:r>
        <w:rPr>
          <w:rFonts w:ascii="宋体" w:hAnsi="宋体" w:cs="宋体"/>
          <w:kern w:val="0"/>
          <w:szCs w:val="21"/>
        </w:rPr>
        <w:t>、《运作办法》：指中国证监会</w:t>
      </w:r>
      <w:r>
        <w:rPr>
          <w:rFonts w:ascii="宋体" w:hAnsi="宋体" w:cs="宋体"/>
          <w:kern w:val="0"/>
          <w:szCs w:val="21"/>
        </w:rPr>
        <w:t>2014</w:t>
      </w:r>
      <w:r>
        <w:rPr>
          <w:rFonts w:ascii="宋体" w:hAnsi="宋体" w:cs="宋体"/>
          <w:kern w:val="0"/>
          <w:szCs w:val="21"/>
        </w:rPr>
        <w:t>年</w:t>
      </w:r>
      <w:r>
        <w:rPr>
          <w:rFonts w:ascii="宋体" w:hAnsi="宋体" w:cs="宋体"/>
          <w:kern w:val="0"/>
          <w:szCs w:val="21"/>
        </w:rPr>
        <w:t>7</w:t>
      </w:r>
      <w:r>
        <w:rPr>
          <w:rFonts w:ascii="宋体" w:hAnsi="宋体" w:cs="宋体"/>
          <w:kern w:val="0"/>
          <w:szCs w:val="21"/>
        </w:rPr>
        <w:t>月</w:t>
      </w:r>
      <w:r>
        <w:rPr>
          <w:rFonts w:ascii="宋体" w:hAnsi="宋体" w:cs="宋体"/>
          <w:kern w:val="0"/>
          <w:szCs w:val="21"/>
        </w:rPr>
        <w:t>7</w:t>
      </w:r>
      <w:r>
        <w:rPr>
          <w:rFonts w:ascii="宋体" w:hAnsi="宋体" w:cs="宋体"/>
          <w:kern w:val="0"/>
          <w:szCs w:val="21"/>
        </w:rPr>
        <w:t>日颁布、同年</w:t>
      </w:r>
      <w:r>
        <w:rPr>
          <w:rFonts w:ascii="宋体" w:hAnsi="宋体" w:cs="宋体"/>
          <w:kern w:val="0"/>
          <w:szCs w:val="21"/>
        </w:rPr>
        <w:t>8</w:t>
      </w:r>
      <w:r>
        <w:rPr>
          <w:rFonts w:ascii="宋体" w:hAnsi="宋体" w:cs="宋体"/>
          <w:kern w:val="0"/>
          <w:szCs w:val="21"/>
        </w:rPr>
        <w:t>月</w:t>
      </w:r>
      <w:r>
        <w:rPr>
          <w:rFonts w:ascii="宋体" w:hAnsi="宋体" w:cs="宋体"/>
          <w:kern w:val="0"/>
          <w:szCs w:val="21"/>
        </w:rPr>
        <w:t>8</w:t>
      </w:r>
      <w:r>
        <w:rPr>
          <w:rFonts w:ascii="宋体" w:hAnsi="宋体" w:cs="宋体"/>
          <w:kern w:val="0"/>
          <w:szCs w:val="21"/>
        </w:rPr>
        <w:t>日实施的《公开募集证券投资基金运作管理办法》及颁布机关对其不时做出的修订。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14</w:t>
      </w:r>
      <w:r>
        <w:rPr>
          <w:rFonts w:ascii="宋体" w:hAnsi="宋体" w:cs="宋体"/>
          <w:kern w:val="0"/>
          <w:szCs w:val="21"/>
        </w:rPr>
        <w:t>、《流动性风险管理规定》：指中国证监会</w:t>
      </w:r>
      <w:r>
        <w:rPr>
          <w:rFonts w:ascii="宋体" w:hAnsi="宋体" w:cs="宋体"/>
          <w:kern w:val="0"/>
          <w:szCs w:val="21"/>
        </w:rPr>
        <w:t>2017</w:t>
      </w:r>
      <w:r>
        <w:rPr>
          <w:rFonts w:ascii="宋体" w:hAnsi="宋体" w:cs="宋体"/>
          <w:kern w:val="0"/>
          <w:szCs w:val="21"/>
        </w:rPr>
        <w:t>年</w:t>
      </w:r>
      <w:r>
        <w:rPr>
          <w:rFonts w:ascii="宋体" w:hAnsi="宋体" w:cs="宋体"/>
          <w:kern w:val="0"/>
          <w:szCs w:val="21"/>
        </w:rPr>
        <w:t>8</w:t>
      </w:r>
      <w:r>
        <w:rPr>
          <w:rFonts w:ascii="宋体" w:hAnsi="宋体" w:cs="宋体"/>
          <w:kern w:val="0"/>
          <w:szCs w:val="21"/>
        </w:rPr>
        <w:t>月</w:t>
      </w:r>
      <w:r>
        <w:rPr>
          <w:rFonts w:ascii="宋体" w:hAnsi="宋体" w:cs="宋体"/>
          <w:kern w:val="0"/>
          <w:szCs w:val="21"/>
        </w:rPr>
        <w:t>31</w:t>
      </w:r>
      <w:r>
        <w:rPr>
          <w:rFonts w:ascii="宋体" w:hAnsi="宋体" w:cs="宋体"/>
          <w:kern w:val="0"/>
          <w:szCs w:val="21"/>
        </w:rPr>
        <w:t>日颁布、同年</w:t>
      </w:r>
      <w:r>
        <w:rPr>
          <w:rFonts w:ascii="宋体" w:hAnsi="宋体" w:cs="宋体"/>
          <w:kern w:val="0"/>
          <w:szCs w:val="21"/>
        </w:rPr>
        <w:t>10</w:t>
      </w:r>
      <w:r>
        <w:rPr>
          <w:rFonts w:ascii="宋体" w:hAnsi="宋体" w:cs="宋体"/>
          <w:kern w:val="0"/>
          <w:szCs w:val="21"/>
        </w:rPr>
        <w:t>月</w:t>
      </w:r>
      <w:r>
        <w:rPr>
          <w:rFonts w:ascii="宋体" w:hAnsi="宋体" w:cs="宋体"/>
          <w:kern w:val="0"/>
          <w:szCs w:val="21"/>
        </w:rPr>
        <w:t>1</w:t>
      </w:r>
      <w:r>
        <w:rPr>
          <w:rFonts w:ascii="宋体" w:hAnsi="宋体" w:cs="宋体"/>
          <w:kern w:val="0"/>
          <w:szCs w:val="21"/>
        </w:rPr>
        <w:t>日实施的《公开募集开放式证券投资基金流动性风险管理规定》及颁布机关对其不时做出的修订。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15</w:t>
      </w:r>
      <w:r>
        <w:rPr>
          <w:rFonts w:ascii="宋体" w:hAnsi="宋体" w:cs="宋体"/>
          <w:kern w:val="0"/>
          <w:szCs w:val="21"/>
        </w:rPr>
        <w:t>、《基金中基金指引》：指中国证监会</w:t>
      </w:r>
      <w:r>
        <w:rPr>
          <w:rFonts w:ascii="宋体" w:hAnsi="宋体" w:cs="宋体"/>
          <w:kern w:val="0"/>
          <w:szCs w:val="21"/>
        </w:rPr>
        <w:t>2016</w:t>
      </w:r>
      <w:r>
        <w:rPr>
          <w:rFonts w:ascii="宋体" w:hAnsi="宋体" w:cs="宋体"/>
          <w:kern w:val="0"/>
          <w:szCs w:val="21"/>
        </w:rPr>
        <w:t>年</w:t>
      </w:r>
      <w:r>
        <w:rPr>
          <w:rFonts w:ascii="宋体" w:hAnsi="宋体" w:cs="宋体"/>
          <w:kern w:val="0"/>
          <w:szCs w:val="21"/>
        </w:rPr>
        <w:t>9</w:t>
      </w:r>
      <w:r>
        <w:rPr>
          <w:rFonts w:ascii="宋体" w:hAnsi="宋体" w:cs="宋体"/>
          <w:kern w:val="0"/>
          <w:szCs w:val="21"/>
        </w:rPr>
        <w:t>月</w:t>
      </w:r>
      <w:r>
        <w:rPr>
          <w:rFonts w:ascii="宋体" w:hAnsi="宋体" w:cs="宋体"/>
          <w:kern w:val="0"/>
          <w:szCs w:val="21"/>
        </w:rPr>
        <w:t>11</w:t>
      </w:r>
      <w:r>
        <w:rPr>
          <w:rFonts w:ascii="宋体" w:hAnsi="宋体" w:cs="宋体"/>
          <w:kern w:val="0"/>
          <w:szCs w:val="21"/>
        </w:rPr>
        <w:t>日发布并实施的《公开募集</w:t>
      </w:r>
      <w:r>
        <w:rPr>
          <w:rFonts w:ascii="宋体" w:hAnsi="宋体" w:cs="宋体"/>
          <w:kern w:val="0"/>
          <w:szCs w:val="21"/>
        </w:rPr>
        <w:lastRenderedPageBreak/>
        <w:t>证券投资基金运作指引第</w:t>
      </w:r>
      <w:r>
        <w:rPr>
          <w:rFonts w:ascii="宋体" w:hAnsi="宋体" w:cs="宋体"/>
          <w:kern w:val="0"/>
          <w:szCs w:val="21"/>
        </w:rPr>
        <w:t>2</w:t>
      </w:r>
      <w:r>
        <w:rPr>
          <w:rFonts w:ascii="宋体" w:hAnsi="宋体" w:cs="宋体"/>
          <w:kern w:val="0"/>
          <w:szCs w:val="21"/>
        </w:rPr>
        <w:t>号</w:t>
      </w:r>
      <w:r>
        <w:rPr>
          <w:rFonts w:ascii="宋体" w:hAnsi="宋体" w:cs="宋体"/>
          <w:kern w:val="0"/>
          <w:szCs w:val="21"/>
        </w:rPr>
        <w:t>——</w:t>
      </w:r>
      <w:r>
        <w:rPr>
          <w:rFonts w:ascii="宋体" w:hAnsi="宋体" w:cs="宋体"/>
          <w:kern w:val="0"/>
          <w:szCs w:val="21"/>
        </w:rPr>
        <w:t>基金中基金指引》及发布机关对其不时做出的修订。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16</w:t>
      </w:r>
      <w:r>
        <w:rPr>
          <w:rFonts w:ascii="宋体" w:hAnsi="宋体" w:cs="宋体"/>
          <w:kern w:val="0"/>
          <w:szCs w:val="21"/>
        </w:rPr>
        <w:t>、中国证监会：指中国证券监督管理委员会。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17</w:t>
      </w:r>
      <w:r>
        <w:rPr>
          <w:rFonts w:ascii="宋体" w:hAnsi="宋体" w:cs="宋体"/>
          <w:kern w:val="0"/>
          <w:szCs w:val="21"/>
        </w:rPr>
        <w:t>、银行业监督管理机构：指中国人民银行和</w:t>
      </w:r>
      <w:r>
        <w:rPr>
          <w:rFonts w:ascii="宋体" w:hAnsi="宋体" w:cs="宋体"/>
          <w:kern w:val="0"/>
          <w:szCs w:val="21"/>
        </w:rPr>
        <w:t>/</w:t>
      </w:r>
      <w:r>
        <w:rPr>
          <w:rFonts w:ascii="宋体" w:hAnsi="宋体" w:cs="宋体"/>
          <w:kern w:val="0"/>
          <w:szCs w:val="21"/>
        </w:rPr>
        <w:t>或中国银行保险监督管理委员会。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18</w:t>
      </w:r>
      <w:r>
        <w:rPr>
          <w:rFonts w:ascii="宋体" w:hAnsi="宋体" w:cs="宋体"/>
          <w:kern w:val="0"/>
          <w:szCs w:val="21"/>
        </w:rPr>
        <w:t>、基金合同当事人：指受基金合同约束，根据基金合同享有权利并承担义务的法律主体，包括基金管理人、基金托管人和基金份额持有人。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19</w:t>
      </w:r>
      <w:r>
        <w:rPr>
          <w:rFonts w:ascii="宋体" w:hAnsi="宋体" w:cs="宋体"/>
          <w:kern w:val="0"/>
          <w:szCs w:val="21"/>
        </w:rPr>
        <w:t>、个人投资者：指依据有关法律法规规定可投资于证券投资基金的自然人。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20</w:t>
      </w:r>
      <w:r>
        <w:rPr>
          <w:rFonts w:ascii="宋体" w:hAnsi="宋体" w:cs="宋体"/>
          <w:kern w:val="0"/>
          <w:szCs w:val="21"/>
        </w:rPr>
        <w:t>、机构投资者：指依法可以投资证券投资基金的、在中华人民共和国境内合法登记并存续或经有关政府部门批准设立并存续的企业法人、事业法人、社会团体或其他组织。</w:t>
      </w:r>
    </w:p>
    <w:p w:rsidR="00796C66" w:rsidRDefault="00FB6202">
      <w:pPr>
        <w:pStyle w:val="div"/>
        <w:spacing w:line="360" w:lineRule="auto"/>
        <w:ind w:firstLine="480"/>
        <w:rPr>
          <w:rFonts w:eastAsia="Times New Roman"/>
          <w:kern w:val="0"/>
          <w:szCs w:val="21"/>
        </w:rPr>
      </w:pPr>
      <w:r>
        <w:rPr>
          <w:rFonts w:ascii="宋体" w:hAnsi="宋体" w:cs="宋体"/>
          <w:kern w:val="0"/>
          <w:szCs w:val="21"/>
        </w:rPr>
        <w:t>21</w:t>
      </w:r>
      <w:r>
        <w:rPr>
          <w:rFonts w:ascii="宋体" w:hAnsi="宋体" w:cs="宋体"/>
          <w:kern w:val="0"/>
          <w:szCs w:val="21"/>
        </w:rPr>
        <w:t>、合格境外投资者：指符合《合格境外</w:t>
      </w:r>
      <w:r>
        <w:rPr>
          <w:rFonts w:ascii="宋体" w:hAnsi="宋体" w:cs="宋体"/>
          <w:kern w:val="0"/>
          <w:szCs w:val="21"/>
        </w:rPr>
        <w:t>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rsidR="00796C66" w:rsidRDefault="00FB6202">
      <w:pPr>
        <w:pStyle w:val="div"/>
        <w:spacing w:line="360" w:lineRule="auto"/>
        <w:ind w:firstLine="480"/>
        <w:rPr>
          <w:rFonts w:eastAsia="Times New Roman"/>
          <w:kern w:val="0"/>
          <w:szCs w:val="21"/>
        </w:rPr>
      </w:pPr>
      <w:r>
        <w:rPr>
          <w:rFonts w:ascii="宋体" w:hAnsi="宋体" w:cs="宋体"/>
          <w:kern w:val="0"/>
          <w:szCs w:val="21"/>
        </w:rPr>
        <w:t>22</w:t>
      </w:r>
      <w:r>
        <w:rPr>
          <w:rFonts w:ascii="宋体" w:hAnsi="宋体" w:cs="宋体"/>
          <w:kern w:val="0"/>
          <w:szCs w:val="21"/>
        </w:rPr>
        <w:t>、投资人、投资者：指个人投资者、机构投资者、合格境外投资者以及法律法规或中国证监会允许购买证券投资基金的其他投资人的合称。</w:t>
      </w:r>
    </w:p>
    <w:p w:rsidR="00796C66" w:rsidRDefault="00FB6202">
      <w:pPr>
        <w:pStyle w:val="div"/>
        <w:spacing w:line="360" w:lineRule="auto"/>
        <w:ind w:firstLine="480"/>
        <w:rPr>
          <w:rFonts w:eastAsia="Times New Roman"/>
          <w:kern w:val="0"/>
          <w:szCs w:val="21"/>
        </w:rPr>
      </w:pPr>
      <w:r>
        <w:rPr>
          <w:rFonts w:ascii="宋体" w:hAnsi="宋体" w:cs="宋体"/>
          <w:kern w:val="0"/>
          <w:szCs w:val="21"/>
        </w:rPr>
        <w:t>23</w:t>
      </w:r>
      <w:r>
        <w:rPr>
          <w:rFonts w:ascii="宋体" w:hAnsi="宋体" w:cs="宋体"/>
          <w:kern w:val="0"/>
          <w:szCs w:val="21"/>
        </w:rPr>
        <w:t>、基金份额持有人：指依基金合同和招募说明书合法取得基金份额的投资人。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24</w:t>
      </w:r>
      <w:r>
        <w:rPr>
          <w:rFonts w:ascii="宋体" w:hAnsi="宋体" w:cs="宋体"/>
          <w:kern w:val="0"/>
          <w:szCs w:val="21"/>
        </w:rPr>
        <w:t>、基金销售业务：指基金管理人或销售机构宣传推介基金，发售基金份额，办理基金份额的申购、赎回、转换、转托管及定期定额投资等业务。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25</w:t>
      </w:r>
      <w:r>
        <w:rPr>
          <w:rFonts w:ascii="宋体" w:hAnsi="宋体" w:cs="宋体"/>
          <w:kern w:val="0"/>
          <w:szCs w:val="21"/>
        </w:rPr>
        <w:t>、销售机构：指华商基金管理有限公司以及符合《销售办法》和中国证监会规定的其他条件，取得基金销售业务资格并与基金管理人签订了基金销售服务协议，办理基金销售业务的机构。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26</w:t>
      </w:r>
      <w:r>
        <w:rPr>
          <w:rFonts w:ascii="宋体" w:hAnsi="宋体" w:cs="宋体"/>
          <w:kern w:val="0"/>
          <w:szCs w:val="21"/>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27</w:t>
      </w:r>
      <w:r>
        <w:rPr>
          <w:rFonts w:ascii="宋体" w:hAnsi="宋体" w:cs="宋体"/>
          <w:kern w:val="0"/>
          <w:szCs w:val="21"/>
        </w:rPr>
        <w:t>、登记机构：指办理登记业务的机构。基金的登记机构为华商基金管理有限公司或接受华商基金管理有限公司委托代为办理登记业务的机构。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28</w:t>
      </w:r>
      <w:r>
        <w:rPr>
          <w:rFonts w:ascii="宋体" w:hAnsi="宋体" w:cs="宋体"/>
          <w:kern w:val="0"/>
          <w:szCs w:val="21"/>
        </w:rPr>
        <w:t>、基金账户：指登记机构为投资人开立的、记录其持有的、基金管理人所管理的基金份额余额及其变动情况的账户。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29</w:t>
      </w:r>
      <w:r>
        <w:rPr>
          <w:rFonts w:ascii="宋体" w:hAnsi="宋体" w:cs="宋体"/>
          <w:kern w:val="0"/>
          <w:szCs w:val="21"/>
        </w:rPr>
        <w:t>、基金交易账户：指销售机构为投资人开立的、记录投资人通过该销售机构办理认购、申购、赎回、转换、转托管及定期定额投资等业务而引起的基金份额变动及结余情况的账户。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30</w:t>
      </w:r>
      <w:r>
        <w:rPr>
          <w:rFonts w:ascii="宋体" w:hAnsi="宋体" w:cs="宋体"/>
          <w:kern w:val="0"/>
          <w:szCs w:val="21"/>
        </w:rPr>
        <w:t>、基金合同生效日：指基金募集达到法律法规规定及基金合同规定的条件，基金管理人向中国证监会办理基金备案手续完毕，</w:t>
      </w:r>
      <w:r>
        <w:rPr>
          <w:rFonts w:ascii="宋体" w:hAnsi="宋体" w:cs="宋体"/>
          <w:kern w:val="0"/>
          <w:szCs w:val="21"/>
        </w:rPr>
        <w:t>并获得中国证监会书面确认的日期。</w:t>
      </w:r>
    </w:p>
    <w:p w:rsidR="00796C66" w:rsidRDefault="00FB6202">
      <w:pPr>
        <w:pStyle w:val="div"/>
        <w:spacing w:line="360" w:lineRule="auto"/>
        <w:ind w:firstLine="480"/>
        <w:rPr>
          <w:rFonts w:eastAsia="Times New Roman"/>
          <w:kern w:val="0"/>
          <w:szCs w:val="21"/>
        </w:rPr>
      </w:pPr>
      <w:r>
        <w:rPr>
          <w:rFonts w:ascii="宋体" w:hAnsi="宋体" w:cs="宋体"/>
          <w:kern w:val="0"/>
          <w:szCs w:val="21"/>
        </w:rPr>
        <w:t>31</w:t>
      </w:r>
      <w:r>
        <w:rPr>
          <w:rFonts w:ascii="宋体" w:hAnsi="宋体" w:cs="宋体"/>
          <w:kern w:val="0"/>
          <w:szCs w:val="21"/>
        </w:rPr>
        <w:t>、基金合同终止日：指基金合同规定的基金合同终止事由出现后，基金财产清算完毕，清算结果报中国证监会备案并予以公告的日期。</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32</w:t>
      </w:r>
      <w:r>
        <w:rPr>
          <w:rFonts w:ascii="宋体" w:hAnsi="宋体" w:cs="宋体"/>
          <w:kern w:val="0"/>
          <w:szCs w:val="21"/>
        </w:rPr>
        <w:t>、基金募集期：指自基金份额发售之日起至发售结束之日止的期间，最长不得超过</w:t>
      </w:r>
      <w:r>
        <w:rPr>
          <w:rFonts w:ascii="宋体" w:hAnsi="宋体" w:cs="宋体"/>
          <w:kern w:val="0"/>
          <w:szCs w:val="21"/>
        </w:rPr>
        <w:t>3</w:t>
      </w:r>
      <w:r>
        <w:rPr>
          <w:rFonts w:ascii="宋体" w:hAnsi="宋体" w:cs="宋体"/>
          <w:kern w:val="0"/>
          <w:szCs w:val="21"/>
        </w:rPr>
        <w:t>个月。</w:t>
      </w:r>
    </w:p>
    <w:p w:rsidR="00796C66" w:rsidRDefault="00FB6202">
      <w:pPr>
        <w:pStyle w:val="div"/>
        <w:spacing w:line="360" w:lineRule="auto"/>
        <w:ind w:firstLine="480"/>
        <w:rPr>
          <w:rFonts w:eastAsia="Times New Roman"/>
          <w:kern w:val="0"/>
          <w:szCs w:val="21"/>
        </w:rPr>
      </w:pPr>
      <w:r>
        <w:rPr>
          <w:rFonts w:ascii="宋体" w:hAnsi="宋体" w:cs="宋体"/>
          <w:kern w:val="0"/>
          <w:szCs w:val="21"/>
        </w:rPr>
        <w:t>33</w:t>
      </w:r>
      <w:r>
        <w:rPr>
          <w:rFonts w:ascii="宋体" w:hAnsi="宋体" w:cs="宋体"/>
          <w:kern w:val="0"/>
          <w:szCs w:val="21"/>
        </w:rPr>
        <w:t>、存续期：指基金合同生效至终止之间的不定期期限。</w:t>
      </w:r>
    </w:p>
    <w:p w:rsidR="00796C66" w:rsidRDefault="00FB6202">
      <w:pPr>
        <w:pStyle w:val="div"/>
        <w:spacing w:line="360" w:lineRule="auto"/>
        <w:ind w:firstLine="480"/>
        <w:rPr>
          <w:rFonts w:eastAsia="Times New Roman"/>
          <w:kern w:val="0"/>
          <w:szCs w:val="21"/>
        </w:rPr>
      </w:pPr>
      <w:r>
        <w:rPr>
          <w:rFonts w:ascii="宋体" w:hAnsi="宋体" w:cs="宋体"/>
          <w:kern w:val="0"/>
          <w:szCs w:val="21"/>
        </w:rPr>
        <w:t>34</w:t>
      </w:r>
      <w:r>
        <w:rPr>
          <w:rFonts w:ascii="宋体" w:hAnsi="宋体" w:cs="宋体"/>
          <w:kern w:val="0"/>
          <w:szCs w:val="21"/>
        </w:rPr>
        <w:t>、工作日：指上海证券交易所、深圳证券交易所的正常交易日。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35</w:t>
      </w:r>
      <w:r>
        <w:rPr>
          <w:rFonts w:ascii="宋体" w:hAnsi="宋体" w:cs="宋体"/>
          <w:kern w:val="0"/>
          <w:szCs w:val="21"/>
        </w:rPr>
        <w:t>、</w:t>
      </w:r>
      <w:r>
        <w:rPr>
          <w:rFonts w:ascii="宋体" w:hAnsi="宋体" w:cs="宋体"/>
          <w:kern w:val="0"/>
          <w:szCs w:val="21"/>
        </w:rPr>
        <w:t>T</w:t>
      </w:r>
      <w:r>
        <w:rPr>
          <w:rFonts w:ascii="宋体" w:hAnsi="宋体" w:cs="宋体"/>
          <w:kern w:val="0"/>
          <w:szCs w:val="21"/>
        </w:rPr>
        <w:t>日：指销售机构在规定时间受理投资人申购、赎回或其他业务申请的开放日。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36</w:t>
      </w:r>
      <w:r>
        <w:rPr>
          <w:rFonts w:ascii="宋体" w:hAnsi="宋体" w:cs="宋体"/>
          <w:kern w:val="0"/>
          <w:szCs w:val="21"/>
        </w:rPr>
        <w:t>、</w:t>
      </w:r>
      <w:r>
        <w:rPr>
          <w:rFonts w:ascii="宋体" w:hAnsi="宋体" w:cs="宋体"/>
          <w:kern w:val="0"/>
          <w:szCs w:val="21"/>
        </w:rPr>
        <w:t>T+n</w:t>
      </w:r>
      <w:r>
        <w:rPr>
          <w:rFonts w:ascii="宋体" w:hAnsi="宋体" w:cs="宋体"/>
          <w:kern w:val="0"/>
          <w:szCs w:val="21"/>
        </w:rPr>
        <w:t>日：指自</w:t>
      </w:r>
      <w:r>
        <w:rPr>
          <w:rFonts w:ascii="宋体" w:hAnsi="宋体" w:cs="宋体"/>
          <w:kern w:val="0"/>
          <w:szCs w:val="21"/>
        </w:rPr>
        <w:t>T</w:t>
      </w:r>
      <w:r>
        <w:rPr>
          <w:rFonts w:ascii="宋体" w:hAnsi="宋体" w:cs="宋体"/>
          <w:kern w:val="0"/>
          <w:szCs w:val="21"/>
        </w:rPr>
        <w:t>日起第</w:t>
      </w:r>
      <w:r>
        <w:rPr>
          <w:rFonts w:ascii="宋体" w:hAnsi="宋体" w:cs="宋体"/>
          <w:kern w:val="0"/>
          <w:szCs w:val="21"/>
        </w:rPr>
        <w:t>n</w:t>
      </w:r>
      <w:r>
        <w:rPr>
          <w:rFonts w:ascii="宋体" w:hAnsi="宋体" w:cs="宋体"/>
          <w:kern w:val="0"/>
          <w:szCs w:val="21"/>
        </w:rPr>
        <w:t>个工作日（不包含</w:t>
      </w:r>
      <w:r>
        <w:rPr>
          <w:rFonts w:ascii="宋体" w:hAnsi="宋体" w:cs="宋体"/>
          <w:kern w:val="0"/>
          <w:szCs w:val="21"/>
        </w:rPr>
        <w:t>T</w:t>
      </w:r>
      <w:r>
        <w:rPr>
          <w:rFonts w:ascii="宋体" w:hAnsi="宋体" w:cs="宋体"/>
          <w:kern w:val="0"/>
          <w:szCs w:val="21"/>
        </w:rPr>
        <w:t>日），</w:t>
      </w:r>
      <w:r>
        <w:rPr>
          <w:rFonts w:ascii="宋体" w:hAnsi="宋体" w:cs="宋体"/>
          <w:kern w:val="0"/>
          <w:szCs w:val="21"/>
        </w:rPr>
        <w:t>n</w:t>
      </w:r>
      <w:r>
        <w:rPr>
          <w:rFonts w:ascii="宋体" w:hAnsi="宋体" w:cs="宋体"/>
          <w:kern w:val="0"/>
          <w:szCs w:val="21"/>
        </w:rPr>
        <w:t>为自然数。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37</w:t>
      </w:r>
      <w:r>
        <w:rPr>
          <w:rFonts w:ascii="宋体" w:hAnsi="宋体" w:cs="宋体"/>
          <w:kern w:val="0"/>
          <w:szCs w:val="21"/>
        </w:rPr>
        <w:t>、</w:t>
      </w:r>
      <w:r>
        <w:rPr>
          <w:rFonts w:ascii="宋体" w:hAnsi="宋体" w:cs="宋体"/>
          <w:kern w:val="0"/>
          <w:szCs w:val="21"/>
        </w:rPr>
        <w:t>开放日：指为投资人办理基金份额申购、赎回或其他业务的工作日（若本基金参与港股通交易或投资香港互认基金，且该交易日为非港股通交易日或香港互认基金内地销售开放日，则本基金有权不开放申购、赎回，并按规定进行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38</w:t>
      </w:r>
      <w:r>
        <w:rPr>
          <w:rFonts w:ascii="宋体" w:hAnsi="宋体" w:cs="宋体"/>
          <w:kern w:val="0"/>
          <w:szCs w:val="21"/>
        </w:rPr>
        <w:t>、开放时间：指开放日基金接受申购、赎回或其他交易的时间段。</w:t>
      </w:r>
    </w:p>
    <w:p w:rsidR="00796C66" w:rsidRDefault="00FB6202">
      <w:pPr>
        <w:pStyle w:val="div"/>
        <w:spacing w:line="360" w:lineRule="auto"/>
        <w:ind w:firstLine="480"/>
        <w:rPr>
          <w:rFonts w:eastAsia="Times New Roman"/>
          <w:kern w:val="0"/>
          <w:szCs w:val="21"/>
        </w:rPr>
      </w:pPr>
      <w:r>
        <w:rPr>
          <w:rFonts w:ascii="宋体" w:hAnsi="宋体" w:cs="宋体"/>
          <w:kern w:val="0"/>
          <w:szCs w:val="21"/>
        </w:rPr>
        <w:t>39</w:t>
      </w:r>
      <w:r>
        <w:rPr>
          <w:rFonts w:ascii="宋体" w:hAnsi="宋体" w:cs="宋体"/>
          <w:kern w:val="0"/>
          <w:szCs w:val="21"/>
        </w:rPr>
        <w:t>、《业务规则》：指《华商基金管理有限公司开放式基金业务规则》及其修订，是规范基金管理人所管理的开放式证券投资基金登记方面的业务规则，由基金管理人和投资人共同遵守。</w:t>
      </w:r>
    </w:p>
    <w:p w:rsidR="00796C66" w:rsidRDefault="00FB6202">
      <w:pPr>
        <w:pStyle w:val="div"/>
        <w:spacing w:line="360" w:lineRule="auto"/>
        <w:ind w:firstLine="480"/>
        <w:rPr>
          <w:rFonts w:eastAsia="Times New Roman"/>
          <w:kern w:val="0"/>
          <w:szCs w:val="21"/>
        </w:rPr>
      </w:pPr>
      <w:r>
        <w:rPr>
          <w:rFonts w:ascii="宋体" w:hAnsi="宋体" w:cs="宋体"/>
          <w:kern w:val="0"/>
          <w:szCs w:val="21"/>
        </w:rPr>
        <w:t>40</w:t>
      </w:r>
      <w:r>
        <w:rPr>
          <w:rFonts w:ascii="宋体" w:hAnsi="宋体" w:cs="宋体"/>
          <w:kern w:val="0"/>
          <w:szCs w:val="21"/>
        </w:rPr>
        <w:t>、认购：指在基金募集期内，投资人根据基金合同和招募说明书的规定申请</w:t>
      </w:r>
      <w:r>
        <w:rPr>
          <w:rFonts w:ascii="宋体" w:hAnsi="宋体" w:cs="宋体"/>
          <w:kern w:val="0"/>
          <w:szCs w:val="21"/>
        </w:rPr>
        <w:t>购买基金份额的行为。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41</w:t>
      </w:r>
      <w:r>
        <w:rPr>
          <w:rFonts w:ascii="宋体" w:hAnsi="宋体" w:cs="宋体"/>
          <w:kern w:val="0"/>
          <w:szCs w:val="21"/>
        </w:rPr>
        <w:t>、申购：指基金合同生效后，投资人根据基金合同和招募说明书的规定申请购买基金份额的行为。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42</w:t>
      </w:r>
      <w:r>
        <w:rPr>
          <w:rFonts w:ascii="宋体" w:hAnsi="宋体" w:cs="宋体"/>
          <w:kern w:val="0"/>
          <w:szCs w:val="21"/>
        </w:rPr>
        <w:t>、赎回：指基金合同生效后，基金份额持有人按基金合同和招募说明书规定的条件要求将基金份额兑换为现金的行为。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43</w:t>
      </w:r>
      <w:r>
        <w:rPr>
          <w:rFonts w:ascii="宋体" w:hAnsi="宋体" w:cs="宋体"/>
          <w:kern w:val="0"/>
          <w:szCs w:val="21"/>
        </w:rPr>
        <w:t>、基金转换：指基金份额持有人按照基金合同和基金管理人届时有效公告规定的条件，申请将其持有基金管理人管理的、某一基金的基金份额转换为基金管理人管理的其他基金基金份额的行为。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44</w:t>
      </w:r>
      <w:r>
        <w:rPr>
          <w:rFonts w:ascii="宋体" w:hAnsi="宋体" w:cs="宋体"/>
          <w:kern w:val="0"/>
          <w:szCs w:val="21"/>
        </w:rPr>
        <w:t>、转托管：指基金份额持有人在本基金的不同销售机构之间实施的变更所持基金份额销售机构的操作。</w:t>
      </w:r>
    </w:p>
    <w:p w:rsidR="00796C66" w:rsidRDefault="00FB6202">
      <w:pPr>
        <w:pStyle w:val="div"/>
        <w:spacing w:line="360" w:lineRule="auto"/>
        <w:ind w:firstLine="480"/>
        <w:rPr>
          <w:rFonts w:eastAsia="Times New Roman"/>
          <w:kern w:val="0"/>
          <w:szCs w:val="21"/>
        </w:rPr>
      </w:pPr>
      <w:r>
        <w:rPr>
          <w:rFonts w:ascii="宋体" w:hAnsi="宋体" w:cs="宋体"/>
          <w:kern w:val="0"/>
          <w:szCs w:val="21"/>
        </w:rPr>
        <w:t>45</w:t>
      </w:r>
      <w:r>
        <w:rPr>
          <w:rFonts w:ascii="宋体" w:hAnsi="宋体" w:cs="宋体"/>
          <w:kern w:val="0"/>
          <w:szCs w:val="21"/>
        </w:rPr>
        <w:t>、定期定额投</w:t>
      </w:r>
      <w:r>
        <w:rPr>
          <w:rFonts w:ascii="宋体" w:hAnsi="宋体" w:cs="宋体"/>
          <w:kern w:val="0"/>
          <w:szCs w:val="21"/>
        </w:rPr>
        <w:t>资计划：指投资人通过有关销售机构提出申请，约定每期申购日、扣款金额及扣款方式，由销售机构于每期约定扣款日在投资人指定银行账户内自动完成扣款及受理基金申购申请的一种投资方式。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46</w:t>
      </w:r>
      <w:r>
        <w:rPr>
          <w:rFonts w:ascii="宋体" w:hAnsi="宋体" w:cs="宋体"/>
          <w:kern w:val="0"/>
          <w:szCs w:val="21"/>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47</w:t>
      </w:r>
      <w:r>
        <w:rPr>
          <w:rFonts w:ascii="宋体" w:hAnsi="宋体" w:cs="宋体"/>
          <w:kern w:val="0"/>
          <w:szCs w:val="21"/>
        </w:rPr>
        <w:t>、元：指人民币元。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48</w:t>
      </w:r>
      <w:r>
        <w:rPr>
          <w:rFonts w:ascii="宋体" w:hAnsi="宋体" w:cs="宋体"/>
          <w:kern w:val="0"/>
          <w:szCs w:val="21"/>
        </w:rPr>
        <w:t>、基金收益：指基金投资所得红利、股息、债券利息、买卖证券价差、银行存款利息、已实现的其他合法收入及因运用基金财产带来</w:t>
      </w:r>
      <w:r>
        <w:rPr>
          <w:rFonts w:ascii="宋体" w:hAnsi="宋体" w:cs="宋体"/>
          <w:kern w:val="0"/>
          <w:szCs w:val="21"/>
        </w:rPr>
        <w:t>的成本和费用的节约。</w:t>
      </w:r>
    </w:p>
    <w:p w:rsidR="00796C66" w:rsidRDefault="00FB6202">
      <w:pPr>
        <w:pStyle w:val="div"/>
        <w:spacing w:line="360" w:lineRule="auto"/>
        <w:ind w:firstLine="480"/>
        <w:rPr>
          <w:rFonts w:eastAsia="Times New Roman"/>
          <w:kern w:val="0"/>
          <w:szCs w:val="21"/>
        </w:rPr>
      </w:pPr>
      <w:r>
        <w:rPr>
          <w:rFonts w:ascii="宋体" w:hAnsi="宋体" w:cs="宋体"/>
          <w:kern w:val="0"/>
          <w:szCs w:val="21"/>
        </w:rPr>
        <w:t>49</w:t>
      </w:r>
      <w:r>
        <w:rPr>
          <w:rFonts w:ascii="宋体" w:hAnsi="宋体" w:cs="宋体"/>
          <w:kern w:val="0"/>
          <w:szCs w:val="21"/>
        </w:rPr>
        <w:t>、基金资产总值：指基金拥有的各类有价证券、证券投资基金、银行存款本息、基</w:t>
      </w:r>
      <w:r>
        <w:rPr>
          <w:rFonts w:ascii="宋体" w:hAnsi="宋体" w:cs="宋体"/>
          <w:kern w:val="0"/>
          <w:szCs w:val="21"/>
        </w:rPr>
        <w:lastRenderedPageBreak/>
        <w:t>金应收款项及其他资产的价值总和。</w:t>
      </w:r>
    </w:p>
    <w:p w:rsidR="00796C66" w:rsidRDefault="00FB6202">
      <w:pPr>
        <w:pStyle w:val="div"/>
        <w:spacing w:line="360" w:lineRule="auto"/>
        <w:ind w:firstLine="480"/>
        <w:rPr>
          <w:rFonts w:eastAsia="Times New Roman"/>
          <w:kern w:val="0"/>
          <w:szCs w:val="21"/>
        </w:rPr>
      </w:pPr>
      <w:r>
        <w:rPr>
          <w:rFonts w:ascii="宋体" w:hAnsi="宋体" w:cs="宋体"/>
          <w:kern w:val="0"/>
          <w:szCs w:val="21"/>
        </w:rPr>
        <w:t>50</w:t>
      </w:r>
      <w:r>
        <w:rPr>
          <w:rFonts w:ascii="宋体" w:hAnsi="宋体" w:cs="宋体"/>
          <w:kern w:val="0"/>
          <w:szCs w:val="21"/>
        </w:rPr>
        <w:t>、基金资产净值：指基金资产总值减去基金负债后的价值。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51</w:t>
      </w:r>
      <w:r>
        <w:rPr>
          <w:rFonts w:ascii="宋体" w:hAnsi="宋体" w:cs="宋体"/>
          <w:kern w:val="0"/>
          <w:szCs w:val="21"/>
        </w:rPr>
        <w:t>、基金份额净值：指计算日基金资产净值除以计算日基金份额总数。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52</w:t>
      </w:r>
      <w:r>
        <w:rPr>
          <w:rFonts w:ascii="宋体" w:hAnsi="宋体" w:cs="宋体"/>
          <w:kern w:val="0"/>
          <w:szCs w:val="21"/>
        </w:rPr>
        <w:t>、基金资产估值：指计算评估基金资产和负债的价值，以确定基金资产净值和基金份额净值的过程。</w:t>
      </w:r>
    </w:p>
    <w:p w:rsidR="00796C66" w:rsidRDefault="00FB6202">
      <w:pPr>
        <w:pStyle w:val="div"/>
        <w:spacing w:line="360" w:lineRule="auto"/>
        <w:ind w:firstLine="480"/>
        <w:rPr>
          <w:rFonts w:eastAsia="Times New Roman"/>
          <w:kern w:val="0"/>
          <w:szCs w:val="21"/>
        </w:rPr>
      </w:pPr>
      <w:r>
        <w:rPr>
          <w:rFonts w:ascii="宋体" w:hAnsi="宋体" w:cs="宋体"/>
          <w:kern w:val="0"/>
          <w:szCs w:val="21"/>
        </w:rPr>
        <w:t>53</w:t>
      </w:r>
      <w:r>
        <w:rPr>
          <w:rFonts w:ascii="宋体" w:hAnsi="宋体" w:cs="宋体"/>
          <w:kern w:val="0"/>
          <w:szCs w:val="21"/>
        </w:rPr>
        <w:t>、规定媒介：指符合中国证监会规定条件的用以进行信息披露的全国性报刊及符合《信息披露办法》规定的互联网网站（包括基金管理人网站、基金托管人网站、中国证监会基金电子披露网站）等媒介。</w:t>
      </w:r>
    </w:p>
    <w:p w:rsidR="00796C66" w:rsidRDefault="00FB6202">
      <w:pPr>
        <w:pStyle w:val="div"/>
        <w:spacing w:line="360" w:lineRule="auto"/>
        <w:ind w:firstLine="480"/>
        <w:rPr>
          <w:rFonts w:eastAsia="Times New Roman"/>
          <w:kern w:val="0"/>
          <w:szCs w:val="21"/>
        </w:rPr>
      </w:pPr>
      <w:r>
        <w:rPr>
          <w:rFonts w:ascii="宋体" w:hAnsi="宋体" w:cs="宋体"/>
          <w:kern w:val="0"/>
          <w:szCs w:val="21"/>
        </w:rPr>
        <w:t>54</w:t>
      </w:r>
      <w:r>
        <w:rPr>
          <w:rFonts w:ascii="宋体" w:hAnsi="宋体" w:cs="宋体"/>
          <w:kern w:val="0"/>
          <w:szCs w:val="21"/>
        </w:rPr>
        <w:t>、</w:t>
      </w:r>
      <w:r>
        <w:rPr>
          <w:rFonts w:ascii="宋体" w:hAnsi="宋体" w:cs="宋体"/>
          <w:kern w:val="0"/>
          <w:szCs w:val="21"/>
        </w:rPr>
        <w:t>A</w:t>
      </w:r>
      <w:r>
        <w:rPr>
          <w:rFonts w:ascii="宋体" w:hAnsi="宋体" w:cs="宋体"/>
          <w:kern w:val="0"/>
          <w:szCs w:val="21"/>
        </w:rPr>
        <w:t>类基金份额：指在投资者认购</w:t>
      </w:r>
      <w:r>
        <w:rPr>
          <w:rFonts w:ascii="宋体" w:hAnsi="宋体" w:cs="宋体"/>
          <w:kern w:val="0"/>
          <w:szCs w:val="21"/>
        </w:rPr>
        <w:t>/</w:t>
      </w:r>
      <w:r>
        <w:rPr>
          <w:rFonts w:ascii="宋体" w:hAnsi="宋体" w:cs="宋体"/>
          <w:kern w:val="0"/>
          <w:szCs w:val="21"/>
        </w:rPr>
        <w:t>申购时收取前端认购</w:t>
      </w:r>
      <w:r>
        <w:rPr>
          <w:rFonts w:ascii="宋体" w:hAnsi="宋体" w:cs="宋体"/>
          <w:kern w:val="0"/>
          <w:szCs w:val="21"/>
        </w:rPr>
        <w:t>/</w:t>
      </w:r>
      <w:r>
        <w:rPr>
          <w:rFonts w:ascii="宋体" w:hAnsi="宋体" w:cs="宋体"/>
          <w:kern w:val="0"/>
          <w:szCs w:val="21"/>
        </w:rPr>
        <w:t>申购费用，不从本类别基金资产中计提销售服务费，在赎回时根据持有期限收取赎回费用的基金份额。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55</w:t>
      </w:r>
      <w:r>
        <w:rPr>
          <w:rFonts w:ascii="宋体" w:hAnsi="宋体" w:cs="宋体"/>
          <w:kern w:val="0"/>
          <w:szCs w:val="21"/>
        </w:rPr>
        <w:t>、</w:t>
      </w:r>
      <w:r>
        <w:rPr>
          <w:rFonts w:ascii="宋体" w:hAnsi="宋体" w:cs="宋体"/>
          <w:kern w:val="0"/>
          <w:szCs w:val="21"/>
        </w:rPr>
        <w:t>C</w:t>
      </w:r>
      <w:r>
        <w:rPr>
          <w:rFonts w:ascii="宋体" w:hAnsi="宋体" w:cs="宋体"/>
          <w:kern w:val="0"/>
          <w:szCs w:val="21"/>
        </w:rPr>
        <w:t>类基金份额：指从本类别基金资产中计提销售服务费、不收取认购</w:t>
      </w:r>
      <w:r>
        <w:rPr>
          <w:rFonts w:ascii="宋体" w:hAnsi="宋体" w:cs="宋体"/>
          <w:kern w:val="0"/>
          <w:szCs w:val="21"/>
        </w:rPr>
        <w:t>/</w:t>
      </w:r>
      <w:r>
        <w:rPr>
          <w:rFonts w:ascii="宋体" w:hAnsi="宋体" w:cs="宋体"/>
          <w:kern w:val="0"/>
          <w:szCs w:val="21"/>
        </w:rPr>
        <w:t>申购费用，在赎回时根据持有期限收取赎回费用的基金份额。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56</w:t>
      </w:r>
      <w:r>
        <w:rPr>
          <w:rFonts w:ascii="宋体" w:hAnsi="宋体" w:cs="宋体"/>
          <w:kern w:val="0"/>
          <w:szCs w:val="21"/>
        </w:rPr>
        <w:t>、销售服务费：指从基金财产中计提的，用于本基金市场推</w:t>
      </w:r>
      <w:r>
        <w:rPr>
          <w:rFonts w:ascii="宋体" w:hAnsi="宋体" w:cs="宋体"/>
          <w:kern w:val="0"/>
          <w:szCs w:val="21"/>
        </w:rPr>
        <w:t>广、销售以及基金份额持有人服务的费用。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57</w:t>
      </w:r>
      <w:r>
        <w:rPr>
          <w:rFonts w:ascii="宋体" w:hAnsi="宋体" w:cs="宋体"/>
          <w:kern w:val="0"/>
          <w:szCs w:val="21"/>
        </w:rPr>
        <w:t>、一年持有期到期日：对于认购所得基金份额，指基金合同生效日的次一年对日；对于申购所得基金份额，指申购确认日的次一年对日。如该对日不存在或为非工作日的，则顺延至下一工作日。一年持有期到期日及一年持有期到期日之后，基金份额持有人可提出赎回申请。因不可抗力或基金合同约定的其他情形致使基金管理人无法在该日按时开放办理该基金份额的赎回业务的，则顺延至不可抗力或基金合同约定的其他情形的影响因素消除之日起的下一个工作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58</w:t>
      </w:r>
      <w:r>
        <w:rPr>
          <w:rFonts w:ascii="宋体" w:hAnsi="宋体" w:cs="宋体"/>
          <w:kern w:val="0"/>
          <w:szCs w:val="21"/>
        </w:rPr>
        <w:t>、流动性受限资产：指由于法律法规、监管、合同或操作障</w:t>
      </w:r>
      <w:r>
        <w:rPr>
          <w:rFonts w:ascii="宋体" w:hAnsi="宋体" w:cs="宋体"/>
          <w:kern w:val="0"/>
          <w:szCs w:val="21"/>
        </w:rPr>
        <w:t>碍等原因无法以合理价格予以变现的资产，包括但不限于到期日在</w:t>
      </w:r>
      <w:r>
        <w:rPr>
          <w:rFonts w:ascii="宋体" w:hAnsi="宋体" w:cs="宋体"/>
          <w:kern w:val="0"/>
          <w:szCs w:val="21"/>
        </w:rPr>
        <w:t>10</w:t>
      </w:r>
      <w:r>
        <w:rPr>
          <w:rFonts w:ascii="宋体" w:hAnsi="宋体" w:cs="宋体"/>
          <w:kern w:val="0"/>
          <w:szCs w:val="21"/>
        </w:rPr>
        <w:t>个交易日以上的逆回购与银行定期存款（含协议约定有条件提前支取的银行存款）、停牌股票、流通受限的新股及非公开发行股票、资产支持证券、因发行人债务违约无法进行转让或交易的债券等。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59</w:t>
      </w:r>
      <w:r>
        <w:rPr>
          <w:rFonts w:ascii="宋体" w:hAnsi="宋体" w:cs="宋体"/>
          <w:kern w:val="0"/>
          <w:szCs w:val="21"/>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rsidR="00796C66" w:rsidRDefault="00FB6202">
      <w:pPr>
        <w:pStyle w:val="div"/>
        <w:spacing w:line="360" w:lineRule="auto"/>
        <w:ind w:firstLine="480"/>
        <w:rPr>
          <w:rFonts w:eastAsia="Times New Roman"/>
          <w:kern w:val="0"/>
          <w:szCs w:val="21"/>
        </w:rPr>
      </w:pPr>
      <w:r>
        <w:rPr>
          <w:rFonts w:ascii="宋体" w:hAnsi="宋体" w:cs="宋体"/>
          <w:kern w:val="0"/>
          <w:szCs w:val="21"/>
        </w:rPr>
        <w:t>60</w:t>
      </w:r>
      <w:r>
        <w:rPr>
          <w:rFonts w:ascii="宋体" w:hAnsi="宋体" w:cs="宋体"/>
          <w:kern w:val="0"/>
          <w:szCs w:val="21"/>
        </w:rPr>
        <w:t>、港股通：指内地投资者委托内地证券公</w:t>
      </w:r>
      <w:r>
        <w:rPr>
          <w:rFonts w:ascii="宋体" w:hAnsi="宋体" w:cs="宋体"/>
          <w:kern w:val="0"/>
          <w:szCs w:val="21"/>
        </w:rPr>
        <w:t>司，通过境内证券交易所设立的证券交易服务公司，向香港联合交易所进行申报，买卖规定范围内的香港联合交易所上市的股票。</w:t>
      </w:r>
    </w:p>
    <w:p w:rsidR="00796C66" w:rsidRDefault="00FB6202">
      <w:pPr>
        <w:pStyle w:val="div"/>
        <w:spacing w:line="360" w:lineRule="auto"/>
        <w:ind w:firstLine="480"/>
        <w:rPr>
          <w:rFonts w:eastAsia="Times New Roman"/>
          <w:kern w:val="0"/>
          <w:szCs w:val="21"/>
        </w:rPr>
      </w:pPr>
      <w:r>
        <w:rPr>
          <w:rFonts w:ascii="宋体" w:hAnsi="宋体" w:cs="宋体"/>
          <w:kern w:val="0"/>
          <w:szCs w:val="21"/>
        </w:rPr>
        <w:t>61</w:t>
      </w:r>
      <w:r>
        <w:rPr>
          <w:rFonts w:ascii="宋体" w:hAnsi="宋体" w:cs="宋体"/>
          <w:kern w:val="0"/>
          <w:szCs w:val="21"/>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62</w:t>
      </w:r>
      <w:r>
        <w:rPr>
          <w:rFonts w:ascii="宋体" w:hAnsi="宋体" w:cs="宋体"/>
          <w:kern w:val="0"/>
          <w:szCs w:val="21"/>
        </w:rPr>
        <w:t>、特定资产：包括：（一）无可参考的活跃市场价格且采用估值技术仍导致公允价值存在重大不确定性的资产；（二）按摊余成本计量且计提资产减值准备仍导致资产价值</w:t>
      </w:r>
      <w:r>
        <w:rPr>
          <w:rFonts w:ascii="宋体" w:hAnsi="宋体" w:cs="宋体"/>
          <w:kern w:val="0"/>
          <w:szCs w:val="21"/>
        </w:rPr>
        <w:lastRenderedPageBreak/>
        <w:t>存在重大不确定性</w:t>
      </w:r>
      <w:r>
        <w:rPr>
          <w:rFonts w:ascii="宋体" w:hAnsi="宋体" w:cs="宋体"/>
          <w:kern w:val="0"/>
          <w:szCs w:val="21"/>
        </w:rPr>
        <w:t>的资产；（三）其他资产价值存在重大不确定性的资产。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63</w:t>
      </w:r>
      <w:r>
        <w:rPr>
          <w:rFonts w:ascii="宋体" w:hAnsi="宋体" w:cs="宋体"/>
          <w:kern w:val="0"/>
          <w:szCs w:val="21"/>
        </w:rPr>
        <w:t>、不可抗力：指基金合同当事人不能预见、不能避免且不能克服的客观事件。</w:t>
      </w:r>
      <w:r>
        <w:rPr>
          <w:rFonts w:ascii="宋体" w:hAnsi="宋体" w:cs="宋体"/>
          <w:kern w:val="0"/>
          <w:szCs w:val="21"/>
        </w:rPr>
        <w:br w:type="page"/>
      </w:r>
    </w:p>
    <w:p w:rsidR="00796C66" w:rsidRDefault="00FB6202">
      <w:pPr>
        <w:pStyle w:val="ae"/>
        <w:outlineLvl w:val="0"/>
      </w:pPr>
      <w:bookmarkStart w:id="3" w:name="_Toc256000003"/>
      <w:r>
        <w:rPr>
          <w:noProof/>
        </w:rPr>
        <w:lastRenderedPageBreak/>
        <w:t>三</w:t>
      </w:r>
      <w:r>
        <w:rPr>
          <w:rStyle w:val="Char5"/>
          <w:b/>
          <w:bCs/>
          <w:noProof/>
        </w:rPr>
        <w:t>、</w:t>
      </w:r>
      <w:r>
        <w:rPr>
          <w:noProof/>
        </w:rPr>
        <w:t>基金管理人</w:t>
      </w:r>
      <w:bookmarkEnd w:id="3"/>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（一）基金管理人概况</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1</w:t>
      </w:r>
      <w:r>
        <w:rPr>
          <w:rFonts w:ascii="宋体" w:hAnsi="宋体" w:cs="宋体"/>
          <w:kern w:val="0"/>
          <w:szCs w:val="21"/>
        </w:rPr>
        <w:t>、名称：华商基金管理有限公司</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2</w:t>
      </w:r>
      <w:r>
        <w:rPr>
          <w:rFonts w:ascii="宋体" w:hAnsi="宋体" w:cs="宋体"/>
          <w:kern w:val="0"/>
          <w:szCs w:val="21"/>
        </w:rPr>
        <w:t>、住所：北京市西城区平安里西大街</w:t>
      </w:r>
      <w:r>
        <w:rPr>
          <w:rFonts w:ascii="宋体" w:hAnsi="宋体" w:cs="宋体"/>
          <w:kern w:val="0"/>
          <w:szCs w:val="21"/>
        </w:rPr>
        <w:t>28</w:t>
      </w:r>
      <w:r>
        <w:rPr>
          <w:rFonts w:ascii="宋体" w:hAnsi="宋体" w:cs="宋体"/>
          <w:kern w:val="0"/>
          <w:szCs w:val="21"/>
        </w:rPr>
        <w:t>号楼</w:t>
      </w:r>
      <w:r>
        <w:rPr>
          <w:rFonts w:ascii="宋体" w:hAnsi="宋体" w:cs="宋体"/>
          <w:kern w:val="0"/>
          <w:szCs w:val="21"/>
        </w:rPr>
        <w:t>19</w:t>
      </w:r>
      <w:r>
        <w:rPr>
          <w:rFonts w:ascii="宋体" w:hAnsi="宋体" w:cs="宋体"/>
          <w:kern w:val="0"/>
          <w:szCs w:val="21"/>
        </w:rPr>
        <w:t>层</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3</w:t>
      </w:r>
      <w:r>
        <w:rPr>
          <w:rFonts w:ascii="宋体" w:hAnsi="宋体" w:cs="宋体"/>
          <w:kern w:val="0"/>
          <w:szCs w:val="21"/>
        </w:rPr>
        <w:t>、办公地址：北京市西城区平安里西大街</w:t>
      </w:r>
      <w:r>
        <w:rPr>
          <w:rFonts w:ascii="宋体" w:hAnsi="宋体" w:cs="宋体"/>
          <w:kern w:val="0"/>
          <w:szCs w:val="21"/>
        </w:rPr>
        <w:t>28</w:t>
      </w:r>
      <w:r>
        <w:rPr>
          <w:rFonts w:ascii="宋体" w:hAnsi="宋体" w:cs="宋体"/>
          <w:kern w:val="0"/>
          <w:szCs w:val="21"/>
        </w:rPr>
        <w:t>号楼</w:t>
      </w:r>
      <w:r>
        <w:rPr>
          <w:rFonts w:ascii="宋体" w:hAnsi="宋体" w:cs="宋体"/>
          <w:kern w:val="0"/>
          <w:szCs w:val="21"/>
        </w:rPr>
        <w:t>19</w:t>
      </w:r>
      <w:r>
        <w:rPr>
          <w:rFonts w:ascii="宋体" w:hAnsi="宋体" w:cs="宋体"/>
          <w:kern w:val="0"/>
          <w:szCs w:val="21"/>
        </w:rPr>
        <w:t>层</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4</w:t>
      </w:r>
      <w:r>
        <w:rPr>
          <w:rFonts w:ascii="宋体" w:hAnsi="宋体" w:cs="宋体"/>
          <w:kern w:val="0"/>
          <w:szCs w:val="21"/>
        </w:rPr>
        <w:t>、法定代表人：苏金奎</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5</w:t>
      </w:r>
      <w:r>
        <w:rPr>
          <w:rFonts w:ascii="宋体" w:hAnsi="宋体" w:cs="宋体"/>
          <w:kern w:val="0"/>
          <w:szCs w:val="21"/>
        </w:rPr>
        <w:t>、成立时间：</w:t>
      </w:r>
      <w:r>
        <w:rPr>
          <w:rFonts w:ascii="宋体" w:hAnsi="宋体" w:cs="宋体"/>
          <w:kern w:val="0"/>
          <w:szCs w:val="21"/>
        </w:rPr>
        <w:t>2005</w:t>
      </w:r>
      <w:r>
        <w:rPr>
          <w:rFonts w:ascii="宋体" w:hAnsi="宋体" w:cs="宋体"/>
          <w:kern w:val="0"/>
          <w:szCs w:val="21"/>
        </w:rPr>
        <w:t>年</w:t>
      </w:r>
      <w:r>
        <w:rPr>
          <w:rFonts w:ascii="宋体" w:hAnsi="宋体" w:cs="宋体"/>
          <w:kern w:val="0"/>
          <w:szCs w:val="21"/>
        </w:rPr>
        <w:t>12</w:t>
      </w:r>
      <w:r>
        <w:rPr>
          <w:rFonts w:ascii="宋体" w:hAnsi="宋体" w:cs="宋体"/>
          <w:kern w:val="0"/>
          <w:szCs w:val="21"/>
        </w:rPr>
        <w:t>月</w:t>
      </w:r>
      <w:r>
        <w:rPr>
          <w:rFonts w:ascii="宋体" w:hAnsi="宋体" w:cs="宋体"/>
          <w:kern w:val="0"/>
          <w:szCs w:val="21"/>
        </w:rPr>
        <w:t>20</w:t>
      </w:r>
      <w:r>
        <w:rPr>
          <w:rFonts w:ascii="宋体" w:hAnsi="宋体" w:cs="宋体"/>
          <w:kern w:val="0"/>
          <w:szCs w:val="21"/>
        </w:rPr>
        <w:t>日</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6</w:t>
      </w:r>
      <w:r>
        <w:rPr>
          <w:rFonts w:ascii="宋体" w:hAnsi="宋体" w:cs="宋体"/>
          <w:kern w:val="0"/>
          <w:szCs w:val="21"/>
        </w:rPr>
        <w:t>、注册资本：壹亿元</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7</w:t>
      </w:r>
      <w:r>
        <w:rPr>
          <w:rFonts w:ascii="宋体" w:hAnsi="宋体" w:cs="宋体"/>
          <w:kern w:val="0"/>
          <w:szCs w:val="21"/>
        </w:rPr>
        <w:t>、电话：</w:t>
      </w:r>
      <w:r>
        <w:rPr>
          <w:rFonts w:ascii="宋体" w:hAnsi="宋体" w:cs="宋体"/>
          <w:kern w:val="0"/>
          <w:szCs w:val="21"/>
        </w:rPr>
        <w:t>010</w:t>
      </w:r>
      <w:r>
        <w:rPr>
          <w:rFonts w:ascii="宋体" w:hAnsi="宋体" w:cs="宋体"/>
          <w:kern w:val="0"/>
          <w:szCs w:val="21"/>
        </w:rPr>
        <w:t>－</w:t>
      </w:r>
      <w:r>
        <w:rPr>
          <w:rFonts w:ascii="宋体" w:hAnsi="宋体" w:cs="宋体"/>
          <w:kern w:val="0"/>
          <w:szCs w:val="21"/>
        </w:rPr>
        <w:t xml:space="preserve">58573600  </w:t>
      </w:r>
      <w:r>
        <w:rPr>
          <w:rFonts w:ascii="宋体" w:hAnsi="宋体" w:cs="宋体"/>
          <w:kern w:val="0"/>
          <w:szCs w:val="21"/>
        </w:rPr>
        <w:t>传真：</w:t>
      </w:r>
      <w:r>
        <w:rPr>
          <w:rFonts w:ascii="宋体" w:hAnsi="宋体" w:cs="宋体"/>
          <w:kern w:val="0"/>
          <w:szCs w:val="21"/>
        </w:rPr>
        <w:t>010</w:t>
      </w:r>
      <w:r>
        <w:rPr>
          <w:rFonts w:ascii="宋体" w:hAnsi="宋体" w:cs="宋体"/>
          <w:kern w:val="0"/>
          <w:szCs w:val="21"/>
        </w:rPr>
        <w:t>－</w:t>
      </w:r>
      <w:r>
        <w:rPr>
          <w:rFonts w:ascii="宋体" w:hAnsi="宋体" w:cs="宋体"/>
          <w:kern w:val="0"/>
          <w:szCs w:val="21"/>
        </w:rPr>
        <w:t>58573520</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8</w:t>
      </w:r>
      <w:r>
        <w:rPr>
          <w:rFonts w:ascii="宋体" w:hAnsi="宋体" w:cs="宋体"/>
          <w:kern w:val="0"/>
          <w:szCs w:val="21"/>
        </w:rPr>
        <w:t>、联系人：高敏</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9</w:t>
      </w:r>
      <w:r>
        <w:rPr>
          <w:rFonts w:ascii="宋体" w:hAnsi="宋体" w:cs="宋体"/>
          <w:kern w:val="0"/>
          <w:szCs w:val="21"/>
        </w:rPr>
        <w:t>、股权结构</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股东名称</w:t>
      </w:r>
      <w:r>
        <w:rPr>
          <w:rFonts w:ascii="宋体" w:hAnsi="宋体" w:cs="宋体"/>
          <w:kern w:val="0"/>
          <w:szCs w:val="21"/>
        </w:rPr>
        <w:t xml:space="preserve">        </w:t>
      </w:r>
      <w:r>
        <w:rPr>
          <w:rFonts w:ascii="宋体" w:hAnsi="宋体" w:cs="宋体"/>
          <w:kern w:val="0"/>
          <w:szCs w:val="21"/>
        </w:rPr>
        <w:t xml:space="preserve">                   </w:t>
      </w:r>
      <w:r>
        <w:rPr>
          <w:rFonts w:ascii="宋体" w:hAnsi="宋体" w:cs="宋体"/>
          <w:kern w:val="0"/>
          <w:szCs w:val="21"/>
        </w:rPr>
        <w:t>出资比例</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华龙证券股份有限公司</w:t>
      </w:r>
      <w:r>
        <w:rPr>
          <w:rFonts w:ascii="宋体" w:hAnsi="宋体" w:cs="宋体"/>
          <w:kern w:val="0"/>
          <w:szCs w:val="21"/>
        </w:rPr>
        <w:t xml:space="preserve">                 46</w:t>
      </w:r>
      <w:r>
        <w:rPr>
          <w:rFonts w:ascii="宋体" w:hAnsi="宋体" w:cs="宋体"/>
          <w:kern w:val="0"/>
          <w:szCs w:val="21"/>
        </w:rPr>
        <w:t>％</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深圳市五洲协和投资有限公司</w:t>
      </w:r>
      <w:r>
        <w:rPr>
          <w:rFonts w:ascii="宋体" w:hAnsi="宋体" w:cs="宋体"/>
          <w:kern w:val="0"/>
          <w:szCs w:val="21"/>
        </w:rPr>
        <w:t xml:space="preserve">           34</w:t>
      </w:r>
      <w:r>
        <w:rPr>
          <w:rFonts w:ascii="宋体" w:hAnsi="宋体" w:cs="宋体"/>
          <w:kern w:val="0"/>
          <w:szCs w:val="21"/>
        </w:rPr>
        <w:t>％</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济钢集团有限公司</w:t>
      </w:r>
      <w:r>
        <w:rPr>
          <w:rFonts w:ascii="宋体" w:hAnsi="宋体" w:cs="宋体"/>
          <w:kern w:val="0"/>
          <w:szCs w:val="21"/>
        </w:rPr>
        <w:t xml:space="preserve">                     20</w:t>
      </w:r>
      <w:r>
        <w:rPr>
          <w:rFonts w:ascii="宋体" w:hAnsi="宋体" w:cs="宋体"/>
          <w:kern w:val="0"/>
          <w:szCs w:val="21"/>
        </w:rPr>
        <w:t>％</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10</w:t>
      </w:r>
      <w:r>
        <w:rPr>
          <w:rFonts w:ascii="宋体" w:hAnsi="宋体" w:cs="宋体"/>
          <w:kern w:val="0"/>
          <w:szCs w:val="21"/>
        </w:rPr>
        <w:t>、客户服务电话：</w:t>
      </w:r>
      <w:r>
        <w:rPr>
          <w:rFonts w:ascii="宋体" w:hAnsi="宋体" w:cs="宋体"/>
          <w:kern w:val="0"/>
          <w:szCs w:val="21"/>
        </w:rPr>
        <w:t>010-58573300  400-700-8880</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（二）基金管理人主要人员情况</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w:t>
      </w:r>
      <w:r>
        <w:rPr>
          <w:rFonts w:ascii="宋体" w:hAnsi="宋体" w:cs="宋体"/>
          <w:kern w:val="0"/>
          <w:szCs w:val="21"/>
        </w:rPr>
        <w:t>、董事会成员</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苏金奎：董事长。男，本科，会计师。现任甘肃省国有资产投资集团有限公司副总经理、党委委员。曾就职于化学工业部化工机械研究院，上海恒科科技发展有限公司，华龙证券股份有限公司。</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曹锋：董事。男，研究生。现任华龙证券股份有限公司党委副书记、工会主席、职工董事，曾任华龙证券股份有限公司办公室主任、党委办公室主任、党委组织部部长、人力资源总部总经理。曾就职于兰州石油化工机器总厂，甘肃陇达期货经纪有限公司，华龙期货股份有限公司。</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贺强：董事。男，本科。现任华龙证券股份有限公司首席运营官，华龙证券股份有限公司证券投资部总经</w:t>
      </w:r>
      <w:r>
        <w:rPr>
          <w:rFonts w:ascii="宋体" w:hAnsi="宋体" w:cs="宋体"/>
          <w:kern w:val="0"/>
          <w:szCs w:val="21"/>
        </w:rPr>
        <w:t>理，金城资本管理有限公司董事，曾任华龙证券股份有限公司民主东路营业部部门经理、中山路营业部总经理、乌鲁木齐扬子江路证券营业部总经理，华龙证券股份有限公司金融发展部总经理、办公室主任，华龙证券股份有限公司总经理助理、固定收益总部总经理，华龙证券股份有限公司副总经理。曾就职于蔚深证券有限责任公司，珠海泰柯玛有限公司。</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钱宁波：董事。男，硕士研究生。现任成都农村商业银行股份有限公司资产保全部总经理。曾就职于成都市水利电力勘察设计院，北京市天铎律师事务所，华夏银行成都分行。</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lastRenderedPageBreak/>
        <w:t>陈亚禹：董事。男，硕士研究生。现任成都农</w:t>
      </w:r>
      <w:r>
        <w:rPr>
          <w:rFonts w:ascii="宋体" w:hAnsi="宋体" w:cs="宋体"/>
          <w:kern w:val="0"/>
          <w:szCs w:val="21"/>
        </w:rPr>
        <w:t>村商业银行股份有限公司董事会办公室主任助理，曾任成都农村商业银行股份有限公司董事会办公室经理。曾就职于蚌埠坦克学院，共青团安徽省凤阳县委员会，中国人民银行滁州市中心支行，成都市地方金融管理局，成都市委办公厅，成都银行。</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曹孟博：董事。男，工程硕士，高级经济师。现任济钢集团有限公司董事会审计与风险委员会工作组组长，济南资源循环集团有限公司董事，济钢供应链（济南）有限公司董事。曾任济钢集团有限公司炼铁厂科员，财务部科员、科长、副处长、部长，党委委员，董事，董事会薪酬与考核委员会工作组组长。曾就职于山东钢铁股份有</w:t>
      </w:r>
      <w:r>
        <w:rPr>
          <w:rFonts w:ascii="宋体" w:hAnsi="宋体" w:cs="宋体"/>
          <w:kern w:val="0"/>
          <w:szCs w:val="21"/>
        </w:rPr>
        <w:t>限公司财务部、济南分公司。</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小刚：董事。男，理学硕士。现任华商基金管理有限公司党支部书记、总经理、财务负责人。曾任华龙证券股份有限公司定西服务部经理，兰州东岗西路营业部副总经理、总经理，华龙证券股份有限公司总经理助理、经纪业务管理总部总经理，华龙证券股份有限公司副总经理、党委委员、深圳分公司总经理、固定收益总部总经理，华商基金管理有限公司首席信息官。曾就职于天水市信托投资公司。</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刘志军：独立董事。女，博士研究生。现任兰州财经大学教授，兰州黄河企业股份有限公司独立董事，方大炭素新材料科技股份有限公司独立董事</w:t>
      </w:r>
      <w:r>
        <w:rPr>
          <w:rFonts w:ascii="宋体" w:hAnsi="宋体" w:cs="宋体"/>
          <w:kern w:val="0"/>
          <w:szCs w:val="21"/>
        </w:rPr>
        <w:t>，兰州银行股份有限公司独立董事。</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高菠阳：独立董事。女，博士研究生。现任中央财经大学国家财经战略研究院教授，中央财经大学国际合作处（港澳台事务办公室）副处长、副主任，国寿健康产业投资有限公司独立董事。曾任国务院发展研究中心产业经济部访问学者，中央财经大学管理科学与工程学院讲师、副教授、教授、产教融合部主任，中央财经大学数据资产与智能管理研究中心联合数据研究中心副主任。</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王珏：独立董事。男，博士研究生。现任西南财经大学研究生院院长、党委委员，四川省普通本科高等学校经济与贸易类专业教学指导委员会主任委员，中国国</w:t>
      </w:r>
      <w:r>
        <w:rPr>
          <w:rFonts w:ascii="宋体" w:hAnsi="宋体" w:cs="宋体"/>
          <w:kern w:val="0"/>
          <w:szCs w:val="21"/>
        </w:rPr>
        <w:t>际贸易学会常委理事。曾任西南财经大学国际商学院教师，中英</w:t>
      </w:r>
      <w:r>
        <w:rPr>
          <w:rFonts w:ascii="serif" w:eastAsia="serif" w:hAnsi="serif" w:cs="serif"/>
          <w:kern w:val="0"/>
          <w:szCs w:val="21"/>
        </w:rPr>
        <w:t>FDI</w:t>
      </w:r>
      <w:r>
        <w:rPr>
          <w:rFonts w:ascii="宋体" w:hAnsi="宋体" w:cs="宋体"/>
          <w:kern w:val="0"/>
          <w:szCs w:val="21"/>
        </w:rPr>
        <w:t>研究所所长，国际商务系系主任，国际商学院院长助理、副院长、院长，工商管理学院院长。</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张涵：独立董事。男，博士研究生。现任山东政法学院副教授，山东文泉坤园律师事务所讲师。曾任山东政法学院科员。</w:t>
      </w:r>
    </w:p>
    <w:p w:rsidR="00796C66" w:rsidRDefault="00796C66">
      <w:pPr>
        <w:pStyle w:val="p"/>
        <w:spacing w:line="360" w:lineRule="auto"/>
        <w:ind w:firstLine="480"/>
        <w:rPr>
          <w:rFonts w:ascii="宋体" w:hAnsi="宋体" w:cs="宋体"/>
          <w:kern w:val="0"/>
          <w:szCs w:val="21"/>
        </w:rPr>
      </w:pP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w:t>
      </w:r>
      <w:r>
        <w:rPr>
          <w:rFonts w:ascii="宋体" w:hAnsi="宋体" w:cs="宋体"/>
          <w:kern w:val="0"/>
          <w:szCs w:val="21"/>
        </w:rPr>
        <w:t>、总经理及其他高级管理人员</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王小刚：总经理、财务负责人。简历同上。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高敏：督察长、董事会秘书。女，会计专业硕士，高级会计师、注册会计师、注册评估师、注册税务师、国际注册内部审计师。</w:t>
      </w:r>
      <w:r>
        <w:rPr>
          <w:rFonts w:ascii="serif" w:eastAsia="serif" w:hAnsi="serif" w:cs="serif"/>
          <w:kern w:val="0"/>
          <w:szCs w:val="21"/>
        </w:rPr>
        <w:t>2007</w:t>
      </w:r>
      <w:r>
        <w:rPr>
          <w:rFonts w:ascii="宋体" w:hAnsi="宋体" w:cs="宋体"/>
          <w:kern w:val="0"/>
          <w:szCs w:val="21"/>
        </w:rPr>
        <w:t>年</w:t>
      </w:r>
      <w:r>
        <w:rPr>
          <w:rFonts w:ascii="serif" w:eastAsia="serif" w:hAnsi="serif" w:cs="serif"/>
          <w:kern w:val="0"/>
          <w:szCs w:val="21"/>
        </w:rPr>
        <w:t>5</w:t>
      </w:r>
      <w:r>
        <w:rPr>
          <w:rFonts w:ascii="宋体" w:hAnsi="宋体" w:cs="宋体"/>
          <w:kern w:val="0"/>
          <w:szCs w:val="21"/>
        </w:rPr>
        <w:t>月加入华商基金管理有限公司，曾任综合管理部总经理、深圳分公司总经理、公司副总经理；曾就职于兰州百货大楼股份有限</w:t>
      </w:r>
      <w:r>
        <w:rPr>
          <w:rFonts w:ascii="宋体" w:hAnsi="宋体" w:cs="宋体"/>
          <w:kern w:val="0"/>
          <w:szCs w:val="21"/>
        </w:rPr>
        <w:lastRenderedPageBreak/>
        <w:t>公司计划财务总部任主管会计，甘肃金信会计师事务所任审计主管，兰州金瑞税务师事务所业务部任副主任，华龙证券股份有限公司计划财务总部任副总经理。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王华：副总经理。男，工商管理硕士。</w:t>
      </w:r>
      <w:r>
        <w:rPr>
          <w:rFonts w:ascii="serif" w:eastAsia="serif" w:hAnsi="serif" w:cs="serif"/>
          <w:kern w:val="0"/>
          <w:szCs w:val="21"/>
        </w:rPr>
        <w:t>2007</w:t>
      </w:r>
      <w:r>
        <w:rPr>
          <w:rFonts w:ascii="宋体" w:hAnsi="宋体" w:cs="宋体"/>
          <w:kern w:val="0"/>
          <w:szCs w:val="21"/>
        </w:rPr>
        <w:t>年</w:t>
      </w:r>
      <w:r>
        <w:rPr>
          <w:rFonts w:ascii="serif" w:eastAsia="serif" w:hAnsi="serif" w:cs="serif"/>
          <w:kern w:val="0"/>
          <w:szCs w:val="21"/>
        </w:rPr>
        <w:t>4</w:t>
      </w:r>
      <w:r>
        <w:rPr>
          <w:rFonts w:ascii="宋体" w:hAnsi="宋体" w:cs="宋体"/>
          <w:kern w:val="0"/>
          <w:szCs w:val="21"/>
        </w:rPr>
        <w:t>月加入华商基金管理有限公司，曾任证券交易部主管、总经理，机构投资一部总经理、投资经理，混合资产投资部总经理，公司总经理助理，深圳分公司总经理；曾任中国物资再生利用总公司上海期货交易部投资分析员、部门副经理、部门经理</w:t>
      </w:r>
      <w:r>
        <w:rPr>
          <w:rFonts w:ascii="宋体" w:hAnsi="宋体" w:cs="宋体"/>
          <w:kern w:val="0"/>
          <w:szCs w:val="21"/>
        </w:rPr>
        <w:t>，上海宏达期货有限公司投资结算部总监，中国经济开发信托投资公司北京证券营业部总经理助理、研究发展部经理，中海基金筹备组成员，北京华商投资有限公司副总经理。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吴林谦：副总经理。男，大学本科。</w:t>
      </w:r>
      <w:r>
        <w:rPr>
          <w:rFonts w:ascii="serif" w:eastAsia="serif" w:hAnsi="serif" w:cs="serif"/>
          <w:kern w:val="0"/>
          <w:szCs w:val="21"/>
        </w:rPr>
        <w:t>2019</w:t>
      </w:r>
      <w:r>
        <w:rPr>
          <w:rFonts w:ascii="宋体" w:hAnsi="宋体" w:cs="宋体"/>
          <w:kern w:val="0"/>
          <w:szCs w:val="21"/>
        </w:rPr>
        <w:t>年</w:t>
      </w:r>
      <w:r>
        <w:rPr>
          <w:rFonts w:ascii="serif" w:eastAsia="serif" w:hAnsi="serif" w:cs="serif"/>
          <w:kern w:val="0"/>
          <w:szCs w:val="21"/>
        </w:rPr>
        <w:t>1</w:t>
      </w:r>
      <w:r>
        <w:rPr>
          <w:rFonts w:ascii="宋体" w:hAnsi="宋体" w:cs="宋体"/>
          <w:kern w:val="0"/>
          <w:szCs w:val="21"/>
        </w:rPr>
        <w:t>月加入华商基金管理有限公司，曾任上海分公司总经理；曾就职于国家地震局兰州地震研究所，任助理研究员；上海新兰德证券投资咨询公司，任总经理助理；金新信托股份有限公司，从事投资管理工作；新疆新界集团公司，从事房地产开发项目投资工作；金元证券股份有限公司乌鲁木齐黄河路营业部，从事投行及机构客户服务工作；华龙证券股份有限</w:t>
      </w:r>
      <w:r>
        <w:rPr>
          <w:rFonts w:ascii="宋体" w:hAnsi="宋体" w:cs="宋体"/>
          <w:kern w:val="0"/>
          <w:szCs w:val="21"/>
        </w:rPr>
        <w:t>公司乌鲁木齐扬子江路证券营业部，历任副总经理、总经理；华龙证券股份有限公司新疆分公司，任总经理。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陈杰：副总经理、基金经理、深圳分公司总经理。男，管理学硕士。</w:t>
      </w:r>
      <w:r>
        <w:rPr>
          <w:rFonts w:ascii="serif" w:eastAsia="serif" w:hAnsi="serif" w:cs="serif"/>
          <w:kern w:val="0"/>
          <w:szCs w:val="21"/>
        </w:rPr>
        <w:t>2018</w:t>
      </w:r>
      <w:r>
        <w:rPr>
          <w:rFonts w:ascii="宋体" w:hAnsi="宋体" w:cs="宋体"/>
          <w:kern w:val="0"/>
          <w:szCs w:val="21"/>
        </w:rPr>
        <w:t>年</w:t>
      </w:r>
      <w:r>
        <w:rPr>
          <w:rFonts w:ascii="serif" w:eastAsia="serif" w:hAnsi="serif" w:cs="serif"/>
          <w:kern w:val="0"/>
          <w:szCs w:val="21"/>
        </w:rPr>
        <w:t>9</w:t>
      </w:r>
      <w:r>
        <w:rPr>
          <w:rFonts w:ascii="宋体" w:hAnsi="宋体" w:cs="宋体"/>
          <w:kern w:val="0"/>
          <w:szCs w:val="21"/>
        </w:rPr>
        <w:t>月加入华商基金管理有限公司，曾任固定收益部总经理、公司总经理助理；曾就职于中国冶金设备南京有限公司，任财务部会计；南京证券股份有限公司，任固定收益部高级经理；华龙证券股份有限公司，任固定收益部副总经理；联讯证券股份有限公司，任固定收益部董事总经理；华龙证券股份有限公司，任固定收益部常务副总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姜丽荣：副总经理、上海分公司总经理。男，经济</w:t>
      </w:r>
      <w:r>
        <w:rPr>
          <w:rFonts w:ascii="宋体" w:hAnsi="宋体" w:cs="宋体"/>
          <w:kern w:val="0"/>
          <w:szCs w:val="21"/>
        </w:rPr>
        <w:t>学硕士。</w:t>
      </w:r>
      <w:r>
        <w:rPr>
          <w:rFonts w:ascii="serif" w:eastAsia="serif" w:hAnsi="serif" w:cs="serif"/>
          <w:kern w:val="0"/>
          <w:szCs w:val="21"/>
        </w:rPr>
        <w:t>2022</w:t>
      </w:r>
      <w:r>
        <w:rPr>
          <w:rFonts w:ascii="宋体" w:hAnsi="宋体" w:cs="宋体"/>
          <w:kern w:val="0"/>
          <w:szCs w:val="21"/>
        </w:rPr>
        <w:t>年</w:t>
      </w:r>
      <w:r>
        <w:rPr>
          <w:rFonts w:ascii="serif" w:eastAsia="serif" w:hAnsi="serif" w:cs="serif"/>
          <w:kern w:val="0"/>
          <w:szCs w:val="21"/>
        </w:rPr>
        <w:t>1</w:t>
      </w:r>
      <w:r>
        <w:rPr>
          <w:rFonts w:ascii="宋体" w:hAnsi="宋体" w:cs="宋体"/>
          <w:kern w:val="0"/>
          <w:szCs w:val="21"/>
        </w:rPr>
        <w:t>月加入华商基金管理有限公司，曾任机构业务部总经理、公司总经理助理；曾就职于宁波银行股份有限公司，历任职员、非银同业部负责人；永赢基金管理有限公司，历任市场部副总监、机构部副总监、机构部总监。</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秦哲：首席信息官、信息</w:t>
      </w:r>
      <w:bookmarkStart w:id="4" w:name="_GoBack"/>
      <w:bookmarkEnd w:id="4"/>
      <w:r>
        <w:rPr>
          <w:rFonts w:ascii="宋体" w:hAnsi="宋体" w:cs="宋体"/>
          <w:kern w:val="0"/>
          <w:szCs w:val="21"/>
        </w:rPr>
        <w:t>技术部总经理。男，工程硕士。</w:t>
      </w:r>
      <w:r>
        <w:rPr>
          <w:rFonts w:ascii="serif" w:eastAsia="serif" w:hAnsi="serif" w:cs="serif"/>
          <w:kern w:val="0"/>
          <w:szCs w:val="21"/>
        </w:rPr>
        <w:t>2007</w:t>
      </w:r>
      <w:r>
        <w:rPr>
          <w:rFonts w:ascii="宋体" w:hAnsi="宋体" w:cs="宋体"/>
          <w:kern w:val="0"/>
          <w:szCs w:val="21"/>
        </w:rPr>
        <w:t>年</w:t>
      </w:r>
      <w:r>
        <w:rPr>
          <w:rFonts w:ascii="serif" w:eastAsia="serif" w:hAnsi="serif" w:cs="serif"/>
          <w:kern w:val="0"/>
          <w:szCs w:val="21"/>
        </w:rPr>
        <w:t>8</w:t>
      </w:r>
      <w:r>
        <w:rPr>
          <w:rFonts w:ascii="宋体" w:hAnsi="宋体" w:cs="宋体"/>
          <w:kern w:val="0"/>
          <w:szCs w:val="21"/>
        </w:rPr>
        <w:t>月加入华商基金管理有限公司，曾任运营保障部员工、运营保障部副总经理、信息技术部副总经理、信息技术总监；曾就职于深圳逸新计算机开发公司，任软件开发部程序员；深圳金证科技股份有限公司，任金融软件中心项目经理。</w:t>
      </w:r>
    </w:p>
    <w:p w:rsidR="00796C66" w:rsidRDefault="00796C66">
      <w:pPr>
        <w:pStyle w:val="p"/>
        <w:spacing w:line="360" w:lineRule="auto"/>
        <w:ind w:firstLine="480"/>
        <w:rPr>
          <w:rFonts w:ascii="宋体" w:hAnsi="宋体" w:cs="宋体"/>
          <w:kern w:val="0"/>
          <w:szCs w:val="21"/>
        </w:rPr>
      </w:pP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3</w:t>
      </w:r>
      <w:r>
        <w:rPr>
          <w:rFonts w:ascii="宋体" w:hAnsi="宋体" w:cs="宋体"/>
          <w:kern w:val="0"/>
          <w:szCs w:val="21"/>
        </w:rPr>
        <w:t>、基金经理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张月红：</w:t>
      </w:r>
      <w:r>
        <w:rPr>
          <w:rFonts w:ascii="宋体" w:hAnsi="宋体" w:cs="宋体"/>
          <w:kern w:val="0"/>
          <w:szCs w:val="21"/>
        </w:rPr>
        <w:t>女，中国籍，经济学硕士，具有基金从业资格。</w:t>
      </w:r>
      <w:r>
        <w:rPr>
          <w:rFonts w:ascii="宋体" w:hAnsi="宋体" w:cs="宋体"/>
          <w:kern w:val="0"/>
          <w:szCs w:val="21"/>
        </w:rPr>
        <w:t>2010</w:t>
      </w:r>
      <w:r>
        <w:rPr>
          <w:rFonts w:ascii="宋体" w:hAnsi="宋体" w:cs="宋体"/>
          <w:kern w:val="0"/>
          <w:szCs w:val="21"/>
        </w:rPr>
        <w:t>年</w:t>
      </w:r>
      <w:r>
        <w:rPr>
          <w:rFonts w:ascii="宋体" w:hAnsi="宋体" w:cs="宋体"/>
          <w:kern w:val="0"/>
          <w:szCs w:val="21"/>
        </w:rPr>
        <w:t>9</w:t>
      </w:r>
      <w:r>
        <w:rPr>
          <w:rFonts w:ascii="宋体" w:hAnsi="宋体" w:cs="宋体"/>
          <w:kern w:val="0"/>
          <w:szCs w:val="21"/>
        </w:rPr>
        <w:t>月至</w:t>
      </w:r>
      <w:r>
        <w:rPr>
          <w:rFonts w:ascii="宋体" w:hAnsi="宋体" w:cs="宋体"/>
          <w:kern w:val="0"/>
          <w:szCs w:val="21"/>
        </w:rPr>
        <w:t>2011</w:t>
      </w:r>
      <w:r>
        <w:rPr>
          <w:rFonts w:ascii="宋体" w:hAnsi="宋体" w:cs="宋体"/>
          <w:kern w:val="0"/>
          <w:szCs w:val="21"/>
        </w:rPr>
        <w:t>年</w:t>
      </w:r>
      <w:r>
        <w:rPr>
          <w:rFonts w:ascii="宋体" w:hAnsi="宋体" w:cs="宋体"/>
          <w:kern w:val="0"/>
          <w:szCs w:val="21"/>
        </w:rPr>
        <w:t>6</w:t>
      </w:r>
      <w:r>
        <w:rPr>
          <w:rFonts w:ascii="宋体" w:hAnsi="宋体" w:cs="宋体"/>
          <w:kern w:val="0"/>
          <w:szCs w:val="21"/>
        </w:rPr>
        <w:t>月，就职于招商基金管理有限公司，任项目助理；</w:t>
      </w:r>
      <w:r>
        <w:rPr>
          <w:rFonts w:ascii="宋体" w:hAnsi="宋体" w:cs="宋体"/>
          <w:kern w:val="0"/>
          <w:szCs w:val="21"/>
        </w:rPr>
        <w:t>2011</w:t>
      </w:r>
      <w:r>
        <w:rPr>
          <w:rFonts w:ascii="宋体" w:hAnsi="宋体" w:cs="宋体"/>
          <w:kern w:val="0"/>
          <w:szCs w:val="21"/>
        </w:rPr>
        <w:t>年</w:t>
      </w:r>
      <w:r>
        <w:rPr>
          <w:rFonts w:ascii="宋体" w:hAnsi="宋体" w:cs="宋体"/>
          <w:kern w:val="0"/>
          <w:szCs w:val="21"/>
        </w:rPr>
        <w:t>6</w:t>
      </w:r>
      <w:r>
        <w:rPr>
          <w:rFonts w:ascii="宋体" w:hAnsi="宋体" w:cs="宋体"/>
          <w:kern w:val="0"/>
          <w:szCs w:val="21"/>
        </w:rPr>
        <w:t>月至</w:t>
      </w:r>
      <w:r>
        <w:rPr>
          <w:rFonts w:ascii="宋体" w:hAnsi="宋体" w:cs="宋体"/>
          <w:kern w:val="0"/>
          <w:szCs w:val="21"/>
        </w:rPr>
        <w:t>2015</w:t>
      </w:r>
      <w:r>
        <w:rPr>
          <w:rFonts w:ascii="宋体" w:hAnsi="宋体" w:cs="宋体"/>
          <w:kern w:val="0"/>
          <w:szCs w:val="21"/>
        </w:rPr>
        <w:t>年</w:t>
      </w:r>
      <w:r>
        <w:rPr>
          <w:rFonts w:ascii="宋体" w:hAnsi="宋体" w:cs="宋体"/>
          <w:kern w:val="0"/>
          <w:szCs w:val="21"/>
        </w:rPr>
        <w:t>4</w:t>
      </w:r>
      <w:r>
        <w:rPr>
          <w:rFonts w:ascii="宋体" w:hAnsi="宋体" w:cs="宋体"/>
          <w:kern w:val="0"/>
          <w:szCs w:val="21"/>
        </w:rPr>
        <w:t>月，就职于长城人寿保险股份有限公司，任行业研究员；</w:t>
      </w:r>
      <w:r>
        <w:rPr>
          <w:rFonts w:ascii="宋体" w:hAnsi="宋体" w:cs="宋体"/>
          <w:kern w:val="0"/>
          <w:szCs w:val="21"/>
        </w:rPr>
        <w:t>2015</w:t>
      </w:r>
      <w:r>
        <w:rPr>
          <w:rFonts w:ascii="宋体" w:hAnsi="宋体" w:cs="宋体"/>
          <w:kern w:val="0"/>
          <w:szCs w:val="21"/>
        </w:rPr>
        <w:t>年</w:t>
      </w:r>
      <w:r>
        <w:rPr>
          <w:rFonts w:ascii="宋体" w:hAnsi="宋体" w:cs="宋体"/>
          <w:kern w:val="0"/>
          <w:szCs w:val="21"/>
        </w:rPr>
        <w:t>5</w:t>
      </w:r>
      <w:r>
        <w:rPr>
          <w:rFonts w:ascii="宋体" w:hAnsi="宋体" w:cs="宋体"/>
          <w:kern w:val="0"/>
          <w:szCs w:val="21"/>
        </w:rPr>
        <w:t>月至</w:t>
      </w:r>
      <w:r>
        <w:rPr>
          <w:rFonts w:ascii="宋体" w:hAnsi="宋体" w:cs="宋体"/>
          <w:kern w:val="0"/>
          <w:szCs w:val="21"/>
        </w:rPr>
        <w:t>2020</w:t>
      </w:r>
      <w:r>
        <w:rPr>
          <w:rFonts w:ascii="宋体" w:hAnsi="宋体" w:cs="宋体"/>
          <w:kern w:val="0"/>
          <w:szCs w:val="21"/>
        </w:rPr>
        <w:t>年</w:t>
      </w:r>
      <w:r>
        <w:rPr>
          <w:rFonts w:ascii="宋体" w:hAnsi="宋体" w:cs="宋体"/>
          <w:kern w:val="0"/>
          <w:szCs w:val="21"/>
        </w:rPr>
        <w:t>5</w:t>
      </w:r>
      <w:r>
        <w:rPr>
          <w:rFonts w:ascii="宋体" w:hAnsi="宋体" w:cs="宋体"/>
          <w:kern w:val="0"/>
          <w:szCs w:val="21"/>
        </w:rPr>
        <w:t>月，就职于长城财富保险资产管理股份有限公司，任投资经理；</w:t>
      </w:r>
      <w:r>
        <w:rPr>
          <w:rFonts w:ascii="宋体" w:hAnsi="宋体" w:cs="宋体"/>
          <w:kern w:val="0"/>
          <w:szCs w:val="21"/>
        </w:rPr>
        <w:t>2020</w:t>
      </w:r>
      <w:r>
        <w:rPr>
          <w:rFonts w:ascii="宋体" w:hAnsi="宋体" w:cs="宋体"/>
          <w:kern w:val="0"/>
          <w:szCs w:val="21"/>
        </w:rPr>
        <w:t>年</w:t>
      </w:r>
      <w:r>
        <w:rPr>
          <w:rFonts w:ascii="宋体" w:hAnsi="宋体" w:cs="宋体"/>
          <w:kern w:val="0"/>
          <w:szCs w:val="21"/>
        </w:rPr>
        <w:t>5</w:t>
      </w:r>
      <w:r>
        <w:rPr>
          <w:rFonts w:ascii="宋体" w:hAnsi="宋体" w:cs="宋体"/>
          <w:kern w:val="0"/>
          <w:szCs w:val="21"/>
        </w:rPr>
        <w:t>月至</w:t>
      </w:r>
      <w:r>
        <w:rPr>
          <w:rFonts w:ascii="宋体" w:hAnsi="宋体" w:cs="宋体"/>
          <w:kern w:val="0"/>
          <w:szCs w:val="21"/>
        </w:rPr>
        <w:t>2022</w:t>
      </w:r>
      <w:r>
        <w:rPr>
          <w:rFonts w:ascii="宋体" w:hAnsi="宋体" w:cs="宋体"/>
          <w:kern w:val="0"/>
          <w:szCs w:val="21"/>
        </w:rPr>
        <w:t>年</w:t>
      </w:r>
      <w:r>
        <w:rPr>
          <w:rFonts w:ascii="宋体" w:hAnsi="宋体" w:cs="宋体"/>
          <w:kern w:val="0"/>
          <w:szCs w:val="21"/>
        </w:rPr>
        <w:t>7</w:t>
      </w:r>
      <w:r>
        <w:rPr>
          <w:rFonts w:ascii="宋体" w:hAnsi="宋体" w:cs="宋体"/>
          <w:kern w:val="0"/>
          <w:szCs w:val="21"/>
        </w:rPr>
        <w:t>月，就职于中国民生银行理财子公司筹备组，任投资经理；</w:t>
      </w:r>
      <w:r>
        <w:rPr>
          <w:rFonts w:ascii="宋体" w:hAnsi="宋体" w:cs="宋体"/>
          <w:kern w:val="0"/>
          <w:szCs w:val="21"/>
        </w:rPr>
        <w:t>2022</w:t>
      </w:r>
      <w:r>
        <w:rPr>
          <w:rFonts w:ascii="宋体" w:hAnsi="宋体" w:cs="宋体"/>
          <w:kern w:val="0"/>
          <w:szCs w:val="21"/>
        </w:rPr>
        <w:t>年</w:t>
      </w:r>
      <w:r>
        <w:rPr>
          <w:rFonts w:ascii="宋体" w:hAnsi="宋体" w:cs="宋体"/>
          <w:kern w:val="0"/>
          <w:szCs w:val="21"/>
        </w:rPr>
        <w:t>7</w:t>
      </w:r>
      <w:r>
        <w:rPr>
          <w:rFonts w:ascii="宋体" w:hAnsi="宋体" w:cs="宋体"/>
          <w:kern w:val="0"/>
          <w:szCs w:val="21"/>
        </w:rPr>
        <w:t>月至</w:t>
      </w:r>
      <w:r>
        <w:rPr>
          <w:rFonts w:ascii="宋体" w:hAnsi="宋体" w:cs="宋体"/>
          <w:kern w:val="0"/>
          <w:szCs w:val="21"/>
        </w:rPr>
        <w:t>2026</w:t>
      </w:r>
      <w:r>
        <w:rPr>
          <w:rFonts w:ascii="宋体" w:hAnsi="宋体" w:cs="宋体"/>
          <w:kern w:val="0"/>
          <w:szCs w:val="21"/>
        </w:rPr>
        <w:t>年</w:t>
      </w:r>
      <w:r>
        <w:rPr>
          <w:rFonts w:ascii="宋体" w:hAnsi="宋体" w:cs="宋体"/>
          <w:kern w:val="0"/>
          <w:szCs w:val="21"/>
        </w:rPr>
        <w:t>7</w:t>
      </w:r>
      <w:r>
        <w:rPr>
          <w:rFonts w:ascii="宋体" w:hAnsi="宋体" w:cs="宋体"/>
          <w:kern w:val="0"/>
          <w:szCs w:val="21"/>
        </w:rPr>
        <w:t>月，就职于民生理财有限责任公司，任</w:t>
      </w:r>
      <w:r>
        <w:rPr>
          <w:rFonts w:ascii="宋体" w:hAnsi="宋体" w:cs="宋体"/>
          <w:kern w:val="0"/>
          <w:szCs w:val="21"/>
        </w:rPr>
        <w:lastRenderedPageBreak/>
        <w:t>投资经理；</w:t>
      </w:r>
      <w:r>
        <w:rPr>
          <w:rFonts w:ascii="宋体" w:hAnsi="宋体" w:cs="宋体"/>
          <w:kern w:val="0"/>
          <w:szCs w:val="21"/>
        </w:rPr>
        <w:t>2026</w:t>
      </w:r>
      <w:r>
        <w:rPr>
          <w:rFonts w:ascii="宋体" w:hAnsi="宋体" w:cs="宋体"/>
          <w:kern w:val="0"/>
          <w:szCs w:val="21"/>
        </w:rPr>
        <w:t>年</w:t>
      </w:r>
      <w:r>
        <w:rPr>
          <w:rFonts w:ascii="宋体" w:hAnsi="宋体" w:cs="宋体"/>
          <w:kern w:val="0"/>
          <w:szCs w:val="21"/>
        </w:rPr>
        <w:t>8</w:t>
      </w:r>
      <w:r>
        <w:rPr>
          <w:rFonts w:ascii="宋体" w:hAnsi="宋体" w:cs="宋体"/>
          <w:kern w:val="0"/>
          <w:szCs w:val="21"/>
        </w:rPr>
        <w:t>月加入华商基金管理有限公司；</w:t>
      </w:r>
      <w:r>
        <w:rPr>
          <w:rFonts w:ascii="宋体" w:hAnsi="宋体" w:cs="宋体"/>
          <w:kern w:val="0"/>
          <w:szCs w:val="21"/>
        </w:rPr>
        <w:t>2026</w:t>
      </w:r>
      <w:r>
        <w:rPr>
          <w:rFonts w:ascii="宋体" w:hAnsi="宋体" w:cs="宋体"/>
          <w:kern w:val="0"/>
          <w:szCs w:val="21"/>
        </w:rPr>
        <w:t>年</w:t>
      </w:r>
      <w:r>
        <w:rPr>
          <w:rFonts w:ascii="宋体" w:hAnsi="宋体" w:cs="宋体"/>
          <w:kern w:val="0"/>
          <w:szCs w:val="21"/>
        </w:rPr>
        <w:t>10</w:t>
      </w:r>
      <w:r>
        <w:rPr>
          <w:rFonts w:ascii="宋体" w:hAnsi="宋体" w:cs="宋体"/>
          <w:kern w:val="0"/>
          <w:szCs w:val="21"/>
        </w:rPr>
        <w:t>月</w:t>
      </w:r>
      <w:r>
        <w:rPr>
          <w:rFonts w:ascii="宋体" w:hAnsi="宋体" w:cs="宋体"/>
          <w:kern w:val="0"/>
          <w:szCs w:val="21"/>
        </w:rPr>
        <w:t>12</w:t>
      </w:r>
      <w:r>
        <w:rPr>
          <w:rFonts w:ascii="宋体" w:hAnsi="宋体" w:cs="宋体"/>
          <w:kern w:val="0"/>
          <w:szCs w:val="21"/>
        </w:rPr>
        <w:t>日起至今担任华商安远稳进一年持有期混合型基金中基金（</w:t>
      </w:r>
      <w:r>
        <w:rPr>
          <w:rFonts w:ascii="宋体" w:hAnsi="宋体" w:cs="宋体"/>
          <w:kern w:val="0"/>
          <w:szCs w:val="21"/>
        </w:rPr>
        <w:t>FOF</w:t>
      </w:r>
      <w:r>
        <w:rPr>
          <w:rFonts w:ascii="宋体" w:hAnsi="宋体" w:cs="宋体"/>
          <w:kern w:val="0"/>
          <w:szCs w:val="21"/>
        </w:rPr>
        <w:t>）的基金经理。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孙志远：男，中国籍，经济学硕士，具有基金从业资格。</w:t>
      </w:r>
      <w:r>
        <w:rPr>
          <w:rFonts w:ascii="宋体" w:hAnsi="宋体" w:cs="宋体"/>
          <w:kern w:val="0"/>
          <w:szCs w:val="21"/>
        </w:rPr>
        <w:t>2022</w:t>
      </w:r>
      <w:r>
        <w:rPr>
          <w:rFonts w:ascii="宋体" w:hAnsi="宋体" w:cs="宋体"/>
          <w:kern w:val="0"/>
          <w:szCs w:val="21"/>
        </w:rPr>
        <w:t>年</w:t>
      </w:r>
      <w:r>
        <w:rPr>
          <w:rFonts w:ascii="宋体" w:hAnsi="宋体" w:cs="宋体"/>
          <w:kern w:val="0"/>
          <w:szCs w:val="21"/>
        </w:rPr>
        <w:t>11</w:t>
      </w:r>
      <w:r>
        <w:rPr>
          <w:rFonts w:ascii="宋体" w:hAnsi="宋体" w:cs="宋体"/>
          <w:kern w:val="0"/>
          <w:szCs w:val="21"/>
        </w:rPr>
        <w:t>月</w:t>
      </w:r>
      <w:r>
        <w:rPr>
          <w:rFonts w:ascii="宋体" w:hAnsi="宋体" w:cs="宋体"/>
          <w:kern w:val="0"/>
          <w:szCs w:val="21"/>
        </w:rPr>
        <w:t>22</w:t>
      </w:r>
      <w:r>
        <w:rPr>
          <w:rFonts w:ascii="宋体" w:hAnsi="宋体" w:cs="宋体"/>
          <w:kern w:val="0"/>
          <w:szCs w:val="21"/>
        </w:rPr>
        <w:t>日至</w:t>
      </w:r>
      <w:r>
        <w:rPr>
          <w:rFonts w:ascii="宋体" w:hAnsi="宋体" w:cs="宋体"/>
          <w:kern w:val="0"/>
          <w:szCs w:val="21"/>
        </w:rPr>
        <w:t>2026</w:t>
      </w:r>
      <w:r>
        <w:rPr>
          <w:rFonts w:ascii="宋体" w:hAnsi="宋体" w:cs="宋体"/>
          <w:kern w:val="0"/>
          <w:szCs w:val="21"/>
        </w:rPr>
        <w:t>年</w:t>
      </w:r>
      <w:r>
        <w:rPr>
          <w:rFonts w:ascii="宋体" w:hAnsi="宋体" w:cs="宋体"/>
          <w:kern w:val="0"/>
          <w:szCs w:val="21"/>
        </w:rPr>
        <w:t>10</w:t>
      </w:r>
      <w:r>
        <w:rPr>
          <w:rFonts w:ascii="宋体" w:hAnsi="宋体" w:cs="宋体"/>
          <w:kern w:val="0"/>
          <w:szCs w:val="21"/>
        </w:rPr>
        <w:t>月</w:t>
      </w:r>
      <w:r>
        <w:rPr>
          <w:rFonts w:ascii="宋体" w:hAnsi="宋体" w:cs="宋体"/>
          <w:kern w:val="0"/>
          <w:szCs w:val="21"/>
        </w:rPr>
        <w:t>12</w:t>
      </w:r>
      <w:r>
        <w:rPr>
          <w:rFonts w:ascii="宋体" w:hAnsi="宋体" w:cs="宋体"/>
          <w:kern w:val="0"/>
          <w:szCs w:val="21"/>
        </w:rPr>
        <w:t>日担任本基金的基金经理。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4</w:t>
      </w:r>
      <w:r>
        <w:rPr>
          <w:rFonts w:ascii="宋体" w:hAnsi="宋体" w:cs="宋体"/>
          <w:kern w:val="0"/>
          <w:szCs w:val="21"/>
        </w:rPr>
        <w:t>、投资决策委员会成员</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本基金投资采取集体决策制度，投资决策委员会成员的姓名及职务如下：</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）公司投资决策委员会</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王小刚：简历同上。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王华：简历同上。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吴林谦：简历同上。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陈杰：简历同上。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邓默：华商基金管理有限公司量化投资总监、量化投资部总经理、基金经理。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童立：华商基金管理有限公司研究总监、研究发展部总经理、基</w:t>
      </w:r>
      <w:r>
        <w:rPr>
          <w:rFonts w:ascii="宋体" w:hAnsi="宋体" w:cs="宋体"/>
          <w:kern w:val="0"/>
          <w:szCs w:val="21"/>
        </w:rPr>
        <w:t>金经理。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张永志：华商基金管理有限公司多资产投资部总经理、基金经理。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张明昕：华商基金管理有限公司权益投资总监、权益投资部总经理、基金经理。</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孙志远：华商基金管理有限公司资产配置部总经理、基金经理。</w:t>
      </w:r>
    </w:p>
    <w:p w:rsidR="00796C66" w:rsidRDefault="00796C66">
      <w:pPr>
        <w:pStyle w:val="p"/>
        <w:spacing w:line="360" w:lineRule="auto"/>
        <w:ind w:firstLine="480"/>
        <w:rPr>
          <w:rFonts w:ascii="宋体" w:hAnsi="宋体" w:cs="宋体"/>
          <w:kern w:val="0"/>
          <w:szCs w:val="21"/>
        </w:rPr>
      </w:pP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）公司公募业务权益投资决策委员会</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王小刚：简历同上。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吴林谦：简历同上。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张明昕：简历同上。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邓默：简历同上。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童立：简历同上。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王毅文：华商基金管理有限公司权益投资部总经理助理、基金经理。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余懿：华商基金管理有限公司权益投资部总经理助理、基金经理。</w:t>
      </w:r>
    </w:p>
    <w:p w:rsidR="00796C66" w:rsidRDefault="00FB6202">
      <w:pPr>
        <w:pStyle w:val="div"/>
        <w:widowControl/>
        <w:spacing w:line="360" w:lineRule="auto"/>
        <w:ind w:firstLine="420"/>
        <w:jc w:val="left"/>
        <w:rPr>
          <w:rFonts w:ascii="宋体" w:hAnsi="宋体" w:cs="宋体"/>
          <w:kern w:val="0"/>
          <w:szCs w:val="21"/>
        </w:rPr>
      </w:pPr>
      <w:r>
        <w:rPr>
          <w:rFonts w:ascii="宋体" w:hAnsi="宋体" w:cs="宋体"/>
          <w:kern w:val="0"/>
          <w:szCs w:val="21"/>
        </w:rPr>
        <w:t>张杨：华商基金管理有限公司交易总监、证券交易部总经理。</w:t>
      </w:r>
    </w:p>
    <w:p w:rsidR="00796C66" w:rsidRDefault="00796C66">
      <w:pPr>
        <w:pStyle w:val="p"/>
        <w:spacing w:line="360" w:lineRule="auto"/>
        <w:ind w:firstLine="480"/>
        <w:rPr>
          <w:rFonts w:ascii="宋体" w:hAnsi="宋体" w:cs="宋体"/>
          <w:kern w:val="0"/>
          <w:szCs w:val="21"/>
        </w:rPr>
      </w:pP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）公司公募业务固收投资决策委员会</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王小刚：简历同上。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陈杰：简历同上。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张永志：简历同上。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胡中原：华商基金管理有限公司多资产投资总监、基金经理。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厉骞：华商基金管理有限公司多资产投资副总监、多资产投资部副总经理、基金经理。</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张杨：简历同上。</w:t>
      </w:r>
    </w:p>
    <w:p w:rsidR="00796C66" w:rsidRDefault="00796C66">
      <w:pPr>
        <w:pStyle w:val="p"/>
        <w:spacing w:line="360" w:lineRule="auto"/>
        <w:ind w:firstLine="480"/>
        <w:rPr>
          <w:rFonts w:ascii="宋体" w:hAnsi="宋体" w:cs="宋体"/>
          <w:kern w:val="0"/>
          <w:szCs w:val="21"/>
        </w:rPr>
      </w:pP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）公司公募业务</w:t>
      </w:r>
      <w:r>
        <w:rPr>
          <w:rFonts w:ascii="宋体" w:hAnsi="宋体" w:cs="宋体"/>
          <w:kern w:val="0"/>
          <w:szCs w:val="21"/>
        </w:rPr>
        <w:t>FOF</w:t>
      </w:r>
      <w:r>
        <w:rPr>
          <w:rFonts w:ascii="宋体" w:hAnsi="宋体" w:cs="宋体"/>
          <w:kern w:val="0"/>
          <w:szCs w:val="21"/>
        </w:rPr>
        <w:t>投资决策委员会。</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王小刚：简历同上。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王华：简历同上。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孙志远：简历同上。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张杨：简历同上。</w:t>
      </w:r>
    </w:p>
    <w:p w:rsidR="00796C66" w:rsidRDefault="00FB6202">
      <w:pPr>
        <w:pStyle w:val="div"/>
        <w:widowControl/>
        <w:spacing w:line="360" w:lineRule="auto"/>
        <w:ind w:firstLine="480"/>
        <w:rPr>
          <w:rFonts w:ascii="宋体" w:hAnsi="宋体" w:cs="宋体"/>
          <w:kern w:val="0"/>
          <w:szCs w:val="21"/>
        </w:rPr>
      </w:pPr>
      <w:r>
        <w:rPr>
          <w:rFonts w:ascii="宋体" w:hAnsi="宋体" w:cs="宋体"/>
          <w:kern w:val="0"/>
          <w:szCs w:val="21"/>
        </w:rPr>
        <w:t>上述人员之间无近亲属关系。</w:t>
      </w:r>
    </w:p>
    <w:p w:rsidR="00796C66" w:rsidRDefault="00796C66">
      <w:pPr>
        <w:pStyle w:val="p"/>
        <w:spacing w:line="360" w:lineRule="auto"/>
        <w:ind w:firstLine="480"/>
        <w:rPr>
          <w:rFonts w:ascii="宋体" w:hAnsi="宋体" w:cs="宋体"/>
          <w:kern w:val="0"/>
          <w:szCs w:val="21"/>
        </w:rPr>
      </w:pPr>
    </w:p>
    <w:p w:rsidR="00796C66" w:rsidRDefault="00FB6202">
      <w:pPr>
        <w:pStyle w:val="div"/>
        <w:spacing w:line="360" w:lineRule="auto"/>
        <w:ind w:firstLine="426"/>
        <w:rPr>
          <w:rFonts w:eastAsia="Times New Roman"/>
          <w:kern w:val="0"/>
          <w:szCs w:val="21"/>
        </w:rPr>
      </w:pPr>
      <w:r>
        <w:rPr>
          <w:rFonts w:ascii="宋体" w:hAnsi="宋体" w:cs="宋体"/>
          <w:kern w:val="0"/>
          <w:szCs w:val="21"/>
        </w:rPr>
        <w:t>（三）基金管理人职责</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w:t>
      </w:r>
      <w:r>
        <w:rPr>
          <w:rFonts w:ascii="宋体" w:hAnsi="宋体" w:cs="宋体"/>
          <w:kern w:val="0"/>
          <w:szCs w:val="21"/>
        </w:rPr>
        <w:t>、依法募集资金，办理或者委托经中国证监会认定的其他机构代为办理基金份额的发售、申购、赎回和登记事宜；</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w:t>
      </w:r>
      <w:r>
        <w:rPr>
          <w:rFonts w:ascii="宋体" w:hAnsi="宋体" w:cs="宋体"/>
          <w:kern w:val="0"/>
          <w:szCs w:val="21"/>
        </w:rPr>
        <w:t>、办理基金备案手续；</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3</w:t>
      </w:r>
      <w:r>
        <w:rPr>
          <w:rFonts w:ascii="宋体" w:hAnsi="宋体" w:cs="宋体"/>
          <w:kern w:val="0"/>
          <w:szCs w:val="21"/>
        </w:rPr>
        <w:t>、自基金合同生效之日起，以诚实信用、谨慎勤勉的原则管理和运用基金财产；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4</w:t>
      </w:r>
      <w:r>
        <w:rPr>
          <w:rFonts w:ascii="宋体" w:hAnsi="宋体" w:cs="宋体"/>
          <w:kern w:val="0"/>
          <w:szCs w:val="21"/>
        </w:rPr>
        <w:t>、配备足够的具有专业资格的人员进行基金投资分析、决策，以专业化的经营方式管理和运作基金财产；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5</w:t>
      </w:r>
      <w:r>
        <w:rPr>
          <w:rFonts w:ascii="宋体" w:hAnsi="宋体" w:cs="宋体"/>
          <w:kern w:val="0"/>
          <w:szCs w:val="21"/>
        </w:rPr>
        <w:t>、建立健全内部风险控制、监察与稽核、财务管理及人事管理等制度，保证所管理的基金财产和基金管理人的财产相互独立，对所管理的不同基金分别管理，分别记账，进行证券、基金投资；</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6</w:t>
      </w:r>
      <w:r>
        <w:rPr>
          <w:rFonts w:ascii="宋体" w:hAnsi="宋体" w:cs="宋体"/>
          <w:kern w:val="0"/>
          <w:szCs w:val="21"/>
        </w:rPr>
        <w:t>、除依据《基金法》、基金合同及其他有关规定外，不得利用基金财产为自己及任何第三人谋取利益，不得委托第三人运作基金财产；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7</w:t>
      </w:r>
      <w:r>
        <w:rPr>
          <w:rFonts w:ascii="宋体" w:hAnsi="宋体" w:cs="宋体"/>
          <w:kern w:val="0"/>
          <w:szCs w:val="21"/>
        </w:rPr>
        <w:t>、依法接受基金托管人的监督；</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8</w:t>
      </w:r>
      <w:r>
        <w:rPr>
          <w:rFonts w:ascii="宋体" w:hAnsi="宋体" w:cs="宋体"/>
          <w:kern w:val="0"/>
          <w:szCs w:val="21"/>
        </w:rPr>
        <w:t>、采取适当合理的措施使计算基金份额认购、申购、赎回和注销价格的方法符合基金合同等法律文件的规定，按有关规定计算并公告基金净值信息，确定基金份额申购、赎回的价格；</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9</w:t>
      </w:r>
      <w:r>
        <w:rPr>
          <w:rFonts w:ascii="宋体" w:hAnsi="宋体" w:cs="宋体"/>
          <w:kern w:val="0"/>
          <w:szCs w:val="21"/>
        </w:rPr>
        <w:t>、按规定受理申购和赎回申请，及时、足额支付赎回款项；</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10</w:t>
      </w:r>
      <w:r>
        <w:rPr>
          <w:rFonts w:ascii="宋体" w:hAnsi="宋体" w:cs="宋体"/>
          <w:kern w:val="0"/>
          <w:szCs w:val="21"/>
        </w:rPr>
        <w:t>、进行基金会计核算并编制基金财务会计报告；</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11</w:t>
      </w:r>
      <w:r>
        <w:rPr>
          <w:rFonts w:ascii="宋体" w:hAnsi="宋体" w:cs="宋体"/>
          <w:kern w:val="0"/>
          <w:szCs w:val="21"/>
        </w:rPr>
        <w:t>、编制季度、中期和年度基金报告；</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12</w:t>
      </w:r>
      <w:r>
        <w:rPr>
          <w:rFonts w:ascii="宋体" w:hAnsi="宋体" w:cs="宋体"/>
          <w:kern w:val="0"/>
          <w:szCs w:val="21"/>
        </w:rPr>
        <w:t>、严格按照《基金法》、基金合同及其他有关规定，履</w:t>
      </w:r>
      <w:r>
        <w:rPr>
          <w:rFonts w:ascii="宋体" w:hAnsi="宋体" w:cs="宋体"/>
          <w:kern w:val="0"/>
          <w:szCs w:val="21"/>
        </w:rPr>
        <w:t>行信息披露及报告义务；</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13</w:t>
      </w:r>
      <w:r>
        <w:rPr>
          <w:rFonts w:ascii="宋体" w:hAnsi="宋体" w:cs="宋体"/>
          <w:kern w:val="0"/>
          <w:szCs w:val="21"/>
        </w:rPr>
        <w:t>、保守基金商业秘密，不泄露基金投资计划、投资意向等，除《基金法》、基金合同及其他有关规定另有规定外，在基金信息公开披露前应予保密，不向他人泄露，但应监管机构、司法机关等有权机关的要求，或因审计、法律等外部专业顾问提供服务需要提供的情况除外；</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14</w:t>
      </w:r>
      <w:r>
        <w:rPr>
          <w:rFonts w:ascii="宋体" w:hAnsi="宋体" w:cs="宋体"/>
          <w:kern w:val="0"/>
          <w:szCs w:val="21"/>
        </w:rPr>
        <w:t>、按照基金合同的约定确定基金收益分配方案，及时向基金份额持有人分配基金收益；</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lastRenderedPageBreak/>
        <w:t>15</w:t>
      </w:r>
      <w:r>
        <w:rPr>
          <w:rFonts w:ascii="宋体" w:hAnsi="宋体" w:cs="宋体"/>
          <w:kern w:val="0"/>
          <w:szCs w:val="21"/>
        </w:rPr>
        <w:t>、依据《基金法》、基金合同及其他有关规定召集基金份额持有人大会或配合基金托管人、基金份额持有人依法召集基金份额持有人大会；</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16</w:t>
      </w:r>
      <w:r>
        <w:rPr>
          <w:rFonts w:ascii="宋体" w:hAnsi="宋体" w:cs="宋体"/>
          <w:kern w:val="0"/>
          <w:szCs w:val="21"/>
        </w:rPr>
        <w:t>、按规定保存基金财产管理业务</w:t>
      </w:r>
      <w:r>
        <w:rPr>
          <w:rFonts w:ascii="宋体" w:hAnsi="宋体" w:cs="宋体"/>
          <w:kern w:val="0"/>
          <w:szCs w:val="21"/>
        </w:rPr>
        <w:t>活动的会计账册、报表、记录和其他相关资料</w:t>
      </w:r>
      <w:r>
        <w:rPr>
          <w:rFonts w:ascii="宋体" w:hAnsi="宋体" w:cs="宋体"/>
          <w:kern w:val="0"/>
          <w:szCs w:val="21"/>
        </w:rPr>
        <w:t>20</w:t>
      </w:r>
      <w:r>
        <w:rPr>
          <w:rFonts w:ascii="宋体" w:hAnsi="宋体" w:cs="宋体"/>
          <w:kern w:val="0"/>
          <w:szCs w:val="21"/>
        </w:rPr>
        <w:t>年以上，法律法规或监管部门另有规定的除外；</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17</w:t>
      </w:r>
      <w:r>
        <w:rPr>
          <w:rFonts w:ascii="宋体" w:hAnsi="宋体" w:cs="宋体"/>
          <w:kern w:val="0"/>
          <w:szCs w:val="21"/>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18</w:t>
      </w:r>
      <w:r>
        <w:rPr>
          <w:rFonts w:ascii="宋体" w:hAnsi="宋体" w:cs="宋体"/>
          <w:kern w:val="0"/>
          <w:szCs w:val="21"/>
        </w:rPr>
        <w:t>、以基金管理人名义，代表基金份额持有人利益行使诉讼权利或者实施其他法律行为；</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19</w:t>
      </w:r>
      <w:r>
        <w:rPr>
          <w:rFonts w:ascii="宋体" w:hAnsi="宋体" w:cs="宋体"/>
          <w:kern w:val="0"/>
          <w:szCs w:val="21"/>
        </w:rPr>
        <w:t>、组织并参加基金财产清算小组，参与基金财产的保管、清理、估价、变现和分配；</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20</w:t>
      </w:r>
      <w:r>
        <w:rPr>
          <w:rFonts w:ascii="宋体" w:hAnsi="宋体" w:cs="宋体"/>
          <w:kern w:val="0"/>
          <w:szCs w:val="21"/>
        </w:rPr>
        <w:t>、因违反基金合同导致基金财产的损失或损害基金份额持有人合法权益，</w:t>
      </w:r>
      <w:r>
        <w:rPr>
          <w:rFonts w:ascii="宋体" w:hAnsi="宋体" w:cs="宋体"/>
          <w:kern w:val="0"/>
          <w:szCs w:val="21"/>
        </w:rPr>
        <w:t>应当承担赔偿责任，其赔偿责任不因其退任而免除；</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21</w:t>
      </w:r>
      <w:r>
        <w:rPr>
          <w:rFonts w:ascii="宋体" w:hAnsi="宋体" w:cs="宋体"/>
          <w:kern w:val="0"/>
          <w:szCs w:val="21"/>
        </w:rPr>
        <w:t>、监督基金托管人按法律法规和基金合同规定履行自己的义务，基金托管人违反基金合同造成基金财产损失时，基金管理人应为基金份额持有人利益向基金托管人追偿；</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22</w:t>
      </w:r>
      <w:r>
        <w:rPr>
          <w:rFonts w:ascii="宋体" w:hAnsi="宋体" w:cs="宋体"/>
          <w:kern w:val="0"/>
          <w:szCs w:val="21"/>
        </w:rPr>
        <w:t>、建立并保存基金份额持有人名册；</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23</w:t>
      </w:r>
      <w:r>
        <w:rPr>
          <w:rFonts w:ascii="宋体" w:hAnsi="宋体" w:cs="宋体"/>
          <w:kern w:val="0"/>
          <w:szCs w:val="21"/>
        </w:rPr>
        <w:t>、面临解散、依法被撤销或者被依法宣告破产时，及时报告中国证监会并通知基金托管人；</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24</w:t>
      </w:r>
      <w:r>
        <w:rPr>
          <w:rFonts w:ascii="宋体" w:hAnsi="宋体" w:cs="宋体"/>
          <w:kern w:val="0"/>
          <w:szCs w:val="21"/>
        </w:rPr>
        <w:t>、执行生效的基金份额持有人大会决议；</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25</w:t>
      </w:r>
      <w:r>
        <w:rPr>
          <w:rFonts w:ascii="宋体" w:hAnsi="宋体" w:cs="宋体"/>
          <w:kern w:val="0"/>
          <w:szCs w:val="21"/>
        </w:rPr>
        <w:t>、当基金管理人将其义务委托第三方处理时，应当对第三方处理有关基金事务的行为承担责任；</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26</w:t>
      </w:r>
      <w:r>
        <w:rPr>
          <w:rFonts w:ascii="宋体" w:hAnsi="宋体" w:cs="宋体"/>
          <w:kern w:val="0"/>
          <w:szCs w:val="21"/>
        </w:rPr>
        <w:t>、基金管理人在募集期间未能达到基金的备案条件，《基</w:t>
      </w:r>
      <w:r>
        <w:rPr>
          <w:rFonts w:ascii="宋体" w:hAnsi="宋体" w:cs="宋体"/>
          <w:kern w:val="0"/>
          <w:szCs w:val="21"/>
        </w:rPr>
        <w:t>金合同》不能生效，基金管理人承担全部募集费用，将已募集资金并加计银行同期活期存款利息（税后）在基金募集期结束后</w:t>
      </w:r>
      <w:r>
        <w:rPr>
          <w:rFonts w:ascii="宋体" w:hAnsi="宋体" w:cs="宋体"/>
          <w:kern w:val="0"/>
          <w:szCs w:val="21"/>
        </w:rPr>
        <w:t>30</w:t>
      </w:r>
      <w:r>
        <w:rPr>
          <w:rFonts w:ascii="宋体" w:hAnsi="宋体" w:cs="宋体"/>
          <w:kern w:val="0"/>
          <w:szCs w:val="21"/>
        </w:rPr>
        <w:t>日内退还基金认购人；</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27</w:t>
      </w:r>
      <w:r>
        <w:rPr>
          <w:rFonts w:ascii="宋体" w:hAnsi="宋体" w:cs="宋体"/>
          <w:kern w:val="0"/>
          <w:szCs w:val="21"/>
        </w:rPr>
        <w:t>、法律法规及中国证监会规定的和基金合同约定的其他义务。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（四）基金管理人的承诺</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w:t>
      </w:r>
      <w:r>
        <w:rPr>
          <w:rFonts w:ascii="宋体" w:hAnsi="宋体" w:cs="宋体"/>
          <w:kern w:val="0"/>
          <w:szCs w:val="21"/>
        </w:rPr>
        <w:t>、基金管理人承诺不从事违反《证券法》的行为，并承诺建立健全内部控制制度，采取有效措施，防止违反《证券法》行为的发生；</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w:t>
      </w:r>
      <w:r>
        <w:rPr>
          <w:rFonts w:ascii="宋体" w:hAnsi="宋体" w:cs="宋体"/>
          <w:kern w:val="0"/>
          <w:szCs w:val="21"/>
        </w:rPr>
        <w:t>、基金管理人承诺不从事以下违反《基金法》的行为，并建立健全的内部控制制度，采取有效措施，防止下列行为的发生：</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）将基金管理人固有财产或者他人财产混同于基金财产从事证券</w:t>
      </w:r>
      <w:r>
        <w:rPr>
          <w:rFonts w:ascii="宋体" w:hAnsi="宋体" w:cs="宋体"/>
          <w:kern w:val="0"/>
          <w:szCs w:val="21"/>
        </w:rPr>
        <w:t>投资；</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）不公平地对待管理的不同基金财产；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）利用基金财产或职务便利为基金份额持有人以外的人牟取利益；</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）向基金份额持有人违规承诺收益或者承担损失；</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）侵占、挪用基金财产；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lastRenderedPageBreak/>
        <w:t>（</w:t>
      </w:r>
      <w:r>
        <w:rPr>
          <w:rFonts w:ascii="宋体" w:hAnsi="宋体" w:cs="宋体"/>
          <w:kern w:val="0"/>
          <w:szCs w:val="21"/>
        </w:rPr>
        <w:t>6</w:t>
      </w:r>
      <w:r>
        <w:rPr>
          <w:rFonts w:ascii="宋体" w:hAnsi="宋体" w:cs="宋体"/>
          <w:kern w:val="0"/>
          <w:szCs w:val="21"/>
        </w:rPr>
        <w:t>）泄露因职务便利获取的未公开信息、利用该信息从事或者明示、暗示他人从事相关的交易活动；</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）玩忽职守，不按照规定履行职责；</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）法律、行政法规和中国证监会规定禁止的其他行为。</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3</w:t>
      </w:r>
      <w:r>
        <w:rPr>
          <w:rFonts w:ascii="宋体" w:hAnsi="宋体" w:cs="宋体"/>
          <w:kern w:val="0"/>
          <w:szCs w:val="21"/>
        </w:rPr>
        <w:t>、基金管理人承诺加强人员管理，强化职业操守，督促和约束员工遵守国家有关法律、法规、规章及行业规范，诚实信用、勤勉尽责，不从事以下活动：</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）越权或违规经营；</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）违反基金合同或托管协议；</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）故意损害基金份额持有人或其它基金相关机构的合法权益；</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）在向中国证监会报送的资料中弄虚作假；</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）拒绝、干扰、阻挠或严重影响中国证监会依法监管；</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）玩忽职守、滥用职权；</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）泄露在任职期间知悉的有关证券、基金的商业秘密、尚未依法公开的基金投资内容、基金投资计划等信息；</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）除按本公司制度进行基金运作投资外，直接或间接进行其它股票投资；</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）协助、接受委托或以其它任何形式为其它组织或个人进行证券交易；</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）违</w:t>
      </w:r>
      <w:r>
        <w:rPr>
          <w:rFonts w:ascii="宋体" w:hAnsi="宋体" w:cs="宋体"/>
          <w:kern w:val="0"/>
          <w:szCs w:val="21"/>
        </w:rPr>
        <w:t>反证券交易场所业务规则，利用对敲、倒仓等手段操纵市场价格，扰乱市场秩序；</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11</w:t>
      </w:r>
      <w:r>
        <w:rPr>
          <w:rFonts w:ascii="宋体" w:hAnsi="宋体" w:cs="宋体"/>
          <w:kern w:val="0"/>
          <w:szCs w:val="21"/>
        </w:rPr>
        <w:t>）贬损同行，以提高自己；</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12</w:t>
      </w:r>
      <w:r>
        <w:rPr>
          <w:rFonts w:ascii="宋体" w:hAnsi="宋体" w:cs="宋体"/>
          <w:kern w:val="0"/>
          <w:szCs w:val="21"/>
        </w:rPr>
        <w:t>）在公开信息披露和广告中故意含有虚假、误导、欺诈成分；</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13</w:t>
      </w:r>
      <w:r>
        <w:rPr>
          <w:rFonts w:ascii="宋体" w:hAnsi="宋体" w:cs="宋体"/>
          <w:kern w:val="0"/>
          <w:szCs w:val="21"/>
        </w:rPr>
        <w:t>）以不正当手段谋求业务发展；</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14</w:t>
      </w:r>
      <w:r>
        <w:rPr>
          <w:rFonts w:ascii="宋体" w:hAnsi="宋体" w:cs="宋体"/>
          <w:kern w:val="0"/>
          <w:szCs w:val="21"/>
        </w:rPr>
        <w:t>）有悖社会公德，损害证券投资基金人员形象；</w:t>
      </w:r>
      <w:r>
        <w:rPr>
          <w:rFonts w:ascii="宋体" w:hAnsi="宋体" w:cs="宋体"/>
          <w:kern w:val="0"/>
          <w:szCs w:val="21"/>
        </w:rPr>
        <w:t xml:space="preserve"> </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15</w:t>
      </w:r>
      <w:r>
        <w:rPr>
          <w:rFonts w:ascii="宋体" w:hAnsi="宋体" w:cs="宋体"/>
          <w:kern w:val="0"/>
          <w:szCs w:val="21"/>
        </w:rPr>
        <w:t>）其它法律、行政法规禁止的行为。</w:t>
      </w:r>
      <w:r>
        <w:rPr>
          <w:rFonts w:ascii="宋体" w:hAnsi="宋体" w:cs="宋体"/>
          <w:kern w:val="0"/>
          <w:szCs w:val="21"/>
        </w:rPr>
        <w:t xml:space="preserve"> </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4</w:t>
      </w:r>
      <w:r>
        <w:rPr>
          <w:rFonts w:ascii="宋体" w:hAnsi="宋体" w:cs="宋体"/>
          <w:kern w:val="0"/>
          <w:szCs w:val="21"/>
        </w:rPr>
        <w:t>、基金管理人关于禁止行为的承诺</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为维护基金份额持有人的合法权益，本基金禁止从事下列行为：</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）承销证券；</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）违反规定向他人贷款或者提供担保；</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）从事承担无限责任的投资；</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）向其基金管理人、基金托管人出资；</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）从事内幕交易、操纵证券交易价格及其他不正当的证券交易活动；</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）法律、行政法规和中国证监会规定禁止的其他活动。</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的原则，</w:t>
      </w:r>
      <w:r>
        <w:rPr>
          <w:rFonts w:ascii="宋体" w:hAnsi="宋体" w:cs="宋体"/>
          <w:kern w:val="0"/>
          <w:szCs w:val="21"/>
        </w:rPr>
        <w:lastRenderedPageBreak/>
        <w:t>防范利益冲突，建立健全内部审批机制和评估机制，按照市场公平合理价格执行。相关交易必须事先得到基金托管人的同意，并按法律法规</w:t>
      </w:r>
      <w:r>
        <w:rPr>
          <w:rFonts w:ascii="宋体" w:hAnsi="宋体" w:cs="宋体"/>
          <w:kern w:val="0"/>
          <w:szCs w:val="21"/>
        </w:rPr>
        <w:t>予以披露。重大关联交易应提交基金管理人董事会审议，并经过三分之二以上的独立董事通过。基金管理人董事会应至少每半年对关联交易事项进行审查。</w:t>
      </w:r>
    </w:p>
    <w:p w:rsidR="00796C66" w:rsidRDefault="00FB6202">
      <w:pPr>
        <w:pStyle w:val="div"/>
        <w:spacing w:line="360" w:lineRule="auto"/>
        <w:ind w:firstLine="360"/>
        <w:rPr>
          <w:rFonts w:ascii="宋体" w:hAnsi="宋体" w:cs="宋体"/>
          <w:kern w:val="0"/>
          <w:szCs w:val="21"/>
        </w:rPr>
      </w:pPr>
      <w:r>
        <w:rPr>
          <w:rFonts w:ascii="宋体" w:hAnsi="宋体" w:cs="宋体"/>
          <w:kern w:val="0"/>
          <w:szCs w:val="21"/>
        </w:rPr>
        <w:t>本基金投资基金管理人、基金托管人及其关联方管理或托管的基金的情况，不属于前述重大关联交易，但是应当按照法律法规或监管规定的要求履行信息披露义务。</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法律法规或监管部门取消或变更上述限制，如适用于本基金，基金管理人在履行适当程序后，则本基金投资不再受相关限制或按变更后的规定执行。</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（五）基金经理承诺</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w:t>
      </w:r>
      <w:r>
        <w:rPr>
          <w:rFonts w:ascii="宋体" w:hAnsi="宋体" w:cs="宋体"/>
          <w:kern w:val="0"/>
          <w:szCs w:val="21"/>
        </w:rPr>
        <w:t>、依照有关法律法规和基金合同的规定，本着敬业、诚信和谨慎的原则为基金份额持</w:t>
      </w:r>
      <w:r>
        <w:rPr>
          <w:rFonts w:ascii="宋体" w:hAnsi="宋体" w:cs="宋体"/>
          <w:kern w:val="0"/>
          <w:szCs w:val="21"/>
        </w:rPr>
        <w:t>有人谋取最大利益；</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w:t>
      </w:r>
      <w:r>
        <w:rPr>
          <w:rFonts w:ascii="宋体" w:hAnsi="宋体" w:cs="宋体"/>
          <w:kern w:val="0"/>
          <w:szCs w:val="21"/>
        </w:rPr>
        <w:t>、不协助、接受委托或以其他任何形式为其他组织或个人进行证券交易，不利用职务之便为自己、或任何第三者谋取利益；</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3</w:t>
      </w:r>
      <w:r>
        <w:rPr>
          <w:rFonts w:ascii="宋体" w:hAnsi="宋体" w:cs="宋体"/>
          <w:kern w:val="0"/>
          <w:szCs w:val="21"/>
        </w:rPr>
        <w:t>、不违反现行有效的法律、法规、规章、基金合同和中国证监会的有关规定，不泄露在任职期间知悉的有关证券、基金的商业秘密、尚未依法公开的基金投资内容、基金投资计划等信息；</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4</w:t>
      </w:r>
      <w:r>
        <w:rPr>
          <w:rFonts w:ascii="宋体" w:hAnsi="宋体" w:cs="宋体"/>
          <w:kern w:val="0"/>
          <w:szCs w:val="21"/>
        </w:rPr>
        <w:t>、不从事损害基金财产和基金份额持有人利益的证券交易及其他活动。</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（六）基金管理人的内部控制制度</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1</w:t>
      </w:r>
      <w:r>
        <w:rPr>
          <w:rFonts w:ascii="宋体" w:hAnsi="宋体" w:cs="宋体"/>
          <w:kern w:val="0"/>
          <w:szCs w:val="21"/>
        </w:rPr>
        <w:t>、内部控制的目标和原则</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）内部控制目标</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1</w:t>
      </w:r>
      <w:r>
        <w:rPr>
          <w:rFonts w:ascii="宋体" w:hAnsi="宋体" w:cs="宋体"/>
          <w:kern w:val="0"/>
          <w:szCs w:val="21"/>
        </w:rPr>
        <w:t>）保证基金管理人经营运作严格遵守国家有关法律法规和行业监管规则，自</w:t>
      </w:r>
      <w:r>
        <w:rPr>
          <w:rFonts w:ascii="宋体" w:hAnsi="宋体" w:cs="宋体"/>
          <w:kern w:val="0"/>
          <w:szCs w:val="21"/>
        </w:rPr>
        <w:t>觉形成守法经营、规范运作的经营思想和经营理念。</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2</w:t>
      </w:r>
      <w:r>
        <w:rPr>
          <w:rFonts w:ascii="宋体" w:hAnsi="宋体" w:cs="宋体"/>
          <w:kern w:val="0"/>
          <w:szCs w:val="21"/>
        </w:rPr>
        <w:t>）防范和化解经营风险，提高经营管理效益，确保经营业务的稳健运行和基金资产的安全完整，实现基金管理人持续、稳定、健康发展。</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3</w:t>
      </w:r>
      <w:r>
        <w:rPr>
          <w:rFonts w:ascii="宋体" w:hAnsi="宋体" w:cs="宋体"/>
          <w:kern w:val="0"/>
          <w:szCs w:val="21"/>
        </w:rPr>
        <w:t>）确保基金、基金管理人财务和其他信息真实、准确、完整、及时。</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）内部控制原则</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1</w:t>
      </w:r>
      <w:r>
        <w:rPr>
          <w:rFonts w:ascii="宋体" w:hAnsi="宋体" w:cs="宋体"/>
          <w:kern w:val="0"/>
          <w:szCs w:val="21"/>
        </w:rPr>
        <w:t>）健全性原则。内部控制应当包括基金管理人的各项业务、各部门或机构和各级人员，并涵盖决策、执行、监督、反馈等各个环节。</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2</w:t>
      </w:r>
      <w:r>
        <w:rPr>
          <w:rFonts w:ascii="宋体" w:hAnsi="宋体" w:cs="宋体"/>
          <w:kern w:val="0"/>
          <w:szCs w:val="21"/>
        </w:rPr>
        <w:t>）有效性原则。通过科学的内部控制手段和方法，建立合理的内部控制程序，维护内部控制制度的有效执行。</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3</w:t>
      </w:r>
      <w:r>
        <w:rPr>
          <w:rFonts w:ascii="宋体" w:hAnsi="宋体" w:cs="宋体"/>
          <w:kern w:val="0"/>
          <w:szCs w:val="21"/>
        </w:rPr>
        <w:t>）独立性原则。基金管理人各部门、机构和岗位职责应当保持相对独立，基金资产、自有资产等的运作应当分离。</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4</w:t>
      </w:r>
      <w:r>
        <w:rPr>
          <w:rFonts w:ascii="宋体" w:hAnsi="宋体" w:cs="宋体"/>
          <w:kern w:val="0"/>
          <w:szCs w:val="21"/>
        </w:rPr>
        <w:t>）相互制约原则。基金管理人各部门、机构和岗位的设置应当权责分明、相互制衡。</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lastRenderedPageBreak/>
        <w:t>5</w:t>
      </w:r>
      <w:r>
        <w:rPr>
          <w:rFonts w:ascii="宋体" w:hAnsi="宋体" w:cs="宋体"/>
          <w:kern w:val="0"/>
          <w:szCs w:val="21"/>
        </w:rPr>
        <w:t>）成本效益原则。基金管理人运用科学化的经营管理方法降低运作成本，提高经济效益，以合理的控制成本达到最佳的内部控制效果。</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2</w:t>
      </w:r>
      <w:r>
        <w:rPr>
          <w:rFonts w:ascii="宋体" w:hAnsi="宋体" w:cs="宋体"/>
          <w:kern w:val="0"/>
          <w:szCs w:val="21"/>
        </w:rPr>
        <w:t>、内部控制基本要素</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内部控制的基本要素包括控制环境、风险评估、控制活动、信息沟通和内部监控：</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）控制环境是内部控制的基础。基金管理人通过持续完善经营理念和内部控制文化、治理结构、组织结构、员工道德素质等内容，强化环境控制。</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）基金管理人建立科学严密的风险评估体系，对内外部风险进行识别、评估和分析，及时防范和化解风险。</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）基金管理人通过建立授权控制、资产分离、岗位分离、危机处理等业务机制，实现对内部活动的控制。</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）基金管理人维护信息沟通渠道的畅通，建立清晰的报告系统。</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）基金管理人建立有效的内部监控制度，设置督察长和独立的合规部门，对内部控制制度的执行情况进行持续的监督，保证内部控制制</w:t>
      </w:r>
      <w:r>
        <w:rPr>
          <w:rFonts w:ascii="宋体" w:hAnsi="宋体" w:cs="宋体"/>
          <w:kern w:val="0"/>
          <w:szCs w:val="21"/>
        </w:rPr>
        <w:t>度落实。</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3</w:t>
      </w:r>
      <w:r>
        <w:rPr>
          <w:rFonts w:ascii="宋体" w:hAnsi="宋体" w:cs="宋体"/>
          <w:kern w:val="0"/>
          <w:szCs w:val="21"/>
        </w:rPr>
        <w:t>、内部控制制度的制订原则、体系架构和主要内容</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）制订原则</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1</w:t>
      </w:r>
      <w:r>
        <w:rPr>
          <w:rFonts w:ascii="宋体" w:hAnsi="宋体" w:cs="宋体"/>
          <w:kern w:val="0"/>
          <w:szCs w:val="21"/>
        </w:rPr>
        <w:t>）合法合规性原则。内控制度应当符合国家法律、法规、规章和各项规定。</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2</w:t>
      </w:r>
      <w:r>
        <w:rPr>
          <w:rFonts w:ascii="宋体" w:hAnsi="宋体" w:cs="宋体"/>
          <w:kern w:val="0"/>
          <w:szCs w:val="21"/>
        </w:rPr>
        <w:t>）全面性原则。内部控制制度应当涵盖经营管理的各个环节，不得留有制度上的空白或漏洞。</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3</w:t>
      </w:r>
      <w:r>
        <w:rPr>
          <w:rFonts w:ascii="宋体" w:hAnsi="宋体" w:cs="宋体"/>
          <w:kern w:val="0"/>
          <w:szCs w:val="21"/>
        </w:rPr>
        <w:t>）审慎性原则。制定内部控制制度应当以审慎经营、防范和化解风险为出发点。</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4</w:t>
      </w:r>
      <w:r>
        <w:rPr>
          <w:rFonts w:ascii="宋体" w:hAnsi="宋体" w:cs="宋体"/>
          <w:kern w:val="0"/>
          <w:szCs w:val="21"/>
        </w:rPr>
        <w:t>）适时性原则。内部控制制度的制定应当随着有关法律法规的调整和基金管理人经营战略、经营方针、经营理念等内外部环境的变化进行及时的修改或完善。</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）体系架构</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基金管理人建立合理、完备、有效并易于操作的内部控制</w:t>
      </w:r>
      <w:r>
        <w:rPr>
          <w:rFonts w:ascii="宋体" w:hAnsi="宋体" w:cs="宋体"/>
          <w:kern w:val="0"/>
          <w:szCs w:val="21"/>
        </w:rPr>
        <w:t>制度体系。内部控制制度体系按照制度的效力等级分为五个层面：第一个层面是公司章程，是基金管理人经营管理遵循的最高文件；第二个层面是内部控制大纲，是基金管理人制定各项基本管理制度的基础和依据；第三个层面是基本管理制度，是基金管理人日常运作的、有针对性的基础性规范；第四个层面部门管理制度，是对某一类业务的具体职责分工、管理流程、管理方式、风险控制等进行的规范；第五个层面是部门内部管理制度，是基金管理人对仅涉及部门内部业务的某项事务的处理流程、具体操作进行的规范。</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）主要内容</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基金管理人的内部控制制度覆盖了投资</w:t>
      </w:r>
      <w:r>
        <w:rPr>
          <w:rFonts w:ascii="宋体" w:hAnsi="宋体" w:cs="宋体"/>
          <w:kern w:val="0"/>
          <w:szCs w:val="21"/>
        </w:rPr>
        <w:t>管理、基金销售、信息披露、信息技术、会计核算与基金运营、合规管理、反洗钱和反恐怖融资、从业人员管理等业务，确保基金管理人在经营管理以及员工在执业过程中遵守法律法规、监管要求和内部规章制度，防范化解各类风险，保护基金份额持有人的合法权益。</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lastRenderedPageBreak/>
        <w:t>4</w:t>
      </w:r>
      <w:r>
        <w:rPr>
          <w:rFonts w:ascii="宋体" w:hAnsi="宋体" w:cs="宋体"/>
          <w:kern w:val="0"/>
          <w:szCs w:val="21"/>
        </w:rPr>
        <w:t>、基金管理人关于内部控制的声明</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）基金管理人知悉建立、实施和维持内部控制制度是董事会及管理层的责任，董事会承担最终责任；</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）上述关于内部控制的披露真实、准确；</w:t>
      </w:r>
    </w:p>
    <w:p w:rsidR="00796C66" w:rsidRDefault="00FB6202">
      <w:pPr>
        <w:pStyle w:val="div"/>
        <w:widowControl/>
        <w:spacing w:line="360" w:lineRule="auto"/>
        <w:ind w:firstLine="480"/>
        <w:jc w:val="left"/>
        <w:rPr>
          <w:rFonts w:ascii="宋体" w:hAnsi="宋体" w:cs="宋体"/>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）基金管理人承诺将根据市场环境的变化及自身发展不断完善内部控制制度。</w:t>
      </w:r>
      <w:r>
        <w:rPr>
          <w:rFonts w:ascii="宋体" w:hAnsi="宋体" w:cs="宋体"/>
          <w:kern w:val="0"/>
          <w:szCs w:val="21"/>
        </w:rPr>
        <w:br w:type="page"/>
      </w:r>
    </w:p>
    <w:p w:rsidR="00796C66" w:rsidRDefault="00FB6202">
      <w:pPr>
        <w:pStyle w:val="ae"/>
        <w:outlineLvl w:val="0"/>
      </w:pPr>
      <w:bookmarkStart w:id="5" w:name="_Toc256000004"/>
      <w:r>
        <w:rPr>
          <w:noProof/>
        </w:rPr>
        <w:lastRenderedPageBreak/>
        <w:t>四</w:t>
      </w:r>
      <w:r>
        <w:rPr>
          <w:rStyle w:val="Char5"/>
          <w:b/>
          <w:bCs/>
          <w:noProof/>
        </w:rPr>
        <w:t>、</w:t>
      </w:r>
      <w:r>
        <w:rPr>
          <w:noProof/>
        </w:rPr>
        <w:t>基金托管人</w:t>
      </w:r>
      <w:bookmarkEnd w:id="5"/>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（一）基金托管人情况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、基本情况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名称：平安银行股份有限公司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注册住所：广东省深圳市罗湖区深南东路</w:t>
      </w:r>
      <w:r>
        <w:rPr>
          <w:rFonts w:ascii="宋体" w:hAnsi="宋体" w:cs="宋体"/>
          <w:kern w:val="0"/>
          <w:szCs w:val="21"/>
        </w:rPr>
        <w:t>5047</w:t>
      </w:r>
      <w:r>
        <w:rPr>
          <w:rFonts w:ascii="宋体" w:hAnsi="宋体" w:cs="宋体"/>
          <w:kern w:val="0"/>
          <w:szCs w:val="21"/>
        </w:rPr>
        <w:t>号</w:t>
      </w:r>
    </w:p>
    <w:p w:rsidR="00796C66" w:rsidRDefault="00FB6202">
      <w:pPr>
        <w:pStyle w:val="div"/>
        <w:spacing w:line="360" w:lineRule="auto"/>
        <w:ind w:firstLine="480"/>
        <w:rPr>
          <w:rFonts w:eastAsia="Times New Roman"/>
          <w:kern w:val="0"/>
          <w:szCs w:val="21"/>
        </w:rPr>
      </w:pPr>
      <w:r>
        <w:rPr>
          <w:rFonts w:ascii="宋体" w:hAnsi="宋体" w:cs="宋体"/>
          <w:kern w:val="0"/>
          <w:szCs w:val="21"/>
        </w:rPr>
        <w:t>办公地址：广东省深圳市福田区益田路</w:t>
      </w:r>
      <w:r>
        <w:rPr>
          <w:rFonts w:ascii="宋体" w:hAnsi="宋体" w:cs="宋体"/>
          <w:kern w:val="0"/>
          <w:szCs w:val="21"/>
        </w:rPr>
        <w:t>5023</w:t>
      </w:r>
      <w:r>
        <w:rPr>
          <w:rFonts w:ascii="宋体" w:hAnsi="宋体" w:cs="宋体"/>
          <w:kern w:val="0"/>
          <w:szCs w:val="21"/>
        </w:rPr>
        <w:t>号平安金融中心</w:t>
      </w:r>
      <w:r>
        <w:rPr>
          <w:rFonts w:ascii="宋体" w:hAnsi="宋体" w:cs="宋体"/>
          <w:kern w:val="0"/>
          <w:szCs w:val="21"/>
        </w:rPr>
        <w:t>B</w:t>
      </w:r>
      <w:r>
        <w:rPr>
          <w:rFonts w:ascii="宋体" w:hAnsi="宋体" w:cs="宋体"/>
          <w:kern w:val="0"/>
          <w:szCs w:val="21"/>
        </w:rPr>
        <w:t>座</w:t>
      </w:r>
      <w:r>
        <w:rPr>
          <w:rFonts w:ascii="宋体" w:hAnsi="宋体" w:cs="宋体"/>
          <w:kern w:val="0"/>
          <w:szCs w:val="21"/>
        </w:rPr>
        <w:t>26</w:t>
      </w:r>
      <w:r>
        <w:rPr>
          <w:rFonts w:ascii="宋体" w:hAnsi="宋体" w:cs="宋体"/>
          <w:kern w:val="0"/>
          <w:szCs w:val="21"/>
        </w:rPr>
        <w:t>楼</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法定代表人：谢永林</w:t>
      </w:r>
    </w:p>
    <w:p w:rsidR="00796C66" w:rsidRDefault="00FB6202">
      <w:pPr>
        <w:pStyle w:val="div"/>
        <w:spacing w:line="360" w:lineRule="auto"/>
        <w:ind w:firstLine="480"/>
        <w:rPr>
          <w:rFonts w:eastAsia="Times New Roman"/>
          <w:kern w:val="0"/>
          <w:szCs w:val="21"/>
        </w:rPr>
      </w:pPr>
      <w:r>
        <w:rPr>
          <w:rFonts w:ascii="宋体" w:hAnsi="宋体" w:cs="宋体"/>
          <w:kern w:val="0"/>
          <w:szCs w:val="21"/>
        </w:rPr>
        <w:t>成立日期：</w:t>
      </w:r>
      <w:r>
        <w:rPr>
          <w:rFonts w:ascii="宋体" w:hAnsi="宋体" w:cs="宋体"/>
          <w:kern w:val="0"/>
          <w:szCs w:val="21"/>
        </w:rPr>
        <w:t>1987</w:t>
      </w:r>
      <w:r>
        <w:rPr>
          <w:rFonts w:ascii="宋体" w:hAnsi="宋体" w:cs="宋体"/>
          <w:kern w:val="0"/>
          <w:szCs w:val="21"/>
        </w:rPr>
        <w:t>年</w:t>
      </w:r>
      <w:r>
        <w:rPr>
          <w:rFonts w:ascii="宋体" w:hAnsi="宋体" w:cs="宋体"/>
          <w:kern w:val="0"/>
          <w:szCs w:val="21"/>
        </w:rPr>
        <w:t>12</w:t>
      </w:r>
      <w:r>
        <w:rPr>
          <w:rFonts w:ascii="宋体" w:hAnsi="宋体" w:cs="宋体"/>
          <w:kern w:val="0"/>
          <w:szCs w:val="21"/>
        </w:rPr>
        <w:t>月</w:t>
      </w:r>
      <w:r>
        <w:rPr>
          <w:rFonts w:ascii="宋体" w:hAnsi="宋体" w:cs="宋体"/>
          <w:kern w:val="0"/>
          <w:szCs w:val="21"/>
        </w:rPr>
        <w:t>22</w:t>
      </w:r>
      <w:r>
        <w:rPr>
          <w:rFonts w:ascii="宋体" w:hAnsi="宋体" w:cs="宋体"/>
          <w:kern w:val="0"/>
          <w:szCs w:val="21"/>
        </w:rPr>
        <w:t>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组织形式：股份有限公司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注册资本：</w:t>
      </w:r>
      <w:r>
        <w:rPr>
          <w:rFonts w:ascii="宋体" w:hAnsi="宋体" w:cs="宋体"/>
          <w:kern w:val="0"/>
          <w:szCs w:val="21"/>
        </w:rPr>
        <w:t>19,405,918,198</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存续期间：持续经营</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基金托管资格批文及文号：中国证监会证监许可</w:t>
      </w:r>
      <w:r>
        <w:rPr>
          <w:rFonts w:ascii="宋体" w:hAnsi="宋体" w:cs="宋体"/>
          <w:kern w:val="0"/>
          <w:szCs w:val="21"/>
        </w:rPr>
        <w:t xml:space="preserve">[2008]1037 </w:t>
      </w:r>
      <w:r>
        <w:rPr>
          <w:rFonts w:ascii="宋体" w:hAnsi="宋体" w:cs="宋体"/>
          <w:kern w:val="0"/>
          <w:szCs w:val="21"/>
        </w:rPr>
        <w:t>号</w:t>
      </w:r>
    </w:p>
    <w:p w:rsidR="00796C66" w:rsidRDefault="00FB6202">
      <w:pPr>
        <w:pStyle w:val="div"/>
        <w:spacing w:line="360" w:lineRule="auto"/>
        <w:ind w:firstLine="480"/>
        <w:rPr>
          <w:rFonts w:eastAsia="Times New Roman"/>
          <w:kern w:val="0"/>
          <w:szCs w:val="21"/>
        </w:rPr>
      </w:pPr>
      <w:r>
        <w:rPr>
          <w:rFonts w:ascii="宋体" w:hAnsi="宋体" w:cs="宋体"/>
          <w:kern w:val="0"/>
          <w:szCs w:val="21"/>
        </w:rPr>
        <w:t>联系人：王占鏖</w:t>
      </w:r>
    </w:p>
    <w:p w:rsidR="00796C66" w:rsidRDefault="00FB6202">
      <w:pPr>
        <w:pStyle w:val="div"/>
        <w:spacing w:line="360" w:lineRule="auto"/>
        <w:ind w:firstLine="480"/>
        <w:rPr>
          <w:rFonts w:eastAsia="Times New Roman"/>
          <w:kern w:val="0"/>
          <w:szCs w:val="21"/>
        </w:rPr>
      </w:pPr>
      <w:r>
        <w:rPr>
          <w:rFonts w:ascii="宋体" w:hAnsi="宋体" w:cs="宋体"/>
          <w:kern w:val="0"/>
          <w:szCs w:val="21"/>
        </w:rPr>
        <w:t>联系电话：</w:t>
      </w:r>
      <w:r>
        <w:rPr>
          <w:rFonts w:ascii="宋体" w:hAnsi="宋体" w:cs="宋体"/>
          <w:kern w:val="0"/>
          <w:szCs w:val="21"/>
        </w:rPr>
        <w:t>0755-88675276</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、平安银行基本情况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平安银行股份有限公司是一家总部设在深圳的全国性股份制商业银行（深圳证券交易所简称：平安银行，证券代码</w:t>
      </w:r>
      <w:r>
        <w:rPr>
          <w:rFonts w:ascii="宋体" w:hAnsi="宋体" w:cs="宋体"/>
          <w:kern w:val="0"/>
          <w:szCs w:val="21"/>
        </w:rPr>
        <w:t>000001</w:t>
      </w:r>
      <w:r>
        <w:rPr>
          <w:rFonts w:ascii="宋体" w:hAnsi="宋体" w:cs="宋体"/>
          <w:kern w:val="0"/>
          <w:szCs w:val="21"/>
        </w:rPr>
        <w:t>）。其前身是深圳发展银行股份有限公司，于</w:t>
      </w:r>
      <w:r>
        <w:rPr>
          <w:rFonts w:ascii="宋体" w:hAnsi="宋体" w:cs="宋体"/>
          <w:kern w:val="0"/>
          <w:szCs w:val="21"/>
        </w:rPr>
        <w:t>2012</w:t>
      </w:r>
      <w:r>
        <w:rPr>
          <w:rFonts w:ascii="宋体" w:hAnsi="宋体" w:cs="宋体"/>
          <w:kern w:val="0"/>
          <w:szCs w:val="21"/>
        </w:rPr>
        <w:t>年</w:t>
      </w:r>
      <w:r>
        <w:rPr>
          <w:rFonts w:ascii="宋体" w:hAnsi="宋体" w:cs="宋体"/>
          <w:kern w:val="0"/>
          <w:szCs w:val="21"/>
        </w:rPr>
        <w:t>6</w:t>
      </w:r>
      <w:r>
        <w:rPr>
          <w:rFonts w:ascii="宋体" w:hAnsi="宋体" w:cs="宋体"/>
          <w:kern w:val="0"/>
          <w:szCs w:val="21"/>
        </w:rPr>
        <w:t>月吸收合并原平安银行并于同年</w:t>
      </w:r>
      <w:r>
        <w:rPr>
          <w:rFonts w:ascii="宋体" w:hAnsi="宋体" w:cs="宋体"/>
          <w:kern w:val="0"/>
          <w:szCs w:val="21"/>
        </w:rPr>
        <w:t>7</w:t>
      </w:r>
      <w:r>
        <w:rPr>
          <w:rFonts w:ascii="宋体" w:hAnsi="宋体" w:cs="宋体"/>
          <w:kern w:val="0"/>
          <w:szCs w:val="21"/>
        </w:rPr>
        <w:t>月更名为平安银行。中国平安保险（集团）股份有限公司及其子公司合计持有平安银行</w:t>
      </w:r>
      <w:r>
        <w:rPr>
          <w:rFonts w:ascii="宋体" w:hAnsi="宋体" w:cs="宋体"/>
          <w:kern w:val="0"/>
          <w:szCs w:val="21"/>
        </w:rPr>
        <w:t>58%</w:t>
      </w:r>
      <w:r>
        <w:rPr>
          <w:rFonts w:ascii="宋体" w:hAnsi="宋体" w:cs="宋体"/>
          <w:kern w:val="0"/>
          <w:szCs w:val="21"/>
        </w:rPr>
        <w:t>的股份，为平安银行的控股股东。截至</w:t>
      </w:r>
      <w:r>
        <w:rPr>
          <w:rFonts w:ascii="宋体" w:hAnsi="宋体" w:cs="宋体"/>
          <w:kern w:val="0"/>
          <w:szCs w:val="21"/>
        </w:rPr>
        <w:t>2026</w:t>
      </w:r>
      <w:r>
        <w:rPr>
          <w:rFonts w:ascii="宋体" w:hAnsi="宋体" w:cs="宋体"/>
          <w:kern w:val="0"/>
          <w:szCs w:val="21"/>
        </w:rPr>
        <w:t>年</w:t>
      </w:r>
      <w:r>
        <w:rPr>
          <w:rFonts w:ascii="宋体" w:hAnsi="宋体" w:cs="宋体"/>
          <w:kern w:val="0"/>
          <w:szCs w:val="21"/>
        </w:rPr>
        <w:t>6</w:t>
      </w:r>
      <w:r>
        <w:rPr>
          <w:rFonts w:ascii="宋体" w:hAnsi="宋体" w:cs="宋体"/>
          <w:kern w:val="0"/>
          <w:szCs w:val="21"/>
        </w:rPr>
        <w:t>月末，平安银行有</w:t>
      </w:r>
      <w:r>
        <w:rPr>
          <w:rFonts w:ascii="宋体" w:hAnsi="宋体" w:cs="宋体"/>
          <w:kern w:val="0"/>
          <w:szCs w:val="21"/>
        </w:rPr>
        <w:t>110</w:t>
      </w:r>
      <w:r>
        <w:rPr>
          <w:rFonts w:ascii="宋体" w:hAnsi="宋体" w:cs="宋体"/>
          <w:kern w:val="0"/>
          <w:szCs w:val="21"/>
        </w:rPr>
        <w:t>家分行（含香港分行）</w:t>
      </w:r>
      <w:r>
        <w:rPr>
          <w:rFonts w:ascii="宋体" w:hAnsi="宋体" w:cs="宋体"/>
          <w:kern w:val="0"/>
          <w:szCs w:val="21"/>
        </w:rPr>
        <w:t>,</w:t>
      </w:r>
      <w:r>
        <w:rPr>
          <w:rFonts w:ascii="宋体" w:hAnsi="宋体" w:cs="宋体"/>
          <w:kern w:val="0"/>
          <w:szCs w:val="21"/>
        </w:rPr>
        <w:t>共</w:t>
      </w:r>
      <w:r>
        <w:rPr>
          <w:rFonts w:ascii="宋体" w:hAnsi="宋体" w:cs="宋体"/>
          <w:kern w:val="0"/>
          <w:szCs w:val="21"/>
        </w:rPr>
        <w:t>1,099</w:t>
      </w:r>
      <w:r>
        <w:rPr>
          <w:rFonts w:ascii="宋体" w:hAnsi="宋体" w:cs="宋体"/>
          <w:kern w:val="0"/>
          <w:szCs w:val="21"/>
        </w:rPr>
        <w:t>家营业机构。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2026</w:t>
      </w:r>
      <w:r>
        <w:rPr>
          <w:rFonts w:ascii="宋体" w:hAnsi="宋体" w:cs="宋体"/>
          <w:kern w:val="0"/>
          <w:szCs w:val="21"/>
        </w:rPr>
        <w:t>年</w:t>
      </w:r>
      <w:r>
        <w:rPr>
          <w:rFonts w:ascii="宋体" w:hAnsi="宋体" w:cs="宋体"/>
          <w:kern w:val="0"/>
          <w:szCs w:val="21"/>
        </w:rPr>
        <w:t>1-6</w:t>
      </w:r>
      <w:r>
        <w:rPr>
          <w:rFonts w:ascii="宋体" w:hAnsi="宋体" w:cs="宋体"/>
          <w:kern w:val="0"/>
          <w:szCs w:val="21"/>
        </w:rPr>
        <w:t>月，平安银行实现营业收入</w:t>
      </w:r>
      <w:r>
        <w:rPr>
          <w:rFonts w:ascii="宋体" w:hAnsi="宋体" w:cs="宋体"/>
          <w:kern w:val="0"/>
          <w:szCs w:val="21"/>
        </w:rPr>
        <w:t>706.17</w:t>
      </w:r>
      <w:r>
        <w:rPr>
          <w:rFonts w:ascii="宋体" w:hAnsi="宋体" w:cs="宋体"/>
          <w:kern w:val="0"/>
          <w:szCs w:val="21"/>
        </w:rPr>
        <w:t>亿元（同比增长</w:t>
      </w:r>
      <w:r>
        <w:rPr>
          <w:rFonts w:ascii="宋体" w:hAnsi="宋体" w:cs="宋体"/>
          <w:kern w:val="0"/>
          <w:szCs w:val="21"/>
        </w:rPr>
        <w:t>1.8%</w:t>
      </w:r>
      <w:r>
        <w:rPr>
          <w:rFonts w:ascii="宋体" w:hAnsi="宋体" w:cs="宋体"/>
          <w:kern w:val="0"/>
          <w:szCs w:val="21"/>
        </w:rPr>
        <w:t>）、净利润</w:t>
      </w:r>
      <w:r>
        <w:rPr>
          <w:rFonts w:ascii="宋体" w:hAnsi="宋体" w:cs="宋体"/>
          <w:kern w:val="0"/>
          <w:szCs w:val="21"/>
        </w:rPr>
        <w:t>256.96</w:t>
      </w:r>
      <w:r>
        <w:rPr>
          <w:rFonts w:ascii="宋体" w:hAnsi="宋体" w:cs="宋体"/>
          <w:kern w:val="0"/>
          <w:szCs w:val="21"/>
        </w:rPr>
        <w:t>亿元（同比增长</w:t>
      </w:r>
      <w:r>
        <w:rPr>
          <w:rFonts w:ascii="宋体" w:hAnsi="宋体" w:cs="宋体"/>
          <w:kern w:val="0"/>
          <w:szCs w:val="21"/>
        </w:rPr>
        <w:t>3.3%</w:t>
      </w:r>
      <w:r>
        <w:rPr>
          <w:rFonts w:ascii="宋体" w:hAnsi="宋体" w:cs="宋体"/>
          <w:kern w:val="0"/>
          <w:szCs w:val="21"/>
        </w:rPr>
        <w:t>）</w:t>
      </w:r>
      <w:r>
        <w:rPr>
          <w:rFonts w:ascii="宋体" w:hAnsi="宋体" w:cs="宋体"/>
          <w:kern w:val="0"/>
          <w:szCs w:val="21"/>
        </w:rPr>
        <w:t>、资产总额</w:t>
      </w:r>
      <w:r>
        <w:rPr>
          <w:rFonts w:ascii="宋体" w:hAnsi="宋体" w:cs="宋体"/>
          <w:kern w:val="0"/>
          <w:szCs w:val="21"/>
        </w:rPr>
        <w:t>60,287.85</w:t>
      </w:r>
      <w:r>
        <w:rPr>
          <w:rFonts w:ascii="宋体" w:hAnsi="宋体" w:cs="宋体"/>
          <w:kern w:val="0"/>
          <w:szCs w:val="21"/>
        </w:rPr>
        <w:t>亿元（较上年末增长</w:t>
      </w:r>
      <w:r>
        <w:rPr>
          <w:rFonts w:ascii="宋体" w:hAnsi="宋体" w:cs="宋体"/>
          <w:kern w:val="0"/>
          <w:szCs w:val="21"/>
        </w:rPr>
        <w:t>1.7%</w:t>
      </w:r>
      <w:r>
        <w:rPr>
          <w:rFonts w:ascii="宋体" w:hAnsi="宋体" w:cs="宋体"/>
          <w:kern w:val="0"/>
          <w:szCs w:val="21"/>
        </w:rPr>
        <w:t>）、吸收存款本金余额</w:t>
      </w:r>
      <w:r>
        <w:rPr>
          <w:rFonts w:ascii="宋体" w:hAnsi="宋体" w:cs="宋体"/>
          <w:kern w:val="0"/>
          <w:szCs w:val="21"/>
        </w:rPr>
        <w:t>36,605.87</w:t>
      </w:r>
      <w:r>
        <w:rPr>
          <w:rFonts w:ascii="宋体" w:hAnsi="宋体" w:cs="宋体"/>
          <w:kern w:val="0"/>
          <w:szCs w:val="21"/>
        </w:rPr>
        <w:t>亿元（较上年末增长</w:t>
      </w:r>
      <w:r>
        <w:rPr>
          <w:rFonts w:ascii="宋体" w:hAnsi="宋体" w:cs="宋体"/>
          <w:kern w:val="0"/>
          <w:szCs w:val="21"/>
        </w:rPr>
        <w:t xml:space="preserve"> 2.2%</w:t>
      </w:r>
      <w:r>
        <w:rPr>
          <w:rFonts w:ascii="宋体" w:hAnsi="宋体" w:cs="宋体"/>
          <w:kern w:val="0"/>
          <w:szCs w:val="21"/>
        </w:rPr>
        <w:t>）、发放贷款和垫款总额</w:t>
      </w:r>
      <w:r>
        <w:rPr>
          <w:rFonts w:ascii="宋体" w:hAnsi="宋体" w:cs="宋体"/>
          <w:kern w:val="0"/>
          <w:szCs w:val="21"/>
        </w:rPr>
        <w:t>34,522.74</w:t>
      </w:r>
      <w:r>
        <w:rPr>
          <w:rFonts w:ascii="宋体" w:hAnsi="宋体" w:cs="宋体"/>
          <w:kern w:val="0"/>
          <w:szCs w:val="21"/>
        </w:rPr>
        <w:t>亿元（较上年末增长</w:t>
      </w:r>
      <w:r>
        <w:rPr>
          <w:rFonts w:ascii="宋体" w:hAnsi="宋体" w:cs="宋体"/>
          <w:kern w:val="0"/>
          <w:szCs w:val="21"/>
        </w:rPr>
        <w:t>1.8%</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、主要人员情况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平安银行总行设资产托管部，下设证券基金营销室、银保信营销室、估值核算室、资金清算室、企划与综合服务室、数字平台室、督察合规室、基金服务室</w:t>
      </w:r>
      <w:r>
        <w:rPr>
          <w:rFonts w:ascii="宋体" w:hAnsi="宋体" w:cs="宋体"/>
          <w:kern w:val="0"/>
          <w:szCs w:val="21"/>
        </w:rPr>
        <w:t>8</w:t>
      </w:r>
      <w:r>
        <w:rPr>
          <w:rFonts w:ascii="宋体" w:hAnsi="宋体" w:cs="宋体"/>
          <w:kern w:val="0"/>
          <w:szCs w:val="21"/>
        </w:rPr>
        <w:t>个处室，目前部门人员为</w:t>
      </w:r>
      <w:r>
        <w:rPr>
          <w:rFonts w:ascii="宋体" w:hAnsi="宋体" w:cs="宋体"/>
          <w:kern w:val="0"/>
          <w:szCs w:val="21"/>
        </w:rPr>
        <w:t>73</w:t>
      </w:r>
      <w:r>
        <w:rPr>
          <w:rFonts w:ascii="宋体" w:hAnsi="宋体" w:cs="宋体"/>
          <w:kern w:val="0"/>
          <w:szCs w:val="21"/>
        </w:rPr>
        <w:t>人，为客户提供专业化的托管服务。证券投资基金托管业务相关员工配置齐全且从业经验丰富，托管部核心管理层具备银行管理、证券或托管业务十年以上从</w:t>
      </w:r>
      <w:r>
        <w:rPr>
          <w:rFonts w:ascii="宋体" w:hAnsi="宋体" w:cs="宋体"/>
          <w:kern w:val="0"/>
          <w:szCs w:val="21"/>
        </w:rPr>
        <w:t>业经验。</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、基金托管业务经营情况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2008</w:t>
      </w:r>
      <w:r>
        <w:rPr>
          <w:rFonts w:ascii="宋体" w:hAnsi="宋体" w:cs="宋体"/>
          <w:kern w:val="0"/>
          <w:szCs w:val="21"/>
        </w:rPr>
        <w:t>年</w:t>
      </w:r>
      <w:r>
        <w:rPr>
          <w:rFonts w:ascii="宋体" w:hAnsi="宋体" w:cs="宋体"/>
          <w:kern w:val="0"/>
          <w:szCs w:val="21"/>
        </w:rPr>
        <w:t>8</w:t>
      </w:r>
      <w:r>
        <w:rPr>
          <w:rFonts w:ascii="宋体" w:hAnsi="宋体" w:cs="宋体"/>
          <w:kern w:val="0"/>
          <w:szCs w:val="21"/>
        </w:rPr>
        <w:t>月</w:t>
      </w:r>
      <w:r>
        <w:rPr>
          <w:rFonts w:ascii="宋体" w:hAnsi="宋体" w:cs="宋体"/>
          <w:kern w:val="0"/>
          <w:szCs w:val="21"/>
        </w:rPr>
        <w:t>15</w:t>
      </w:r>
      <w:r>
        <w:rPr>
          <w:rFonts w:ascii="宋体" w:hAnsi="宋体" w:cs="宋体"/>
          <w:kern w:val="0"/>
          <w:szCs w:val="21"/>
        </w:rPr>
        <w:t>日获得中国证券监督管理委员会、国家金融监督管理总局核准开办证券投资基金托管业务。截至</w:t>
      </w:r>
      <w:r>
        <w:rPr>
          <w:rFonts w:ascii="宋体" w:hAnsi="宋体" w:cs="宋体"/>
          <w:kern w:val="0"/>
          <w:szCs w:val="21"/>
        </w:rPr>
        <w:t>2026</w:t>
      </w:r>
      <w:r>
        <w:rPr>
          <w:rFonts w:ascii="宋体" w:hAnsi="宋体" w:cs="宋体"/>
          <w:kern w:val="0"/>
          <w:szCs w:val="21"/>
        </w:rPr>
        <w:t>年</w:t>
      </w:r>
      <w:r>
        <w:rPr>
          <w:rFonts w:ascii="宋体" w:hAnsi="宋体" w:cs="宋体"/>
          <w:kern w:val="0"/>
          <w:szCs w:val="21"/>
        </w:rPr>
        <w:t>6</w:t>
      </w:r>
      <w:r>
        <w:rPr>
          <w:rFonts w:ascii="宋体" w:hAnsi="宋体" w:cs="宋体"/>
          <w:kern w:val="0"/>
          <w:szCs w:val="21"/>
        </w:rPr>
        <w:t>月末，平安银行股份有限公司托管证券投资基金净值规模合计</w:t>
      </w:r>
      <w:r>
        <w:rPr>
          <w:rFonts w:ascii="宋体" w:hAnsi="宋体" w:cs="宋体"/>
          <w:kern w:val="0"/>
          <w:szCs w:val="21"/>
        </w:rPr>
        <w:t>10,074</w:t>
      </w:r>
      <w:r>
        <w:rPr>
          <w:rFonts w:ascii="宋体" w:hAnsi="宋体" w:cs="宋体"/>
          <w:kern w:val="0"/>
          <w:szCs w:val="21"/>
        </w:rPr>
        <w:t>亿，平安银行已托管</w:t>
      </w:r>
      <w:r>
        <w:rPr>
          <w:rFonts w:ascii="宋体" w:hAnsi="宋体" w:cs="宋体"/>
          <w:kern w:val="0"/>
          <w:szCs w:val="21"/>
        </w:rPr>
        <w:t>378</w:t>
      </w:r>
      <w:r>
        <w:rPr>
          <w:rFonts w:ascii="宋体" w:hAnsi="宋体" w:cs="宋体"/>
          <w:kern w:val="0"/>
          <w:szCs w:val="21"/>
        </w:rPr>
        <w:t>只证券投资基金，覆盖了股票型、债券型、混合型、货币型、指数型、</w:t>
      </w:r>
      <w:r>
        <w:rPr>
          <w:rFonts w:ascii="宋体" w:hAnsi="宋体" w:cs="宋体"/>
          <w:kern w:val="0"/>
          <w:szCs w:val="21"/>
        </w:rPr>
        <w:t xml:space="preserve">FOF </w:t>
      </w:r>
      <w:r>
        <w:rPr>
          <w:rFonts w:ascii="宋体" w:hAnsi="宋体" w:cs="宋体"/>
          <w:kern w:val="0"/>
          <w:szCs w:val="21"/>
        </w:rPr>
        <w:t>等多种类型的基金，满足了不同客户多元化的投资理财需求。</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（二）基金托管人的内部风险控制制度说明</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、内部控制目标</w:t>
      </w:r>
    </w:p>
    <w:p w:rsidR="00796C66" w:rsidRDefault="00FB6202">
      <w:pPr>
        <w:pStyle w:val="div"/>
        <w:spacing w:line="360" w:lineRule="auto"/>
        <w:ind w:firstLine="480"/>
        <w:rPr>
          <w:rFonts w:eastAsia="Times New Roman"/>
          <w:kern w:val="0"/>
          <w:szCs w:val="21"/>
        </w:rPr>
      </w:pPr>
      <w:r>
        <w:rPr>
          <w:rFonts w:ascii="宋体" w:hAnsi="宋体" w:cs="宋体"/>
          <w:kern w:val="0"/>
          <w:szCs w:val="21"/>
        </w:rPr>
        <w:t>作为基金托管人，平安银行股份有限公司严格遵守国家有关托管业务的法律法规、行业监管要求，自</w:t>
      </w:r>
      <w:r>
        <w:rPr>
          <w:rFonts w:ascii="宋体" w:hAnsi="宋体" w:cs="宋体"/>
          <w:kern w:val="0"/>
          <w:szCs w:val="21"/>
        </w:rPr>
        <w:t>觉形成守法经营、规范运作的经营理念和经营风格；确保基金财产的安全完整，确保有关信息的真实、准确、完整、及时，保护基金份额持有人的合法权益；确保内部控制和风险管理体系的有效性；防范和化解经营风险，确保业务的安全、稳健运行，促进经营目标的实现。</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、内部控制组织结构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平安银行股份有限公司设有总行独立一级部门资产托管部，是全行资产托管业务的管理和运营部门，专门配备了专职内部监察稽核人员负责托管业务的内部控制和风险管理工作，具有独立行使监督稽核工作的职权和能力。</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、内部控制制度及措施</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资产托管部具备系统、完善的制</w:t>
      </w:r>
      <w:r>
        <w:rPr>
          <w:rFonts w:ascii="宋体" w:hAnsi="宋体" w:cs="宋体"/>
          <w:kern w:val="0"/>
          <w:szCs w:val="21"/>
        </w:rPr>
        <w:t>度控制体系，建立了管理制度、控制制度、岗位职责、业务操作流程，可以保证托管业务的规范操作和顺利进行；取得基金从业资格的人员符合监管要求；业务管理严格实行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（三）基金托管人对基金管理人运作基金进行监督的方法和程序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、监督方法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依照《基金法》及其配套法规和基</w:t>
      </w:r>
      <w:r>
        <w:rPr>
          <w:rFonts w:ascii="宋体" w:hAnsi="宋体" w:cs="宋体"/>
          <w:kern w:val="0"/>
          <w:szCs w:val="21"/>
        </w:rPr>
        <w:t>金合同的约定，监督所托管基金的投资运作。利用行业普遍使用的</w:t>
      </w:r>
      <w:r>
        <w:rPr>
          <w:rFonts w:ascii="宋体" w:hAnsi="宋体" w:cs="宋体"/>
          <w:kern w:val="0"/>
          <w:szCs w:val="21"/>
        </w:rPr>
        <w:t>“</w:t>
      </w:r>
      <w:r>
        <w:rPr>
          <w:rFonts w:ascii="宋体" w:hAnsi="宋体" w:cs="宋体"/>
          <w:kern w:val="0"/>
          <w:szCs w:val="21"/>
        </w:rPr>
        <w:t>资产托管业务系统</w:t>
      </w:r>
      <w:r>
        <w:rPr>
          <w:rFonts w:ascii="宋体" w:hAnsi="宋体" w:cs="宋体"/>
          <w:kern w:val="0"/>
          <w:szCs w:val="21"/>
        </w:rPr>
        <w:t>——</w:t>
      </w:r>
      <w:r>
        <w:rPr>
          <w:rFonts w:ascii="宋体" w:hAnsi="宋体" w:cs="宋体"/>
          <w:kern w:val="0"/>
          <w:szCs w:val="21"/>
        </w:rPr>
        <w:t>监控子系统</w:t>
      </w:r>
      <w:r>
        <w:rPr>
          <w:rFonts w:ascii="宋体" w:hAnsi="宋体" w:cs="宋体"/>
          <w:kern w:val="0"/>
          <w:szCs w:val="21"/>
        </w:rPr>
        <w:t>”</w:t>
      </w:r>
      <w:r>
        <w:rPr>
          <w:rFonts w:ascii="宋体" w:hAnsi="宋体" w:cs="宋体"/>
          <w:kern w:val="0"/>
          <w:szCs w:val="21"/>
        </w:rPr>
        <w:t>，严格按照现行法律法规以及基金合同规定，对基金管理人运作基金的投资比例、投资范围、投资组合等情况进行监督，并定期编写基金投资运作监督报告，报送中国证监会。在日常为基金投资运作所提供的基金清算和核算服务环节中，对基金管理人发送的投资指令、基金管理人对各基金费用的提取与开支情况进行检查监督。</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、监督流程</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）每工作日按时通过监控子系统，对各基金投资运作比例控制指标进行例行监控，发现投资比例超标等异常情况，向基金管理人发出书面通知，与基金管理人进行情况核实，督促其纠正，并及时报告中国证监会。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）收到基金管理人的投资指令后，对涉及各基金的投资范围、投资对象及交易对手等内容进行合法合规性监督。</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）根据基金投资运作监督情况，定期编写基金投资运作监督报告，对各基金投资运作的合法合规性、投资独立性和风格显著性等方面进行评价，报送中国证监会。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w:t>
      </w:r>
      <w:r>
        <w:rPr>
          <w:rFonts w:ascii="宋体" w:hAnsi="宋体" w:cs="宋体"/>
          <w:kern w:val="0"/>
          <w:szCs w:val="21"/>
        </w:rPr>
        <w:t>4</w:t>
      </w:r>
      <w:r>
        <w:rPr>
          <w:rFonts w:ascii="宋体" w:hAnsi="宋体" w:cs="宋体"/>
          <w:kern w:val="0"/>
          <w:szCs w:val="21"/>
        </w:rPr>
        <w:t>）通过技术或非技术手段发现基金涉嫌违规交易，电话或书面要求管理人进行解释或举证，并及时报告中国证监会。</w:t>
      </w:r>
      <w:r>
        <w:rPr>
          <w:rFonts w:ascii="宋体" w:hAnsi="宋体" w:cs="宋体"/>
          <w:kern w:val="0"/>
          <w:szCs w:val="21"/>
        </w:rPr>
        <w:br w:type="page"/>
      </w:r>
    </w:p>
    <w:p w:rsidR="00796C66" w:rsidRDefault="00FB6202">
      <w:pPr>
        <w:pStyle w:val="ae"/>
        <w:outlineLvl w:val="0"/>
      </w:pPr>
      <w:bookmarkStart w:id="6" w:name="_Toc256000005"/>
      <w:r>
        <w:rPr>
          <w:noProof/>
        </w:rPr>
        <w:lastRenderedPageBreak/>
        <w:t>五</w:t>
      </w:r>
      <w:r>
        <w:rPr>
          <w:rStyle w:val="Char5"/>
          <w:b/>
          <w:bCs/>
          <w:noProof/>
        </w:rPr>
        <w:t>、</w:t>
      </w:r>
      <w:r>
        <w:rPr>
          <w:noProof/>
        </w:rPr>
        <w:t>相关服务机构</w:t>
      </w:r>
      <w:bookmarkEnd w:id="6"/>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（一）基金份额销售机构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、直销机构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名称：华商基金管理有限公司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住所：北京市西城区平安里西大街</w:t>
      </w:r>
      <w:r>
        <w:rPr>
          <w:rFonts w:ascii="宋体" w:hAnsi="宋体" w:cs="宋体"/>
          <w:kern w:val="0"/>
          <w:szCs w:val="21"/>
        </w:rPr>
        <w:t>28</w:t>
      </w:r>
      <w:r>
        <w:rPr>
          <w:rFonts w:ascii="宋体" w:hAnsi="宋体" w:cs="宋体"/>
          <w:kern w:val="0"/>
          <w:szCs w:val="21"/>
        </w:rPr>
        <w:t>号楼</w:t>
      </w:r>
      <w:r>
        <w:rPr>
          <w:rFonts w:ascii="宋体" w:hAnsi="宋体" w:cs="宋体"/>
          <w:kern w:val="0"/>
          <w:szCs w:val="21"/>
        </w:rPr>
        <w:t>19</w:t>
      </w:r>
      <w:r>
        <w:rPr>
          <w:rFonts w:ascii="宋体" w:hAnsi="宋体" w:cs="宋体"/>
          <w:kern w:val="0"/>
          <w:szCs w:val="21"/>
        </w:rPr>
        <w:t>层</w:t>
      </w:r>
    </w:p>
    <w:p w:rsidR="00796C66" w:rsidRDefault="00FB6202">
      <w:pPr>
        <w:pStyle w:val="div"/>
        <w:spacing w:line="360" w:lineRule="auto"/>
        <w:ind w:firstLine="480"/>
        <w:rPr>
          <w:rFonts w:eastAsia="Times New Roman"/>
          <w:kern w:val="0"/>
          <w:szCs w:val="21"/>
        </w:rPr>
      </w:pPr>
      <w:r>
        <w:rPr>
          <w:rFonts w:ascii="宋体" w:hAnsi="宋体" w:cs="宋体"/>
          <w:kern w:val="0"/>
          <w:szCs w:val="21"/>
        </w:rPr>
        <w:t>办公地址：北京市西城区平安里西大街</w:t>
      </w:r>
      <w:r>
        <w:rPr>
          <w:rFonts w:ascii="宋体" w:hAnsi="宋体" w:cs="宋体"/>
          <w:kern w:val="0"/>
          <w:szCs w:val="21"/>
        </w:rPr>
        <w:t>28</w:t>
      </w:r>
      <w:r>
        <w:rPr>
          <w:rFonts w:ascii="宋体" w:hAnsi="宋体" w:cs="宋体"/>
          <w:kern w:val="0"/>
          <w:szCs w:val="21"/>
        </w:rPr>
        <w:t>号楼</w:t>
      </w:r>
      <w:r>
        <w:rPr>
          <w:rFonts w:ascii="宋体" w:hAnsi="宋体" w:cs="宋体"/>
          <w:kern w:val="0"/>
          <w:szCs w:val="21"/>
        </w:rPr>
        <w:t>19</w:t>
      </w:r>
      <w:r>
        <w:rPr>
          <w:rFonts w:ascii="宋体" w:hAnsi="宋体" w:cs="宋体"/>
          <w:kern w:val="0"/>
          <w:szCs w:val="21"/>
        </w:rPr>
        <w:t>层</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法定代表人：苏金奎</w:t>
      </w:r>
    </w:p>
    <w:p w:rsidR="00796C66" w:rsidRDefault="00FB6202">
      <w:pPr>
        <w:pStyle w:val="div"/>
        <w:spacing w:line="360" w:lineRule="auto"/>
        <w:ind w:firstLine="480"/>
        <w:rPr>
          <w:rFonts w:eastAsia="Times New Roman"/>
          <w:kern w:val="0"/>
          <w:szCs w:val="21"/>
        </w:rPr>
      </w:pPr>
      <w:r>
        <w:rPr>
          <w:rFonts w:ascii="宋体" w:hAnsi="宋体" w:cs="宋体"/>
          <w:kern w:val="0"/>
          <w:szCs w:val="21"/>
        </w:rPr>
        <w:t>直销中心：华商基金管理有限公司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电话：</w:t>
      </w:r>
      <w:r>
        <w:rPr>
          <w:rFonts w:ascii="宋体" w:hAnsi="宋体" w:cs="宋体"/>
          <w:kern w:val="0"/>
          <w:szCs w:val="21"/>
        </w:rPr>
        <w:t>010-58573768</w:t>
      </w:r>
    </w:p>
    <w:p w:rsidR="00796C66" w:rsidRDefault="00FB6202">
      <w:pPr>
        <w:pStyle w:val="div"/>
        <w:spacing w:line="360" w:lineRule="auto"/>
        <w:ind w:firstLine="480"/>
        <w:rPr>
          <w:rFonts w:eastAsia="Times New Roman"/>
          <w:kern w:val="0"/>
          <w:szCs w:val="21"/>
        </w:rPr>
      </w:pPr>
      <w:r>
        <w:rPr>
          <w:rFonts w:ascii="宋体" w:hAnsi="宋体" w:cs="宋体"/>
          <w:kern w:val="0"/>
          <w:szCs w:val="21"/>
        </w:rPr>
        <w:t>传真：</w:t>
      </w:r>
      <w:r>
        <w:rPr>
          <w:rFonts w:ascii="宋体" w:hAnsi="宋体" w:cs="宋体"/>
          <w:kern w:val="0"/>
          <w:szCs w:val="21"/>
        </w:rPr>
        <w:t>010-58573737</w:t>
      </w:r>
    </w:p>
    <w:p w:rsidR="00796C66" w:rsidRDefault="00FB6202">
      <w:pPr>
        <w:pStyle w:val="div"/>
        <w:spacing w:line="360" w:lineRule="auto"/>
        <w:ind w:firstLine="480"/>
        <w:rPr>
          <w:rFonts w:eastAsia="Times New Roman"/>
          <w:kern w:val="0"/>
          <w:szCs w:val="21"/>
        </w:rPr>
      </w:pPr>
      <w:r>
        <w:rPr>
          <w:rFonts w:ascii="宋体" w:hAnsi="宋体" w:cs="宋体"/>
          <w:kern w:val="0"/>
          <w:szCs w:val="21"/>
        </w:rPr>
        <w:t>网址：</w:t>
      </w:r>
      <w:r>
        <w:rPr>
          <w:rFonts w:ascii="宋体" w:hAnsi="宋体" w:cs="宋体"/>
          <w:kern w:val="0"/>
          <w:szCs w:val="21"/>
        </w:rPr>
        <w:t>www.hsfund.com</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、其他代销机构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本基金代销机构信息详见基金管理人网站公示。基金管理人</w:t>
      </w:r>
      <w:r>
        <w:rPr>
          <w:rFonts w:ascii="宋体" w:hAnsi="宋体" w:cs="宋体"/>
          <w:kern w:val="0"/>
          <w:szCs w:val="21"/>
        </w:rPr>
        <w:t>可根据有关法律法规要求，选择其他符合要求的机构销售本基金或变更上述销售机构，并在基金管理人网站公示。</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（二）登记机构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名称：华商基金管理有限公司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注册地址：北京市西城区平安里西大街</w:t>
      </w:r>
      <w:r>
        <w:rPr>
          <w:rFonts w:ascii="宋体" w:hAnsi="宋体" w:cs="宋体"/>
          <w:kern w:val="0"/>
          <w:szCs w:val="21"/>
        </w:rPr>
        <w:t>28</w:t>
      </w:r>
      <w:r>
        <w:rPr>
          <w:rFonts w:ascii="宋体" w:hAnsi="宋体" w:cs="宋体"/>
          <w:kern w:val="0"/>
          <w:szCs w:val="21"/>
        </w:rPr>
        <w:t>号楼</w:t>
      </w:r>
      <w:r>
        <w:rPr>
          <w:rFonts w:ascii="宋体" w:hAnsi="宋体" w:cs="宋体"/>
          <w:kern w:val="0"/>
          <w:szCs w:val="21"/>
        </w:rPr>
        <w:t>19</w:t>
      </w:r>
      <w:r>
        <w:rPr>
          <w:rFonts w:ascii="宋体" w:hAnsi="宋体" w:cs="宋体"/>
          <w:kern w:val="0"/>
          <w:szCs w:val="21"/>
        </w:rPr>
        <w:t>层</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法定代表人：苏金奎</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电话：</w:t>
      </w:r>
      <w:r>
        <w:rPr>
          <w:rFonts w:ascii="宋体" w:hAnsi="宋体" w:cs="宋体"/>
          <w:kern w:val="0"/>
          <w:szCs w:val="21"/>
        </w:rPr>
        <w:t>010-58573571</w:t>
      </w:r>
    </w:p>
    <w:p w:rsidR="00796C66" w:rsidRDefault="00FB6202">
      <w:pPr>
        <w:pStyle w:val="div"/>
        <w:spacing w:line="360" w:lineRule="auto"/>
        <w:ind w:firstLine="480"/>
        <w:rPr>
          <w:rFonts w:eastAsia="Times New Roman"/>
          <w:kern w:val="0"/>
          <w:szCs w:val="21"/>
        </w:rPr>
      </w:pPr>
      <w:r>
        <w:rPr>
          <w:rFonts w:ascii="宋体" w:hAnsi="宋体" w:cs="宋体"/>
          <w:kern w:val="0"/>
          <w:szCs w:val="21"/>
        </w:rPr>
        <w:t>传真：</w:t>
      </w:r>
      <w:r>
        <w:rPr>
          <w:rFonts w:ascii="宋体" w:hAnsi="宋体" w:cs="宋体"/>
          <w:kern w:val="0"/>
          <w:szCs w:val="21"/>
        </w:rPr>
        <w:t>010-58573580</w:t>
      </w:r>
    </w:p>
    <w:p w:rsidR="00796C66" w:rsidRDefault="00FB6202">
      <w:pPr>
        <w:pStyle w:val="div"/>
        <w:spacing w:line="360" w:lineRule="auto"/>
        <w:ind w:firstLine="480"/>
        <w:rPr>
          <w:rFonts w:eastAsia="Times New Roman"/>
          <w:kern w:val="0"/>
          <w:szCs w:val="21"/>
        </w:rPr>
      </w:pPr>
      <w:r>
        <w:rPr>
          <w:rFonts w:ascii="宋体" w:hAnsi="宋体" w:cs="宋体"/>
          <w:kern w:val="0"/>
          <w:szCs w:val="21"/>
        </w:rPr>
        <w:t>联系人：董士伟</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网址：</w:t>
      </w:r>
      <w:r>
        <w:rPr>
          <w:rFonts w:ascii="宋体" w:hAnsi="宋体" w:cs="宋体"/>
          <w:kern w:val="0"/>
          <w:szCs w:val="21"/>
        </w:rPr>
        <w:t>www.hsfund.com</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（三）律师事务所和经办律师</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名称：上海源泰律师事务所</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注册地：上海市浦东南路</w:t>
      </w:r>
      <w:r>
        <w:rPr>
          <w:rFonts w:ascii="宋体" w:hAnsi="宋体" w:cs="宋体"/>
          <w:kern w:val="0"/>
          <w:szCs w:val="21"/>
        </w:rPr>
        <w:t>256</w:t>
      </w:r>
      <w:r>
        <w:rPr>
          <w:rFonts w:ascii="宋体" w:hAnsi="宋体" w:cs="宋体"/>
          <w:kern w:val="0"/>
          <w:szCs w:val="21"/>
        </w:rPr>
        <w:t>号华夏银行大厦</w:t>
      </w:r>
      <w:r>
        <w:rPr>
          <w:rFonts w:ascii="宋体" w:hAnsi="宋体" w:cs="宋体"/>
          <w:kern w:val="0"/>
          <w:szCs w:val="21"/>
        </w:rPr>
        <w:t>14</w:t>
      </w:r>
      <w:r>
        <w:rPr>
          <w:rFonts w:ascii="宋体" w:hAnsi="宋体" w:cs="宋体"/>
          <w:kern w:val="0"/>
          <w:szCs w:val="21"/>
        </w:rPr>
        <w:t>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办公地：上海市浦东南路</w:t>
      </w:r>
      <w:r>
        <w:rPr>
          <w:rFonts w:ascii="宋体" w:hAnsi="宋体" w:cs="宋体"/>
          <w:kern w:val="0"/>
          <w:szCs w:val="21"/>
        </w:rPr>
        <w:t>256</w:t>
      </w:r>
      <w:r>
        <w:rPr>
          <w:rFonts w:ascii="宋体" w:hAnsi="宋体" w:cs="宋体"/>
          <w:kern w:val="0"/>
          <w:szCs w:val="21"/>
        </w:rPr>
        <w:t>号华夏银行大厦</w:t>
      </w:r>
      <w:r>
        <w:rPr>
          <w:rFonts w:ascii="宋体" w:hAnsi="宋体" w:cs="宋体"/>
          <w:kern w:val="0"/>
          <w:szCs w:val="21"/>
        </w:rPr>
        <w:t>14</w:t>
      </w:r>
      <w:r>
        <w:rPr>
          <w:rFonts w:ascii="宋体" w:hAnsi="宋体" w:cs="宋体"/>
          <w:kern w:val="0"/>
          <w:szCs w:val="21"/>
        </w:rPr>
        <w:t>楼</w:t>
      </w:r>
    </w:p>
    <w:p w:rsidR="00796C66" w:rsidRDefault="00FB6202">
      <w:pPr>
        <w:pStyle w:val="div"/>
        <w:spacing w:line="360" w:lineRule="auto"/>
        <w:ind w:firstLine="480"/>
        <w:rPr>
          <w:rFonts w:eastAsia="Times New Roman"/>
          <w:kern w:val="0"/>
          <w:szCs w:val="21"/>
        </w:rPr>
      </w:pPr>
      <w:r>
        <w:rPr>
          <w:rFonts w:ascii="宋体" w:hAnsi="宋体" w:cs="宋体"/>
          <w:kern w:val="0"/>
          <w:szCs w:val="21"/>
        </w:rPr>
        <w:t>负责人：廖海</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电话：</w:t>
      </w:r>
      <w:r>
        <w:rPr>
          <w:rFonts w:ascii="宋体" w:hAnsi="宋体" w:cs="宋体"/>
          <w:kern w:val="0"/>
          <w:szCs w:val="21"/>
        </w:rPr>
        <w:t>0</w:t>
      </w:r>
      <w:r>
        <w:rPr>
          <w:rFonts w:ascii="宋体" w:hAnsi="宋体" w:cs="宋体"/>
          <w:kern w:val="0"/>
          <w:szCs w:val="21"/>
        </w:rPr>
        <w:t>21-5115 0298</w:t>
      </w:r>
    </w:p>
    <w:p w:rsidR="00796C66" w:rsidRDefault="00FB6202">
      <w:pPr>
        <w:pStyle w:val="div"/>
        <w:spacing w:line="360" w:lineRule="auto"/>
        <w:ind w:firstLine="480"/>
        <w:rPr>
          <w:rFonts w:eastAsia="Times New Roman"/>
          <w:kern w:val="0"/>
          <w:szCs w:val="21"/>
        </w:rPr>
      </w:pPr>
      <w:r>
        <w:rPr>
          <w:rFonts w:ascii="宋体" w:hAnsi="宋体" w:cs="宋体"/>
          <w:kern w:val="0"/>
          <w:szCs w:val="21"/>
        </w:rPr>
        <w:t>传真：</w:t>
      </w:r>
      <w:r>
        <w:rPr>
          <w:rFonts w:ascii="宋体" w:hAnsi="宋体" w:cs="宋体"/>
          <w:kern w:val="0"/>
          <w:szCs w:val="21"/>
        </w:rPr>
        <w:t>021-5115 0398</w:t>
      </w:r>
    </w:p>
    <w:p w:rsidR="00796C66" w:rsidRDefault="00FB6202">
      <w:pPr>
        <w:pStyle w:val="div"/>
        <w:spacing w:line="360" w:lineRule="auto"/>
        <w:ind w:firstLine="480"/>
        <w:rPr>
          <w:rFonts w:eastAsia="Times New Roman"/>
          <w:kern w:val="0"/>
          <w:szCs w:val="21"/>
        </w:rPr>
      </w:pPr>
      <w:r>
        <w:rPr>
          <w:rFonts w:ascii="宋体" w:hAnsi="宋体" w:cs="宋体"/>
          <w:kern w:val="0"/>
          <w:szCs w:val="21"/>
        </w:rPr>
        <w:t>经办律师：刘佳、姜亚萍</w:t>
      </w:r>
    </w:p>
    <w:p w:rsidR="00796C66" w:rsidRDefault="00FB6202">
      <w:pPr>
        <w:pStyle w:val="div"/>
        <w:spacing w:line="360" w:lineRule="auto"/>
        <w:ind w:firstLine="480"/>
        <w:rPr>
          <w:rFonts w:eastAsia="Times New Roman"/>
          <w:kern w:val="0"/>
          <w:szCs w:val="21"/>
        </w:rPr>
      </w:pPr>
      <w:r>
        <w:rPr>
          <w:rFonts w:ascii="宋体" w:hAnsi="宋体" w:cs="宋体"/>
          <w:kern w:val="0"/>
          <w:szCs w:val="21"/>
        </w:rPr>
        <w:t>联系人：刘佳</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（四）会计师事务所和经办注册会计师</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名称：安永华明会计师事务所（特殊普通合伙）</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住所：北京市东长安街</w:t>
      </w:r>
      <w:r>
        <w:rPr>
          <w:rFonts w:ascii="宋体" w:hAnsi="宋体" w:cs="宋体"/>
          <w:kern w:val="0"/>
          <w:szCs w:val="21"/>
        </w:rPr>
        <w:t>1</w:t>
      </w:r>
      <w:r>
        <w:rPr>
          <w:rFonts w:ascii="宋体" w:hAnsi="宋体" w:cs="宋体"/>
          <w:kern w:val="0"/>
          <w:szCs w:val="21"/>
        </w:rPr>
        <w:t>号东方广场安永大楼</w:t>
      </w:r>
      <w:r>
        <w:rPr>
          <w:rFonts w:ascii="宋体" w:hAnsi="宋体" w:cs="宋体"/>
          <w:kern w:val="0"/>
          <w:szCs w:val="21"/>
        </w:rPr>
        <w:t>17</w:t>
      </w:r>
      <w:r>
        <w:rPr>
          <w:rFonts w:ascii="宋体" w:hAnsi="宋体" w:cs="宋体"/>
          <w:kern w:val="0"/>
          <w:szCs w:val="21"/>
        </w:rPr>
        <w:t>层</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办公地址：北京市东长安街</w:t>
      </w:r>
      <w:r>
        <w:rPr>
          <w:rFonts w:ascii="宋体" w:hAnsi="宋体" w:cs="宋体"/>
          <w:kern w:val="0"/>
          <w:szCs w:val="21"/>
        </w:rPr>
        <w:t>1</w:t>
      </w:r>
      <w:r>
        <w:rPr>
          <w:rFonts w:ascii="宋体" w:hAnsi="宋体" w:cs="宋体"/>
          <w:kern w:val="0"/>
          <w:szCs w:val="21"/>
        </w:rPr>
        <w:t>号东方广场安永大楼</w:t>
      </w:r>
      <w:r>
        <w:rPr>
          <w:rFonts w:ascii="宋体" w:hAnsi="宋体" w:cs="宋体"/>
          <w:kern w:val="0"/>
          <w:szCs w:val="21"/>
        </w:rPr>
        <w:t>17</w:t>
      </w:r>
      <w:r>
        <w:rPr>
          <w:rFonts w:ascii="宋体" w:hAnsi="宋体" w:cs="宋体"/>
          <w:kern w:val="0"/>
          <w:szCs w:val="21"/>
        </w:rPr>
        <w:t>层</w:t>
      </w:r>
    </w:p>
    <w:p w:rsidR="00796C66" w:rsidRDefault="00FB6202">
      <w:pPr>
        <w:pStyle w:val="div"/>
        <w:spacing w:line="360" w:lineRule="auto"/>
        <w:ind w:firstLine="480"/>
        <w:rPr>
          <w:rFonts w:eastAsia="Times New Roman"/>
          <w:kern w:val="0"/>
          <w:szCs w:val="21"/>
        </w:rPr>
      </w:pPr>
      <w:r>
        <w:rPr>
          <w:rFonts w:ascii="宋体" w:hAnsi="宋体" w:cs="宋体"/>
          <w:kern w:val="0"/>
          <w:szCs w:val="21"/>
        </w:rPr>
        <w:t>执行事务合伙人：毛鞍宁</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电话：（</w:t>
      </w:r>
      <w:r>
        <w:rPr>
          <w:rFonts w:ascii="宋体" w:hAnsi="宋体" w:cs="宋体"/>
          <w:kern w:val="0"/>
          <w:szCs w:val="21"/>
        </w:rPr>
        <w:t>010</w:t>
      </w:r>
      <w:r>
        <w:rPr>
          <w:rFonts w:ascii="宋体" w:hAnsi="宋体" w:cs="宋体"/>
          <w:kern w:val="0"/>
          <w:szCs w:val="21"/>
        </w:rPr>
        <w:t>）</w:t>
      </w:r>
      <w:r>
        <w:rPr>
          <w:rFonts w:ascii="宋体" w:hAnsi="宋体" w:cs="宋体"/>
          <w:kern w:val="0"/>
          <w:szCs w:val="21"/>
        </w:rPr>
        <w:t xml:space="preserve">58153000 </w:t>
      </w:r>
    </w:p>
    <w:p w:rsidR="00796C66" w:rsidRDefault="00FB6202">
      <w:pPr>
        <w:pStyle w:val="div"/>
        <w:spacing w:line="360" w:lineRule="auto"/>
        <w:ind w:firstLine="480"/>
        <w:rPr>
          <w:rFonts w:eastAsia="Times New Roman"/>
          <w:kern w:val="0"/>
          <w:szCs w:val="21"/>
        </w:rPr>
      </w:pPr>
      <w:r>
        <w:rPr>
          <w:rFonts w:ascii="宋体" w:hAnsi="宋体" w:cs="宋体"/>
          <w:kern w:val="0"/>
          <w:szCs w:val="21"/>
        </w:rPr>
        <w:t>传真：（</w:t>
      </w:r>
      <w:r>
        <w:rPr>
          <w:rFonts w:ascii="宋体" w:hAnsi="宋体" w:cs="宋体"/>
          <w:kern w:val="0"/>
          <w:szCs w:val="21"/>
        </w:rPr>
        <w:t>010</w:t>
      </w:r>
      <w:r>
        <w:rPr>
          <w:rFonts w:ascii="宋体" w:hAnsi="宋体" w:cs="宋体"/>
          <w:kern w:val="0"/>
          <w:szCs w:val="21"/>
        </w:rPr>
        <w:t>）</w:t>
      </w:r>
      <w:r>
        <w:rPr>
          <w:rFonts w:ascii="宋体" w:hAnsi="宋体" w:cs="宋体"/>
          <w:kern w:val="0"/>
          <w:szCs w:val="21"/>
        </w:rPr>
        <w:t xml:space="preserve">85188298 </w:t>
      </w:r>
    </w:p>
    <w:p w:rsidR="00796C66" w:rsidRDefault="00FB6202">
      <w:pPr>
        <w:pStyle w:val="div"/>
        <w:spacing w:line="360" w:lineRule="auto"/>
        <w:ind w:firstLine="480"/>
        <w:rPr>
          <w:rFonts w:eastAsia="Times New Roman"/>
          <w:kern w:val="0"/>
          <w:szCs w:val="21"/>
        </w:rPr>
      </w:pPr>
      <w:r>
        <w:rPr>
          <w:rFonts w:ascii="宋体" w:hAnsi="宋体" w:cs="宋体"/>
          <w:kern w:val="0"/>
          <w:szCs w:val="21"/>
        </w:rPr>
        <w:t>经办注册会计师：王珊珊、王蕊</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联系人：王珊珊</w:t>
      </w:r>
      <w:r>
        <w:rPr>
          <w:rFonts w:ascii="宋体" w:hAnsi="宋体" w:cs="宋体"/>
          <w:kern w:val="0"/>
          <w:szCs w:val="21"/>
        </w:rPr>
        <w:br w:type="page"/>
      </w:r>
    </w:p>
    <w:p w:rsidR="00796C66" w:rsidRDefault="00FB6202">
      <w:pPr>
        <w:pStyle w:val="ae"/>
        <w:outlineLvl w:val="0"/>
      </w:pPr>
      <w:bookmarkStart w:id="7" w:name="_Toc256000006"/>
      <w:r>
        <w:rPr>
          <w:noProof/>
        </w:rPr>
        <w:lastRenderedPageBreak/>
        <w:t>六</w:t>
      </w:r>
      <w:r>
        <w:rPr>
          <w:rStyle w:val="Char5"/>
          <w:b/>
          <w:bCs/>
          <w:noProof/>
        </w:rPr>
        <w:t>、</w:t>
      </w:r>
      <w:r>
        <w:rPr>
          <w:noProof/>
        </w:rPr>
        <w:t>基金的募集</w:t>
      </w:r>
      <w:bookmarkEnd w:id="7"/>
    </w:p>
    <w:p w:rsidR="00796C66" w:rsidRDefault="00FB6202">
      <w:pPr>
        <w:pStyle w:val="div"/>
        <w:spacing w:line="360" w:lineRule="auto"/>
        <w:ind w:firstLine="420"/>
        <w:rPr>
          <w:rFonts w:eastAsia="Times New Roman"/>
          <w:kern w:val="0"/>
          <w:szCs w:val="21"/>
        </w:rPr>
      </w:pPr>
      <w:r>
        <w:rPr>
          <w:rFonts w:ascii="宋体" w:hAnsi="宋体" w:cs="宋体"/>
          <w:kern w:val="0"/>
          <w:szCs w:val="21"/>
        </w:rPr>
        <w:t>华商安远稳进一年持有期混合型基金中基金（</w:t>
      </w:r>
      <w:r>
        <w:rPr>
          <w:rFonts w:ascii="宋体" w:hAnsi="宋体" w:cs="宋体"/>
          <w:kern w:val="0"/>
          <w:szCs w:val="21"/>
        </w:rPr>
        <w:t>FOF</w:t>
      </w:r>
      <w:r>
        <w:rPr>
          <w:rFonts w:ascii="宋体" w:hAnsi="宋体" w:cs="宋体"/>
          <w:kern w:val="0"/>
          <w:szCs w:val="21"/>
        </w:rPr>
        <w:t>）由基金管理人依照《基金法》、《运作办法》、《销售办法》、《信息披露办法》、基金合同的相关规定募集，于</w:t>
      </w:r>
      <w:r>
        <w:rPr>
          <w:rFonts w:ascii="宋体" w:hAnsi="宋体" w:cs="宋体"/>
          <w:kern w:val="0"/>
          <w:szCs w:val="21"/>
        </w:rPr>
        <w:t>2022</w:t>
      </w:r>
      <w:r>
        <w:rPr>
          <w:rFonts w:ascii="宋体" w:hAnsi="宋体" w:cs="宋体"/>
          <w:kern w:val="0"/>
          <w:szCs w:val="21"/>
        </w:rPr>
        <w:t>年</w:t>
      </w:r>
      <w:r>
        <w:rPr>
          <w:rFonts w:ascii="宋体" w:hAnsi="宋体" w:cs="宋体"/>
          <w:kern w:val="0"/>
          <w:szCs w:val="21"/>
        </w:rPr>
        <w:t>6</w:t>
      </w:r>
      <w:r>
        <w:rPr>
          <w:rFonts w:ascii="宋体" w:hAnsi="宋体" w:cs="宋体"/>
          <w:kern w:val="0"/>
          <w:szCs w:val="21"/>
        </w:rPr>
        <w:t>月</w:t>
      </w:r>
      <w:r>
        <w:rPr>
          <w:rFonts w:ascii="宋体" w:hAnsi="宋体" w:cs="宋体"/>
          <w:kern w:val="0"/>
          <w:szCs w:val="21"/>
        </w:rPr>
        <w:t>27</w:t>
      </w:r>
      <w:r>
        <w:rPr>
          <w:rFonts w:ascii="宋体" w:hAnsi="宋体" w:cs="宋体"/>
          <w:kern w:val="0"/>
          <w:szCs w:val="21"/>
        </w:rPr>
        <w:t>日经中国证券监督管理委员会《关于准予华商安远稳进一年持有期混合型基金中基金（</w:t>
      </w:r>
      <w:r>
        <w:rPr>
          <w:rFonts w:ascii="宋体" w:hAnsi="宋体" w:cs="宋体"/>
          <w:kern w:val="0"/>
          <w:szCs w:val="21"/>
        </w:rPr>
        <w:t>FOF</w:t>
      </w:r>
      <w:r>
        <w:rPr>
          <w:rFonts w:ascii="宋体" w:hAnsi="宋体" w:cs="宋体"/>
          <w:kern w:val="0"/>
          <w:szCs w:val="21"/>
        </w:rPr>
        <w:t>）注册的批复》（证监许可</w:t>
      </w:r>
      <w:r>
        <w:rPr>
          <w:rFonts w:ascii="宋体" w:hAnsi="宋体" w:cs="宋体"/>
          <w:kern w:val="0"/>
          <w:szCs w:val="21"/>
        </w:rPr>
        <w:t>[2022]1370</w:t>
      </w:r>
      <w:r>
        <w:rPr>
          <w:rFonts w:ascii="宋体" w:hAnsi="宋体" w:cs="宋体"/>
          <w:kern w:val="0"/>
          <w:szCs w:val="21"/>
        </w:rPr>
        <w:t>号）注册。自</w:t>
      </w:r>
      <w:r>
        <w:rPr>
          <w:rFonts w:ascii="宋体" w:hAnsi="宋体" w:cs="宋体"/>
          <w:kern w:val="0"/>
          <w:szCs w:val="21"/>
        </w:rPr>
        <w:t>2022</w:t>
      </w:r>
      <w:r>
        <w:rPr>
          <w:rFonts w:ascii="宋体" w:hAnsi="宋体" w:cs="宋体"/>
          <w:kern w:val="0"/>
          <w:szCs w:val="21"/>
        </w:rPr>
        <w:t>年</w:t>
      </w:r>
      <w:r>
        <w:rPr>
          <w:rFonts w:ascii="宋体" w:hAnsi="宋体" w:cs="宋体"/>
          <w:kern w:val="0"/>
          <w:szCs w:val="21"/>
        </w:rPr>
        <w:t>10</w:t>
      </w:r>
      <w:r>
        <w:rPr>
          <w:rFonts w:ascii="宋体" w:hAnsi="宋体" w:cs="宋体"/>
          <w:kern w:val="0"/>
          <w:szCs w:val="21"/>
        </w:rPr>
        <w:t>月</w:t>
      </w:r>
      <w:r>
        <w:rPr>
          <w:rFonts w:ascii="宋体" w:hAnsi="宋体" w:cs="宋体"/>
          <w:kern w:val="0"/>
          <w:szCs w:val="21"/>
        </w:rPr>
        <w:t>24</w:t>
      </w:r>
      <w:r>
        <w:rPr>
          <w:rFonts w:ascii="宋体" w:hAnsi="宋体" w:cs="宋体"/>
          <w:kern w:val="0"/>
          <w:szCs w:val="21"/>
        </w:rPr>
        <w:t>日起向全社会公开募集，截止至</w:t>
      </w:r>
      <w:r>
        <w:rPr>
          <w:rFonts w:ascii="宋体" w:hAnsi="宋体" w:cs="宋体"/>
          <w:kern w:val="0"/>
          <w:szCs w:val="21"/>
        </w:rPr>
        <w:t>2022</w:t>
      </w:r>
      <w:r>
        <w:rPr>
          <w:rFonts w:ascii="宋体" w:hAnsi="宋体" w:cs="宋体"/>
          <w:kern w:val="0"/>
          <w:szCs w:val="21"/>
        </w:rPr>
        <w:t>年</w:t>
      </w:r>
      <w:r>
        <w:rPr>
          <w:rFonts w:ascii="宋体" w:hAnsi="宋体" w:cs="宋体"/>
          <w:kern w:val="0"/>
          <w:szCs w:val="21"/>
        </w:rPr>
        <w:t>11</w:t>
      </w:r>
      <w:r>
        <w:rPr>
          <w:rFonts w:ascii="宋体" w:hAnsi="宋体" w:cs="宋体"/>
          <w:kern w:val="0"/>
          <w:szCs w:val="21"/>
        </w:rPr>
        <w:t>月</w:t>
      </w:r>
      <w:r>
        <w:rPr>
          <w:rFonts w:ascii="宋体" w:hAnsi="宋体" w:cs="宋体"/>
          <w:kern w:val="0"/>
          <w:szCs w:val="21"/>
        </w:rPr>
        <w:t>18</w:t>
      </w:r>
      <w:r>
        <w:rPr>
          <w:rFonts w:ascii="宋体" w:hAnsi="宋体" w:cs="宋体"/>
          <w:kern w:val="0"/>
          <w:szCs w:val="21"/>
        </w:rPr>
        <w:t>日，本基金募集工作已顺利结束。</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本基金为混合型基金中基金（</w:t>
      </w:r>
      <w:r>
        <w:rPr>
          <w:rFonts w:ascii="宋体" w:hAnsi="宋体" w:cs="宋体"/>
          <w:kern w:val="0"/>
          <w:szCs w:val="21"/>
        </w:rPr>
        <w:t>FOF</w:t>
      </w:r>
      <w:r>
        <w:rPr>
          <w:rFonts w:ascii="宋体" w:hAnsi="宋体" w:cs="宋体"/>
          <w:kern w:val="0"/>
          <w:szCs w:val="21"/>
        </w:rPr>
        <w:t>），基金的运作方式为契约型开放式，存续期为不定期。</w:t>
      </w:r>
      <w:r>
        <w:rPr>
          <w:rFonts w:ascii="宋体" w:hAnsi="宋体" w:cs="宋体"/>
          <w:kern w:val="0"/>
          <w:szCs w:val="21"/>
        </w:rPr>
        <w:br w:type="page"/>
      </w:r>
    </w:p>
    <w:p w:rsidR="00796C66" w:rsidRDefault="00FB6202">
      <w:pPr>
        <w:pStyle w:val="ae"/>
        <w:outlineLvl w:val="0"/>
      </w:pPr>
      <w:bookmarkStart w:id="8" w:name="_Toc256000007"/>
      <w:r>
        <w:rPr>
          <w:noProof/>
        </w:rPr>
        <w:lastRenderedPageBreak/>
        <w:t>七</w:t>
      </w:r>
      <w:r>
        <w:rPr>
          <w:rStyle w:val="Char5"/>
          <w:b/>
          <w:bCs/>
          <w:noProof/>
        </w:rPr>
        <w:t>、</w:t>
      </w:r>
      <w:r>
        <w:rPr>
          <w:noProof/>
        </w:rPr>
        <w:t>基金合同的生效</w:t>
      </w:r>
      <w:bookmarkEnd w:id="8"/>
    </w:p>
    <w:p w:rsidR="00796C66" w:rsidRDefault="00FB6202">
      <w:pPr>
        <w:pStyle w:val="div"/>
        <w:spacing w:line="360" w:lineRule="auto"/>
        <w:ind w:firstLine="480"/>
        <w:rPr>
          <w:rFonts w:eastAsia="Times New Roman"/>
          <w:kern w:val="0"/>
          <w:szCs w:val="21"/>
        </w:rPr>
      </w:pPr>
      <w:r>
        <w:rPr>
          <w:rFonts w:ascii="宋体" w:hAnsi="宋体" w:cs="宋体"/>
          <w:kern w:val="0"/>
          <w:szCs w:val="21"/>
        </w:rPr>
        <w:t>根</w:t>
      </w:r>
      <w:r>
        <w:rPr>
          <w:rFonts w:ascii="宋体" w:hAnsi="宋体" w:cs="宋体"/>
          <w:kern w:val="0"/>
          <w:szCs w:val="21"/>
        </w:rPr>
        <w:t>据《基金法》、《运作办法》以及基金合同、招募说明书、基金份额发售公告的有关规定，本基金募集结果符合有关条件，本基金管理人于</w:t>
      </w:r>
      <w:r>
        <w:rPr>
          <w:rFonts w:ascii="宋体" w:hAnsi="宋体" w:cs="宋体"/>
          <w:kern w:val="0"/>
          <w:szCs w:val="21"/>
        </w:rPr>
        <w:t>2022</w:t>
      </w:r>
      <w:r>
        <w:rPr>
          <w:rFonts w:ascii="宋体" w:hAnsi="宋体" w:cs="宋体"/>
          <w:kern w:val="0"/>
          <w:szCs w:val="21"/>
        </w:rPr>
        <w:t>年</w:t>
      </w:r>
      <w:r>
        <w:rPr>
          <w:rFonts w:ascii="宋体" w:hAnsi="宋体" w:cs="宋体"/>
          <w:kern w:val="0"/>
          <w:szCs w:val="21"/>
        </w:rPr>
        <w:t>11</w:t>
      </w:r>
      <w:r>
        <w:rPr>
          <w:rFonts w:ascii="宋体" w:hAnsi="宋体" w:cs="宋体"/>
          <w:kern w:val="0"/>
          <w:szCs w:val="21"/>
        </w:rPr>
        <w:t>月</w:t>
      </w:r>
      <w:r>
        <w:rPr>
          <w:rFonts w:ascii="宋体" w:hAnsi="宋体" w:cs="宋体"/>
          <w:kern w:val="0"/>
          <w:szCs w:val="21"/>
        </w:rPr>
        <w:t>22</w:t>
      </w:r>
      <w:r>
        <w:rPr>
          <w:rFonts w:ascii="宋体" w:hAnsi="宋体" w:cs="宋体"/>
          <w:kern w:val="0"/>
          <w:szCs w:val="21"/>
        </w:rPr>
        <w:t>日向中国证监会办理完毕基金备案手续并已获书面确认，基金合同自该日起生效。自基金合同生效之日起，本基金管理人正式开始管理本基金。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《基金合同》生效后，连续</w:t>
      </w:r>
      <w:r>
        <w:rPr>
          <w:rFonts w:ascii="宋体" w:hAnsi="宋体" w:cs="宋体"/>
          <w:kern w:val="0"/>
          <w:szCs w:val="21"/>
        </w:rPr>
        <w:t>20</w:t>
      </w:r>
      <w:r>
        <w:rPr>
          <w:rFonts w:ascii="宋体" w:hAnsi="宋体" w:cs="宋体"/>
          <w:kern w:val="0"/>
          <w:szCs w:val="21"/>
        </w:rPr>
        <w:t>个工作日出现基金份额持有人数量不满</w:t>
      </w:r>
      <w:r>
        <w:rPr>
          <w:rFonts w:ascii="宋体" w:hAnsi="宋体" w:cs="宋体"/>
          <w:kern w:val="0"/>
          <w:szCs w:val="21"/>
        </w:rPr>
        <w:t>200</w:t>
      </w:r>
      <w:r>
        <w:rPr>
          <w:rFonts w:ascii="宋体" w:hAnsi="宋体" w:cs="宋体"/>
          <w:kern w:val="0"/>
          <w:szCs w:val="21"/>
        </w:rPr>
        <w:t>人或者基金资产净值低于</w:t>
      </w:r>
      <w:r>
        <w:rPr>
          <w:rFonts w:ascii="宋体" w:hAnsi="宋体" w:cs="宋体"/>
          <w:kern w:val="0"/>
          <w:szCs w:val="21"/>
        </w:rPr>
        <w:t>5000</w:t>
      </w:r>
      <w:r>
        <w:rPr>
          <w:rFonts w:ascii="宋体" w:hAnsi="宋体" w:cs="宋体"/>
          <w:kern w:val="0"/>
          <w:szCs w:val="21"/>
        </w:rPr>
        <w:t>万元情形的，基金管理人应当在定期报告中予以披露；连续</w:t>
      </w:r>
      <w:r>
        <w:rPr>
          <w:rFonts w:ascii="宋体" w:hAnsi="宋体" w:cs="宋体"/>
          <w:kern w:val="0"/>
          <w:szCs w:val="21"/>
        </w:rPr>
        <w:t>50</w:t>
      </w:r>
      <w:r>
        <w:rPr>
          <w:rFonts w:ascii="宋体" w:hAnsi="宋体" w:cs="宋体"/>
          <w:kern w:val="0"/>
          <w:szCs w:val="21"/>
        </w:rPr>
        <w:t>个工作日出现前述情形的，基金合同终止，不需召开基金份额持有人大会。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法律法规或中国证监会</w:t>
      </w:r>
      <w:r>
        <w:rPr>
          <w:rFonts w:ascii="宋体" w:hAnsi="宋体" w:cs="宋体"/>
          <w:kern w:val="0"/>
          <w:szCs w:val="21"/>
        </w:rPr>
        <w:t>另有规定时，从其规定。</w:t>
      </w:r>
      <w:r>
        <w:rPr>
          <w:rFonts w:ascii="宋体" w:hAnsi="宋体" w:cs="宋体"/>
          <w:kern w:val="0"/>
          <w:szCs w:val="21"/>
        </w:rPr>
        <w:br w:type="page"/>
      </w:r>
    </w:p>
    <w:p w:rsidR="00796C66" w:rsidRDefault="00FB6202">
      <w:pPr>
        <w:pStyle w:val="ae"/>
        <w:outlineLvl w:val="0"/>
      </w:pPr>
      <w:bookmarkStart w:id="9" w:name="_Toc256000008"/>
      <w:r>
        <w:rPr>
          <w:noProof/>
        </w:rPr>
        <w:lastRenderedPageBreak/>
        <w:t>八</w:t>
      </w:r>
      <w:r>
        <w:rPr>
          <w:rStyle w:val="Char5"/>
          <w:b/>
          <w:bCs/>
          <w:noProof/>
        </w:rPr>
        <w:t>、</w:t>
      </w:r>
      <w:r>
        <w:rPr>
          <w:noProof/>
        </w:rPr>
        <w:t>基金份额的申购、赎回与转换</w:t>
      </w:r>
      <w:bookmarkEnd w:id="9"/>
    </w:p>
    <w:p w:rsidR="00796C66" w:rsidRDefault="00FB6202">
      <w:pPr>
        <w:pStyle w:val="div"/>
        <w:spacing w:line="360" w:lineRule="auto"/>
        <w:ind w:firstLine="420"/>
        <w:rPr>
          <w:rFonts w:eastAsia="Times New Roman"/>
          <w:kern w:val="0"/>
          <w:szCs w:val="21"/>
        </w:rPr>
      </w:pPr>
      <w:r>
        <w:rPr>
          <w:rFonts w:ascii="宋体" w:hAnsi="宋体" w:cs="宋体"/>
          <w:kern w:val="0"/>
          <w:szCs w:val="21"/>
        </w:rPr>
        <w:t>（一）申购和赎回场所</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申购与赎回将通过销售机构进行。具体的销售机构将由基金管理人在招募说明书、其他相关公告或基金管理人网站列明。基金管理人可根据情况变更或增减销售机构，并在基金管理人网站公示。基金投资者应当在销售机构办理基金销售业务的营业场所或按销售机构提供的其他方式办理基金份额的申购与赎回。</w:t>
      </w:r>
    </w:p>
    <w:p w:rsidR="00796C66" w:rsidRDefault="00FB6202">
      <w:pPr>
        <w:pStyle w:val="div"/>
        <w:spacing w:line="360" w:lineRule="auto"/>
        <w:ind w:firstLine="420"/>
        <w:rPr>
          <w:rFonts w:eastAsia="Times New Roman"/>
          <w:kern w:val="0"/>
          <w:szCs w:val="21"/>
        </w:rPr>
      </w:pPr>
      <w:r>
        <w:rPr>
          <w:rFonts w:ascii="宋体" w:hAnsi="宋体" w:cs="宋体"/>
          <w:kern w:val="0"/>
          <w:szCs w:val="21"/>
        </w:rPr>
        <w:t>（二）申购和赎回的开放日及时间</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、一年持有期</w:t>
      </w:r>
    </w:p>
    <w:p w:rsidR="00796C66" w:rsidRDefault="00FB6202">
      <w:pPr>
        <w:pStyle w:val="div"/>
        <w:spacing w:line="360" w:lineRule="auto"/>
        <w:ind w:firstLine="480"/>
        <w:rPr>
          <w:rFonts w:eastAsia="Times New Roman"/>
          <w:kern w:val="0"/>
          <w:szCs w:val="21"/>
        </w:rPr>
      </w:pPr>
      <w:r>
        <w:rPr>
          <w:rFonts w:ascii="宋体" w:hAnsi="宋体" w:cs="宋体"/>
          <w:kern w:val="0"/>
          <w:szCs w:val="21"/>
        </w:rPr>
        <w:t>对于每份基金份额，投资者最短持有期限为一年，即对于认购所得基金份额，自基金合同生效日的次一年对日起可申</w:t>
      </w:r>
      <w:r>
        <w:rPr>
          <w:rFonts w:ascii="宋体" w:hAnsi="宋体" w:cs="宋体"/>
          <w:kern w:val="0"/>
          <w:szCs w:val="21"/>
        </w:rPr>
        <w:t>请赎回，如该对日不存在或为非工作日的，则顺延至下一工作日；对于申购所得基金份额，自申购确认日的次一年对日起可申请赎回，如该对日不存在或为非工作日的，则顺延至下一工作日。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年持有期到期日及一年持有期到期日之后，基金份额持有人可提出赎回申请。因不可抗力或基金合同约定的其他情形致使基金管理人无法在基金份额的一年持有期到期日按时开放办理该基金份额的赎回业务的，该基金份额的一年持有期到期日顺延至不可抗力或基金合同约定的其他情形的影响因素消除之日起的下一个工作日。具体赎回业务办理时间详见基金管理人届时发布的相关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、开放日及开放时间</w:t>
      </w:r>
    </w:p>
    <w:p w:rsidR="00796C66" w:rsidRDefault="00FB6202">
      <w:pPr>
        <w:pStyle w:val="div"/>
        <w:spacing w:line="360" w:lineRule="auto"/>
        <w:ind w:firstLine="480"/>
        <w:rPr>
          <w:rFonts w:eastAsia="Times New Roman"/>
          <w:kern w:val="0"/>
          <w:szCs w:val="21"/>
        </w:rPr>
      </w:pPr>
      <w:r>
        <w:rPr>
          <w:rFonts w:ascii="宋体" w:hAnsi="宋体" w:cs="宋体"/>
          <w:kern w:val="0"/>
          <w:szCs w:val="21"/>
        </w:rPr>
        <w:t>投资人在开放日办理基金份额的申购和赎回，具体办理时间为上海证券交易所、深圳证券交易所的正常交易日的交易时间（若本基金参与港股通交易或投资香港互认基金，且该交易日为非港股通交易日或香港互认基金内地销售开放日，则本基金有权不开放申购、赎回，并按规定进行公告），但基金管理人根据法律法规、中国证监会的要求或基金合同的规定公告暂停申购、赎回时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生效后，若出现新的证券交易市场、证券交易所交易时间变更或其他特殊情况，基金管理人将视情况对前述开放日及开放时间进行相应的调整，但应在实施日前依照《信息披露办法》的有关规定在规定媒介上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、申购开始日及业务办理时间</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基金管理人可根据实际情况依法决定本基金开始办理申购的具体日期，具体业务办理时间在申购开始公告中规定。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在确定申购开始时间后，基金管理人应在申购开放日前依照《信息披露办法》的有关规定在规定媒介上公告申购的开始时间。</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、基金管理人不得在基金合同约定之外的日期或者时间办理基金份额的申购、</w:t>
      </w:r>
      <w:r>
        <w:rPr>
          <w:rFonts w:ascii="宋体" w:hAnsi="宋体" w:cs="宋体"/>
          <w:kern w:val="0"/>
          <w:szCs w:val="21"/>
        </w:rPr>
        <w:t>赎回或者转换。投资人在基金合同约定之外的日期和时间提出申购、赎回或转换申请且登记机构确认接受的，其基金份额申购、赎回或转换价格为下一开放日基金份额申购、赎回或转</w:t>
      </w:r>
      <w:r>
        <w:rPr>
          <w:rFonts w:ascii="宋体" w:hAnsi="宋体" w:cs="宋体"/>
          <w:kern w:val="0"/>
          <w:szCs w:val="21"/>
        </w:rPr>
        <w:lastRenderedPageBreak/>
        <w:t>换的价格。</w:t>
      </w:r>
    </w:p>
    <w:p w:rsidR="00796C66" w:rsidRDefault="00FB6202">
      <w:pPr>
        <w:pStyle w:val="div"/>
        <w:spacing w:line="360" w:lineRule="auto"/>
        <w:ind w:firstLine="420"/>
        <w:rPr>
          <w:rFonts w:eastAsia="Times New Roman"/>
          <w:kern w:val="0"/>
          <w:szCs w:val="21"/>
        </w:rPr>
      </w:pPr>
      <w:r>
        <w:rPr>
          <w:rFonts w:ascii="宋体" w:hAnsi="宋体" w:cs="宋体"/>
          <w:kern w:val="0"/>
          <w:szCs w:val="21"/>
        </w:rPr>
        <w:t>（三）申购和赎回的原则</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w:t>
      </w:r>
      <w:r>
        <w:rPr>
          <w:rFonts w:ascii="宋体" w:hAnsi="宋体" w:cs="宋体"/>
          <w:kern w:val="0"/>
          <w:szCs w:val="21"/>
        </w:rPr>
        <w:t>“</w:t>
      </w:r>
      <w:r>
        <w:rPr>
          <w:rFonts w:ascii="宋体" w:hAnsi="宋体" w:cs="宋体"/>
          <w:kern w:val="0"/>
          <w:szCs w:val="21"/>
        </w:rPr>
        <w:t>未知价</w:t>
      </w:r>
      <w:r>
        <w:rPr>
          <w:rFonts w:ascii="宋体" w:hAnsi="宋体" w:cs="宋体"/>
          <w:kern w:val="0"/>
          <w:szCs w:val="21"/>
        </w:rPr>
        <w:t>”</w:t>
      </w:r>
      <w:r>
        <w:rPr>
          <w:rFonts w:ascii="宋体" w:hAnsi="宋体" w:cs="宋体"/>
          <w:kern w:val="0"/>
          <w:szCs w:val="21"/>
        </w:rPr>
        <w:t>原则，即申购、赎回价格以申请当日的该类基金份额净值为基准进行计算。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w:t>
      </w:r>
      <w:r>
        <w:rPr>
          <w:rFonts w:ascii="宋体" w:hAnsi="宋体" w:cs="宋体"/>
          <w:kern w:val="0"/>
          <w:szCs w:val="21"/>
        </w:rPr>
        <w:t>“</w:t>
      </w:r>
      <w:r>
        <w:rPr>
          <w:rFonts w:ascii="宋体" w:hAnsi="宋体" w:cs="宋体"/>
          <w:kern w:val="0"/>
          <w:szCs w:val="21"/>
        </w:rPr>
        <w:t>金额申购、份额赎回</w:t>
      </w:r>
      <w:r>
        <w:rPr>
          <w:rFonts w:ascii="宋体" w:hAnsi="宋体" w:cs="宋体"/>
          <w:kern w:val="0"/>
          <w:szCs w:val="21"/>
        </w:rPr>
        <w:t>”</w:t>
      </w:r>
      <w:r>
        <w:rPr>
          <w:rFonts w:ascii="宋体" w:hAnsi="宋体" w:cs="宋体"/>
          <w:kern w:val="0"/>
          <w:szCs w:val="21"/>
        </w:rPr>
        <w:t>原则，即申购以金额申请，赎回以份额申请。</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、当日的申购与赎回申请可以在基金管理人规定的时间以内撤销。</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、赎回遵循</w:t>
      </w:r>
      <w:r>
        <w:rPr>
          <w:rFonts w:ascii="宋体" w:hAnsi="宋体" w:cs="宋体"/>
          <w:kern w:val="0"/>
          <w:szCs w:val="21"/>
        </w:rPr>
        <w:t>“</w:t>
      </w:r>
      <w:r>
        <w:rPr>
          <w:rFonts w:ascii="宋体" w:hAnsi="宋体" w:cs="宋体"/>
          <w:kern w:val="0"/>
          <w:szCs w:val="21"/>
        </w:rPr>
        <w:t>先进先出</w:t>
      </w:r>
      <w:r>
        <w:rPr>
          <w:rFonts w:ascii="宋体" w:hAnsi="宋体" w:cs="宋体"/>
          <w:kern w:val="0"/>
          <w:szCs w:val="21"/>
        </w:rPr>
        <w:t>”</w:t>
      </w:r>
      <w:r>
        <w:rPr>
          <w:rFonts w:ascii="宋体" w:hAnsi="宋体" w:cs="宋体"/>
          <w:kern w:val="0"/>
          <w:szCs w:val="21"/>
        </w:rPr>
        <w:t>原则，即按照投资人认购、申购的先后次序进行顺序赎回。</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、办理申购、赎回业务时，</w:t>
      </w:r>
      <w:r>
        <w:rPr>
          <w:rFonts w:ascii="宋体" w:hAnsi="宋体" w:cs="宋体"/>
          <w:kern w:val="0"/>
          <w:szCs w:val="21"/>
        </w:rPr>
        <w:t>应当遵循基金份额持有人利益优先原则，确保投资者的合法权益不受损害并得到公平对待。</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基金管理人可在不违反法律法规规定且对基金份额持有人利益无实质性不利影响的情况下，对上述原则进行调整。基金管理人必须在新规则开始实施前依照《信息披露办法》的有关规定在规定媒介上公告。</w:t>
      </w:r>
    </w:p>
    <w:p w:rsidR="00796C66" w:rsidRDefault="00FB6202">
      <w:pPr>
        <w:pStyle w:val="div"/>
        <w:spacing w:line="360" w:lineRule="auto"/>
        <w:ind w:hanging="720"/>
        <w:rPr>
          <w:rFonts w:eastAsia="Times New Roman"/>
          <w:kern w:val="0"/>
          <w:szCs w:val="21"/>
        </w:rPr>
      </w:pPr>
      <w:r>
        <w:rPr>
          <w:rFonts w:ascii="宋体" w:hAnsi="宋体" w:cs="宋体"/>
          <w:kern w:val="0"/>
          <w:szCs w:val="21"/>
        </w:rPr>
        <w:t>（四）</w:t>
      </w:r>
      <w:r>
        <w:rPr>
          <w:rFonts w:ascii="宋体" w:hAnsi="宋体" w:cs="宋体"/>
          <w:kern w:val="0"/>
          <w:szCs w:val="21"/>
        </w:rPr>
        <w:tab/>
      </w:r>
      <w:r>
        <w:rPr>
          <w:rFonts w:ascii="宋体" w:hAnsi="宋体" w:cs="宋体"/>
          <w:kern w:val="0"/>
          <w:szCs w:val="21"/>
        </w:rPr>
        <w:t>申购和赎回的数额限制及余额的处理方式</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w:t>
      </w:r>
      <w:r>
        <w:rPr>
          <w:rFonts w:ascii="宋体" w:hAnsi="宋体" w:cs="宋体"/>
          <w:kern w:val="0"/>
          <w:szCs w:val="21"/>
        </w:rPr>
        <w:t>、在直销机构销售网点首次申购的最低金额为人民币</w:t>
      </w:r>
      <w:r>
        <w:rPr>
          <w:rFonts w:ascii="宋体" w:hAnsi="宋体" w:cs="宋体"/>
          <w:kern w:val="0"/>
          <w:szCs w:val="21"/>
        </w:rPr>
        <w:t>1.00</w:t>
      </w:r>
      <w:r>
        <w:rPr>
          <w:rFonts w:ascii="宋体" w:hAnsi="宋体" w:cs="宋体"/>
          <w:kern w:val="0"/>
          <w:szCs w:val="21"/>
        </w:rPr>
        <w:t>元（含申购费，下同），超过部分不设最低级差限制；追加申购的最低金额为人民币</w:t>
      </w:r>
      <w:r>
        <w:rPr>
          <w:rFonts w:ascii="宋体" w:hAnsi="宋体" w:cs="宋体"/>
          <w:kern w:val="0"/>
          <w:szCs w:val="21"/>
        </w:rPr>
        <w:t>1.00</w:t>
      </w:r>
      <w:r>
        <w:rPr>
          <w:rFonts w:ascii="宋体" w:hAnsi="宋体" w:cs="宋体"/>
          <w:kern w:val="0"/>
          <w:szCs w:val="21"/>
        </w:rPr>
        <w:t>元，超过</w:t>
      </w:r>
      <w:r>
        <w:rPr>
          <w:rFonts w:ascii="宋体" w:hAnsi="宋体" w:cs="宋体"/>
          <w:kern w:val="0"/>
          <w:szCs w:val="21"/>
        </w:rPr>
        <w:t>1.00</w:t>
      </w:r>
      <w:r>
        <w:rPr>
          <w:rFonts w:ascii="宋体" w:hAnsi="宋体" w:cs="宋体"/>
          <w:kern w:val="0"/>
          <w:szCs w:val="21"/>
        </w:rPr>
        <w:t>元的部分不设最低级差限制；已在直销机构销售网点有</w:t>
      </w:r>
      <w:r>
        <w:rPr>
          <w:rFonts w:ascii="宋体" w:hAnsi="宋体" w:cs="宋体"/>
          <w:kern w:val="0"/>
          <w:szCs w:val="21"/>
        </w:rPr>
        <w:t>认购基金记录的基金投资人不受首次申购最低金额的限制，但受追加申购最低金额的限制；</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在代销机构销售网点首次申购的最低金额为人民币</w:t>
      </w:r>
      <w:r>
        <w:rPr>
          <w:rFonts w:ascii="宋体" w:hAnsi="宋体" w:cs="宋体"/>
          <w:kern w:val="0"/>
          <w:szCs w:val="21"/>
        </w:rPr>
        <w:t>1.00</w:t>
      </w:r>
      <w:r>
        <w:rPr>
          <w:rFonts w:ascii="宋体" w:hAnsi="宋体" w:cs="宋体"/>
          <w:kern w:val="0"/>
          <w:szCs w:val="21"/>
        </w:rPr>
        <w:t>元，超过</w:t>
      </w:r>
      <w:r>
        <w:rPr>
          <w:rFonts w:ascii="宋体" w:hAnsi="宋体" w:cs="宋体"/>
          <w:kern w:val="0"/>
          <w:szCs w:val="21"/>
        </w:rPr>
        <w:t>1.00</w:t>
      </w:r>
      <w:r>
        <w:rPr>
          <w:rFonts w:ascii="宋体" w:hAnsi="宋体" w:cs="宋体"/>
          <w:kern w:val="0"/>
          <w:szCs w:val="21"/>
        </w:rPr>
        <w:t>元的部分不设最低级差限制；追加申购的最低金额为人民币</w:t>
      </w:r>
      <w:r>
        <w:rPr>
          <w:rFonts w:ascii="宋体" w:hAnsi="宋体" w:cs="宋体"/>
          <w:kern w:val="0"/>
          <w:szCs w:val="21"/>
        </w:rPr>
        <w:t>1.00</w:t>
      </w:r>
      <w:r>
        <w:rPr>
          <w:rFonts w:ascii="宋体" w:hAnsi="宋体" w:cs="宋体"/>
          <w:kern w:val="0"/>
          <w:szCs w:val="21"/>
        </w:rPr>
        <w:t>元，超过</w:t>
      </w:r>
      <w:r>
        <w:rPr>
          <w:rFonts w:ascii="宋体" w:hAnsi="宋体" w:cs="宋体"/>
          <w:kern w:val="0"/>
          <w:szCs w:val="21"/>
        </w:rPr>
        <w:t>1.00</w:t>
      </w:r>
      <w:r>
        <w:rPr>
          <w:rFonts w:ascii="宋体" w:hAnsi="宋体" w:cs="宋体"/>
          <w:kern w:val="0"/>
          <w:szCs w:val="21"/>
        </w:rPr>
        <w:t>元的部分不设最低级差限制。</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在符合法律法规规定的前提下，各销售机构对申购限额及交易级差有其他规定的，需同时遵循该销售机构的相关规定；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、赎回的最低份额为</w:t>
      </w:r>
      <w:r>
        <w:rPr>
          <w:rFonts w:ascii="宋体" w:hAnsi="宋体" w:cs="宋体"/>
          <w:kern w:val="0"/>
          <w:szCs w:val="21"/>
        </w:rPr>
        <w:t>1.00</w:t>
      </w:r>
      <w:r>
        <w:rPr>
          <w:rFonts w:ascii="宋体" w:hAnsi="宋体" w:cs="宋体"/>
          <w:kern w:val="0"/>
          <w:szCs w:val="21"/>
        </w:rPr>
        <w:t>份基金份额，基金份额持有人可将其全部或部分基金份额赎回，但某笔赎回导致在一个销售机构的基金份额余额少于</w:t>
      </w:r>
      <w:r>
        <w:rPr>
          <w:rFonts w:ascii="宋体" w:hAnsi="宋体" w:cs="宋体"/>
          <w:kern w:val="0"/>
          <w:szCs w:val="21"/>
        </w:rPr>
        <w:t>1.00</w:t>
      </w:r>
      <w:r>
        <w:rPr>
          <w:rFonts w:ascii="宋体" w:hAnsi="宋体" w:cs="宋体"/>
          <w:kern w:val="0"/>
          <w:szCs w:val="21"/>
        </w:rPr>
        <w:t>份时，余额部分</w:t>
      </w:r>
      <w:r>
        <w:rPr>
          <w:rFonts w:ascii="宋体" w:hAnsi="宋体" w:cs="宋体"/>
          <w:kern w:val="0"/>
          <w:szCs w:val="21"/>
        </w:rPr>
        <w:t>基金份额必须一并赎回；</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、单个基金份额持有人持有本基金的最低限额为</w:t>
      </w:r>
      <w:r>
        <w:rPr>
          <w:rFonts w:ascii="宋体" w:hAnsi="宋体" w:cs="宋体"/>
          <w:kern w:val="0"/>
          <w:szCs w:val="21"/>
        </w:rPr>
        <w:t>1.00</w:t>
      </w:r>
      <w:r>
        <w:rPr>
          <w:rFonts w:ascii="宋体" w:hAnsi="宋体" w:cs="宋体"/>
          <w:kern w:val="0"/>
          <w:szCs w:val="21"/>
        </w:rPr>
        <w:t>份；</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、基金管理人可在不违反法律法规规定和基金合同约定的情况下，调整上述规定申购金额和赎回份额的数量限制，或者新增基金规模控</w:t>
      </w:r>
      <w:r>
        <w:rPr>
          <w:rFonts w:ascii="宋体" w:hAnsi="宋体" w:cs="宋体"/>
          <w:kern w:val="0"/>
          <w:szCs w:val="21"/>
        </w:rPr>
        <w:t>制措施。基金管理人必须在调整前依照《信息披露办法》的有关规定在规定媒介上公告；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、申购份额、余额的处理方式：申购的有效份额为净申购金额除以当日该类基金份</w:t>
      </w:r>
      <w:r>
        <w:rPr>
          <w:rFonts w:ascii="宋体" w:hAnsi="宋体" w:cs="宋体"/>
          <w:kern w:val="0"/>
          <w:szCs w:val="21"/>
        </w:rPr>
        <w:lastRenderedPageBreak/>
        <w:t>额净值，有效份额单位为份。上述计算结果均按四舍五入方法，保留到小数点后</w:t>
      </w:r>
      <w:r>
        <w:rPr>
          <w:rFonts w:ascii="宋体" w:hAnsi="宋体" w:cs="宋体"/>
          <w:kern w:val="0"/>
          <w:szCs w:val="21"/>
        </w:rPr>
        <w:t>2</w:t>
      </w:r>
      <w:r>
        <w:rPr>
          <w:rFonts w:ascii="宋体" w:hAnsi="宋体" w:cs="宋体"/>
          <w:kern w:val="0"/>
          <w:szCs w:val="21"/>
        </w:rPr>
        <w:t>位，由此误差产生的收益或损失由基金财产承担；</w:t>
      </w:r>
    </w:p>
    <w:p w:rsidR="00796C66" w:rsidRDefault="00FB6202">
      <w:pPr>
        <w:pStyle w:val="div"/>
        <w:spacing w:line="360" w:lineRule="auto"/>
        <w:ind w:firstLine="480"/>
        <w:rPr>
          <w:rFonts w:eastAsia="Times New Roman"/>
          <w:kern w:val="0"/>
          <w:szCs w:val="21"/>
        </w:rPr>
      </w:pPr>
      <w:r>
        <w:rPr>
          <w:rFonts w:ascii="宋体" w:hAnsi="宋体" w:cs="宋体"/>
          <w:kern w:val="0"/>
          <w:szCs w:val="21"/>
        </w:rPr>
        <w:t>7</w:t>
      </w:r>
      <w:r>
        <w:rPr>
          <w:rFonts w:ascii="宋体" w:hAnsi="宋体" w:cs="宋体"/>
          <w:kern w:val="0"/>
          <w:szCs w:val="21"/>
        </w:rPr>
        <w:t>、赎回金额的处理方式：赎回金额为按实际确认的有效赎回份额乘以当日该类基金份额净值，并扣除相应的赎回费用，赎回金额单位为元。上述计算结果均按四舍五入方法，保留到小数点后</w:t>
      </w:r>
      <w:r>
        <w:rPr>
          <w:rFonts w:ascii="宋体" w:hAnsi="宋体" w:cs="宋体"/>
          <w:kern w:val="0"/>
          <w:szCs w:val="21"/>
        </w:rPr>
        <w:t>2</w:t>
      </w:r>
      <w:r>
        <w:rPr>
          <w:rFonts w:ascii="宋体" w:hAnsi="宋体" w:cs="宋体"/>
          <w:kern w:val="0"/>
          <w:szCs w:val="21"/>
        </w:rPr>
        <w:t>位，由此误差产生的收益或损失由基金财产承担。</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（五）申购和赎回的程序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、申购和赎回的申请方式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投资人必须根据销售机构规定的程序，在开放日的具体业务办理时间内提出申购或赎回的申请。</w:t>
      </w:r>
    </w:p>
    <w:p w:rsidR="00796C66" w:rsidRDefault="00FB6202">
      <w:pPr>
        <w:pStyle w:val="div"/>
        <w:spacing w:line="360" w:lineRule="auto"/>
        <w:ind w:firstLine="480"/>
        <w:rPr>
          <w:rFonts w:eastAsia="Times New Roman"/>
          <w:kern w:val="0"/>
          <w:szCs w:val="21"/>
        </w:rPr>
      </w:pPr>
      <w:r>
        <w:rPr>
          <w:rFonts w:ascii="宋体" w:hAnsi="宋体" w:cs="宋体"/>
          <w:kern w:val="0"/>
          <w:szCs w:val="21"/>
        </w:rPr>
        <w:t>投资人在提交申购申请时须按销售机构规定的方式备足申购资金，投资人在提交赎回申请时须持有足够的基金份额余额，否则所提交的申购、赎回申请不成立。</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、申购和赎回的款项支付</w:t>
      </w:r>
    </w:p>
    <w:p w:rsidR="00796C66" w:rsidRDefault="00FB6202">
      <w:pPr>
        <w:pStyle w:val="div"/>
        <w:spacing w:line="360" w:lineRule="auto"/>
        <w:ind w:firstLine="480"/>
        <w:rPr>
          <w:rFonts w:eastAsia="Times New Roman"/>
          <w:kern w:val="0"/>
          <w:szCs w:val="21"/>
        </w:rPr>
      </w:pPr>
      <w:r>
        <w:rPr>
          <w:rFonts w:ascii="宋体" w:hAnsi="宋体" w:cs="宋体"/>
          <w:kern w:val="0"/>
          <w:szCs w:val="21"/>
        </w:rPr>
        <w:t>投资人申购基金份额时，必须全额交付申购款项，投资人交付申购款项，申购成立；基金份额登记机构确认基金份额时，申购生效。</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基金份额持有人递交赎回申请，赎回成立；基金份额登记机构确认赎回时，赎回生效。投资者赎回申请生效后，基金管理人将在</w:t>
      </w:r>
      <w:r>
        <w:rPr>
          <w:rFonts w:ascii="宋体" w:hAnsi="宋体" w:cs="宋体"/>
          <w:kern w:val="0"/>
          <w:szCs w:val="21"/>
        </w:rPr>
        <w:t>T</w:t>
      </w:r>
      <w:r>
        <w:rPr>
          <w:rFonts w:ascii="宋体" w:hAnsi="宋体" w:cs="宋体"/>
          <w:kern w:val="0"/>
          <w:szCs w:val="21"/>
        </w:rPr>
        <w:t>＋</w:t>
      </w:r>
      <w:r>
        <w:rPr>
          <w:rFonts w:ascii="宋体" w:hAnsi="宋体" w:cs="宋体"/>
          <w:kern w:val="0"/>
          <w:szCs w:val="21"/>
        </w:rPr>
        <w:t>10</w:t>
      </w:r>
      <w:r>
        <w:rPr>
          <w:rFonts w:ascii="宋体" w:hAnsi="宋体" w:cs="宋体"/>
          <w:kern w:val="0"/>
          <w:szCs w:val="21"/>
        </w:rPr>
        <w:t>日</w:t>
      </w:r>
      <w:r>
        <w:rPr>
          <w:rFonts w:ascii="宋体" w:hAnsi="宋体" w:cs="宋体"/>
          <w:kern w:val="0"/>
          <w:szCs w:val="21"/>
        </w:rPr>
        <w:t>(</w:t>
      </w:r>
      <w:r>
        <w:rPr>
          <w:rFonts w:ascii="宋体" w:hAnsi="宋体" w:cs="宋体"/>
          <w:kern w:val="0"/>
          <w:szCs w:val="21"/>
        </w:rPr>
        <w:t>包括该日</w:t>
      </w:r>
      <w:r>
        <w:rPr>
          <w:rFonts w:ascii="宋体" w:hAnsi="宋体" w:cs="宋体"/>
          <w:kern w:val="0"/>
          <w:szCs w:val="21"/>
        </w:rPr>
        <w:t>)</w:t>
      </w:r>
      <w:r>
        <w:rPr>
          <w:rFonts w:ascii="宋体" w:hAnsi="宋体" w:cs="宋体"/>
          <w:kern w:val="0"/>
          <w:szCs w:val="21"/>
        </w:rPr>
        <w:t>内支付赎回款项。在发生巨额赎回或基金合同载明的其他暂停赎回或延缓支付赎回款项的情形时，款项的支付办法参照基金合同有关条款处理。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遇交易所或交易市场数据传输延迟、通讯系统故障、银行数据交换系统故障、港股通交易系统故障或港股通资金交收规则限制或其它非基金管理人及基金托管人所能控制的因素影响业务处理流程，则赎回款顺延至上述情形消除后的下一个工作日划出。</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、申购和赎回申请的确认</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w:t>
      </w:r>
      <w:r>
        <w:rPr>
          <w:rFonts w:ascii="宋体" w:hAnsi="宋体" w:cs="宋体"/>
          <w:kern w:val="0"/>
          <w:szCs w:val="21"/>
        </w:rPr>
        <w:t>金管理人应以交易时间结束前受理有效申购和赎回申请的当天作为申购或赎回申请日（</w:t>
      </w:r>
      <w:r>
        <w:rPr>
          <w:rFonts w:ascii="宋体" w:hAnsi="宋体" w:cs="宋体"/>
          <w:kern w:val="0"/>
          <w:szCs w:val="21"/>
        </w:rPr>
        <w:t>T</w:t>
      </w:r>
      <w:r>
        <w:rPr>
          <w:rFonts w:ascii="宋体" w:hAnsi="宋体" w:cs="宋体"/>
          <w:kern w:val="0"/>
          <w:szCs w:val="21"/>
        </w:rPr>
        <w:t>日），在正常情况下，本基金登记机构在</w:t>
      </w:r>
      <w:r>
        <w:rPr>
          <w:rFonts w:ascii="宋体" w:hAnsi="宋体" w:cs="宋体"/>
          <w:kern w:val="0"/>
          <w:szCs w:val="21"/>
        </w:rPr>
        <w:t>T+3</w:t>
      </w:r>
      <w:r>
        <w:rPr>
          <w:rFonts w:ascii="宋体" w:hAnsi="宋体" w:cs="宋体"/>
          <w:kern w:val="0"/>
          <w:szCs w:val="21"/>
        </w:rPr>
        <w:t>日内对该交易的有效性进行确认。</w:t>
      </w:r>
      <w:r>
        <w:rPr>
          <w:rFonts w:ascii="宋体" w:hAnsi="宋体" w:cs="宋体"/>
          <w:kern w:val="0"/>
          <w:szCs w:val="21"/>
        </w:rPr>
        <w:t>T</w:t>
      </w:r>
      <w:r>
        <w:rPr>
          <w:rFonts w:ascii="宋体" w:hAnsi="宋体" w:cs="宋体"/>
          <w:kern w:val="0"/>
          <w:szCs w:val="21"/>
        </w:rPr>
        <w:t>日提交的有效申请，投资人可在</w:t>
      </w:r>
      <w:r>
        <w:rPr>
          <w:rFonts w:ascii="宋体" w:hAnsi="宋体" w:cs="宋体"/>
          <w:kern w:val="0"/>
          <w:szCs w:val="21"/>
        </w:rPr>
        <w:t>T+4</w:t>
      </w:r>
      <w:r>
        <w:rPr>
          <w:rFonts w:ascii="宋体" w:hAnsi="宋体" w:cs="宋体"/>
          <w:kern w:val="0"/>
          <w:szCs w:val="21"/>
        </w:rPr>
        <w:t>日后（包括该日）到销售网点柜台或以销售机构规定的其他方式查询申请的确认情况。若申购不成立或无效，则申购款项本金退还给投资人。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销售机构对申购、赎回申请的受理并不代表申请一定成功，而仅代表销售机构确实接收到申购、赎回申请。申购、赎回申请的确认以登记机构的确认结果为准。对于申请的确认情况，投资人应及时查询并妥善行使合法权利。</w:t>
      </w:r>
      <w:r>
        <w:rPr>
          <w:rFonts w:ascii="宋体" w:hAnsi="宋体" w:cs="宋体"/>
          <w:kern w:val="0"/>
          <w:szCs w:val="21"/>
        </w:rPr>
        <w:t>否则，由此产生的投资人任何损失由投资人自行承担。</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基金管理人可以在不违反法律法规规定和基金合同约定的情况下，依法对上述申购和赎回的业务办理规则进行调整，并在调整实施前依照《信息披露办法》的有关规定在规定媒介上公告。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（六）申购和赎回费率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1</w:t>
      </w:r>
      <w:r>
        <w:rPr>
          <w:rFonts w:ascii="宋体" w:hAnsi="宋体" w:cs="宋体"/>
          <w:kern w:val="0"/>
          <w:szCs w:val="21"/>
        </w:rPr>
        <w:t>、申购费率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w:t>
      </w:r>
      <w:r>
        <w:rPr>
          <w:rFonts w:ascii="宋体" w:hAnsi="宋体" w:cs="宋体"/>
          <w:kern w:val="0"/>
          <w:szCs w:val="21"/>
        </w:rPr>
        <w:t>A</w:t>
      </w:r>
      <w:r>
        <w:rPr>
          <w:rFonts w:ascii="宋体" w:hAnsi="宋体" w:cs="宋体"/>
          <w:kern w:val="0"/>
          <w:szCs w:val="21"/>
        </w:rPr>
        <w:t>类基金份额采用前端收费模式，本基金</w:t>
      </w:r>
      <w:r>
        <w:rPr>
          <w:rFonts w:ascii="宋体" w:hAnsi="宋体" w:cs="宋体"/>
          <w:kern w:val="0"/>
          <w:szCs w:val="21"/>
        </w:rPr>
        <w:t>C</w:t>
      </w:r>
      <w:r>
        <w:rPr>
          <w:rFonts w:ascii="宋体" w:hAnsi="宋体" w:cs="宋体"/>
          <w:kern w:val="0"/>
          <w:szCs w:val="21"/>
        </w:rPr>
        <w:t>类基金份额不收取申购费。投资者可以多次申购本基金，申购费率按每笔申购申请单独计算。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本基金对通过基金管理人的直销中心申购</w:t>
      </w:r>
      <w:r>
        <w:rPr>
          <w:rFonts w:ascii="宋体" w:hAnsi="宋体" w:cs="宋体"/>
          <w:kern w:val="0"/>
          <w:szCs w:val="21"/>
        </w:rPr>
        <w:t>A</w:t>
      </w:r>
      <w:r>
        <w:rPr>
          <w:rFonts w:ascii="宋体" w:hAnsi="宋体" w:cs="宋体"/>
          <w:kern w:val="0"/>
          <w:szCs w:val="21"/>
        </w:rPr>
        <w:t>类基金份额的养老金客户与除此之外的其他投资者实施差别的申购费率。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养老金客户包括全国社会保障基</w:t>
      </w:r>
      <w:r>
        <w:rPr>
          <w:rFonts w:ascii="宋体" w:hAnsi="宋体" w:cs="宋体"/>
          <w:kern w:val="0"/>
          <w:szCs w:val="21"/>
        </w:rPr>
        <w:t>金、基本养老保险基金、企业年金、职业年金以及养老目标基金、个人税收递延型商业养老保险、养老理财、专属商业养老保险、商业养老金等第三支柱养老保险相关产品。如将来出现经监管部门认可的新的养老金类型，基金管理人可通过招募说明书更新或发布临时公告将其纳入养老金客户范围。</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）通过基金管理人的直销中心申购本基金</w:t>
      </w:r>
      <w:r>
        <w:rPr>
          <w:rFonts w:ascii="宋体" w:hAnsi="宋体" w:cs="宋体"/>
          <w:kern w:val="0"/>
          <w:szCs w:val="21"/>
        </w:rPr>
        <w:t>A</w:t>
      </w:r>
      <w:r>
        <w:rPr>
          <w:rFonts w:ascii="宋体" w:hAnsi="宋体" w:cs="宋体"/>
          <w:kern w:val="0"/>
          <w:szCs w:val="21"/>
        </w:rPr>
        <w:t>类基金份额的养老金客户申购费率如下：</w:t>
      </w:r>
    </w:p>
    <w:tbl>
      <w:tblPr>
        <w:tblStyle w:val="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5E0" w:firstRow="1" w:lastRow="1" w:firstColumn="1" w:lastColumn="1" w:noHBand="0" w:noVBand="1"/>
      </w:tblPr>
      <w:tblGrid>
        <w:gridCol w:w="5150"/>
        <w:gridCol w:w="3137"/>
      </w:tblGrid>
      <w:tr w:rsidR="00796C66">
        <w:trPr>
          <w:jc w:val="center"/>
        </w:trPr>
        <w:tc>
          <w:tcPr>
            <w:tcW w:w="4143" w:type="dxa"/>
            <w:tcBorders>
              <w:top w:val="single" w:sz="8" w:space="0" w:color="000000"/>
              <w:left w:val="single" w:sz="8" w:space="0" w:color="000000"/>
              <w:bottom w:val="single" w:sz="4"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申购金额区间</w:t>
            </w:r>
          </w:p>
        </w:tc>
        <w:tc>
          <w:tcPr>
            <w:tcW w:w="2523" w:type="dxa"/>
            <w:tcBorders>
              <w:top w:val="single" w:sz="8" w:space="0" w:color="000000"/>
              <w:left w:val="single" w:sz="4" w:space="0" w:color="000000"/>
              <w:bottom w:val="single" w:sz="4"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A</w:t>
            </w:r>
            <w:r>
              <w:rPr>
                <w:rFonts w:ascii="宋体" w:hAnsi="宋体" w:cs="宋体"/>
                <w:color w:val="000000"/>
                <w:kern w:val="0"/>
                <w:szCs w:val="21"/>
              </w:rPr>
              <w:t>类申购费率</w:t>
            </w:r>
          </w:p>
        </w:tc>
      </w:tr>
      <w:tr w:rsidR="00796C66">
        <w:trPr>
          <w:jc w:val="center"/>
        </w:trPr>
        <w:tc>
          <w:tcPr>
            <w:tcW w:w="414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100</w:t>
            </w:r>
            <w:r>
              <w:rPr>
                <w:rFonts w:ascii="宋体" w:hAnsi="宋体" w:cs="宋体"/>
                <w:color w:val="000000"/>
                <w:kern w:val="0"/>
                <w:szCs w:val="21"/>
              </w:rPr>
              <w:t>万元以下</w:t>
            </w:r>
          </w:p>
        </w:tc>
        <w:tc>
          <w:tcPr>
            <w:tcW w:w="252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0.12</w:t>
            </w:r>
            <w:r>
              <w:rPr>
                <w:rFonts w:ascii="宋体" w:hAnsi="宋体" w:cs="宋体"/>
                <w:color w:val="000000"/>
                <w:kern w:val="0"/>
                <w:szCs w:val="21"/>
              </w:rPr>
              <w:t>％</w:t>
            </w:r>
          </w:p>
        </w:tc>
      </w:tr>
      <w:tr w:rsidR="00796C66">
        <w:trPr>
          <w:jc w:val="center"/>
        </w:trPr>
        <w:tc>
          <w:tcPr>
            <w:tcW w:w="414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100</w:t>
            </w:r>
            <w:r>
              <w:rPr>
                <w:rFonts w:ascii="宋体" w:hAnsi="宋体" w:cs="宋体"/>
                <w:color w:val="000000"/>
                <w:kern w:val="0"/>
                <w:szCs w:val="21"/>
              </w:rPr>
              <w:t>万元（含）以上</w:t>
            </w:r>
            <w:r>
              <w:rPr>
                <w:rFonts w:ascii="宋体" w:hAnsi="宋体" w:cs="宋体"/>
                <w:color w:val="000000"/>
                <w:kern w:val="0"/>
                <w:szCs w:val="21"/>
              </w:rPr>
              <w:t>200</w:t>
            </w:r>
            <w:r>
              <w:rPr>
                <w:rFonts w:ascii="宋体" w:hAnsi="宋体" w:cs="宋体"/>
                <w:color w:val="000000"/>
                <w:kern w:val="0"/>
                <w:szCs w:val="21"/>
              </w:rPr>
              <w:t>万元以下</w:t>
            </w:r>
          </w:p>
        </w:tc>
        <w:tc>
          <w:tcPr>
            <w:tcW w:w="252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0.10</w:t>
            </w:r>
            <w:r>
              <w:rPr>
                <w:rFonts w:ascii="宋体" w:hAnsi="宋体" w:cs="宋体"/>
                <w:color w:val="000000"/>
                <w:kern w:val="0"/>
                <w:szCs w:val="21"/>
              </w:rPr>
              <w:t>％</w:t>
            </w:r>
          </w:p>
        </w:tc>
      </w:tr>
      <w:tr w:rsidR="00796C66">
        <w:trPr>
          <w:jc w:val="center"/>
        </w:trPr>
        <w:tc>
          <w:tcPr>
            <w:tcW w:w="414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200</w:t>
            </w:r>
            <w:r>
              <w:rPr>
                <w:rFonts w:ascii="宋体" w:hAnsi="宋体" w:cs="宋体"/>
                <w:color w:val="000000"/>
                <w:kern w:val="0"/>
                <w:szCs w:val="21"/>
              </w:rPr>
              <w:t>万元（含）以上</w:t>
            </w:r>
            <w:r>
              <w:rPr>
                <w:rFonts w:ascii="宋体" w:hAnsi="宋体" w:cs="宋体"/>
                <w:color w:val="000000"/>
                <w:kern w:val="0"/>
                <w:szCs w:val="21"/>
              </w:rPr>
              <w:t>500</w:t>
            </w:r>
            <w:r>
              <w:rPr>
                <w:rFonts w:ascii="宋体" w:hAnsi="宋体" w:cs="宋体"/>
                <w:color w:val="000000"/>
                <w:kern w:val="0"/>
                <w:szCs w:val="21"/>
              </w:rPr>
              <w:t>万元以下</w:t>
            </w:r>
          </w:p>
        </w:tc>
        <w:tc>
          <w:tcPr>
            <w:tcW w:w="252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0.08</w:t>
            </w:r>
            <w:r>
              <w:rPr>
                <w:rFonts w:ascii="宋体" w:hAnsi="宋体" w:cs="宋体"/>
                <w:color w:val="000000"/>
                <w:kern w:val="0"/>
                <w:szCs w:val="21"/>
              </w:rPr>
              <w:t>％</w:t>
            </w:r>
          </w:p>
        </w:tc>
      </w:tr>
      <w:tr w:rsidR="00796C66">
        <w:trPr>
          <w:jc w:val="center"/>
        </w:trPr>
        <w:tc>
          <w:tcPr>
            <w:tcW w:w="4143" w:type="dxa"/>
            <w:tcBorders>
              <w:top w:val="single" w:sz="4" w:space="0" w:color="000000"/>
              <w:left w:val="single" w:sz="8" w:space="0" w:color="000000"/>
              <w:bottom w:val="single" w:sz="8"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500</w:t>
            </w:r>
            <w:r>
              <w:rPr>
                <w:rFonts w:ascii="宋体" w:hAnsi="宋体" w:cs="宋体"/>
                <w:color w:val="000000"/>
                <w:kern w:val="0"/>
                <w:szCs w:val="21"/>
              </w:rPr>
              <w:t>万元（含）以上</w:t>
            </w:r>
          </w:p>
        </w:tc>
        <w:tc>
          <w:tcPr>
            <w:tcW w:w="2523" w:type="dxa"/>
            <w:tcBorders>
              <w:top w:val="single" w:sz="4" w:space="0" w:color="000000"/>
              <w:left w:val="single" w:sz="4" w:space="0" w:color="000000"/>
              <w:bottom w:val="single" w:sz="8"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1000</w:t>
            </w:r>
            <w:r>
              <w:rPr>
                <w:rFonts w:ascii="宋体" w:hAnsi="宋体" w:cs="宋体"/>
                <w:color w:val="000000"/>
                <w:kern w:val="0"/>
                <w:szCs w:val="21"/>
              </w:rPr>
              <w:t>元</w:t>
            </w:r>
            <w:r>
              <w:rPr>
                <w:rFonts w:ascii="宋体" w:hAnsi="宋体" w:cs="宋体"/>
                <w:color w:val="000000"/>
                <w:kern w:val="0"/>
                <w:szCs w:val="21"/>
              </w:rPr>
              <w:t>/</w:t>
            </w:r>
            <w:r>
              <w:rPr>
                <w:rFonts w:ascii="宋体" w:hAnsi="宋体" w:cs="宋体"/>
                <w:color w:val="000000"/>
                <w:kern w:val="0"/>
                <w:szCs w:val="21"/>
              </w:rPr>
              <w:t>笔</w:t>
            </w:r>
          </w:p>
        </w:tc>
      </w:tr>
    </w:tbl>
    <w:p w:rsidR="00796C66" w:rsidRDefault="00796C66">
      <w:pPr>
        <w:pStyle w:val="p"/>
        <w:spacing w:line="360" w:lineRule="auto"/>
        <w:ind w:firstLine="480"/>
        <w:rPr>
          <w:rFonts w:eastAsia="Times New Roman"/>
          <w:kern w:val="0"/>
          <w:szCs w:val="21"/>
        </w:rPr>
      </w:pP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）其他投资者申购本基金的</w:t>
      </w:r>
      <w:r>
        <w:rPr>
          <w:rFonts w:ascii="宋体" w:hAnsi="宋体" w:cs="宋体"/>
          <w:kern w:val="0"/>
          <w:szCs w:val="21"/>
        </w:rPr>
        <w:t>A</w:t>
      </w:r>
      <w:r>
        <w:rPr>
          <w:rFonts w:ascii="宋体" w:hAnsi="宋体" w:cs="宋体"/>
          <w:kern w:val="0"/>
          <w:szCs w:val="21"/>
        </w:rPr>
        <w:t>类申购费率见下表：</w:t>
      </w:r>
    </w:p>
    <w:tbl>
      <w:tblPr>
        <w:tblStyle w:val="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5E0" w:firstRow="1" w:lastRow="1" w:firstColumn="1" w:lastColumn="1" w:noHBand="0" w:noVBand="1"/>
      </w:tblPr>
      <w:tblGrid>
        <w:gridCol w:w="5150"/>
        <w:gridCol w:w="3137"/>
      </w:tblGrid>
      <w:tr w:rsidR="00796C66">
        <w:trPr>
          <w:jc w:val="center"/>
        </w:trPr>
        <w:tc>
          <w:tcPr>
            <w:tcW w:w="4143" w:type="dxa"/>
            <w:tcBorders>
              <w:top w:val="single" w:sz="8" w:space="0" w:color="000000"/>
              <w:left w:val="single" w:sz="8" w:space="0" w:color="000000"/>
              <w:bottom w:val="single" w:sz="4"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申购金额区间</w:t>
            </w:r>
          </w:p>
        </w:tc>
        <w:tc>
          <w:tcPr>
            <w:tcW w:w="2523" w:type="dxa"/>
            <w:tcBorders>
              <w:top w:val="single" w:sz="8" w:space="0" w:color="000000"/>
              <w:left w:val="single" w:sz="4" w:space="0" w:color="000000"/>
              <w:bottom w:val="single" w:sz="4"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A</w:t>
            </w:r>
            <w:r>
              <w:rPr>
                <w:rFonts w:ascii="宋体" w:hAnsi="宋体" w:cs="宋体"/>
                <w:color w:val="000000"/>
                <w:kern w:val="0"/>
                <w:szCs w:val="21"/>
              </w:rPr>
              <w:t>类申购费率</w:t>
            </w:r>
          </w:p>
        </w:tc>
      </w:tr>
      <w:tr w:rsidR="00796C66">
        <w:trPr>
          <w:jc w:val="center"/>
        </w:trPr>
        <w:tc>
          <w:tcPr>
            <w:tcW w:w="414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100</w:t>
            </w:r>
            <w:r>
              <w:rPr>
                <w:rFonts w:ascii="宋体" w:hAnsi="宋体" w:cs="宋体"/>
                <w:color w:val="000000"/>
                <w:kern w:val="0"/>
                <w:szCs w:val="21"/>
              </w:rPr>
              <w:t>万元以下</w:t>
            </w:r>
          </w:p>
        </w:tc>
        <w:tc>
          <w:tcPr>
            <w:tcW w:w="252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1.2</w:t>
            </w:r>
            <w:r>
              <w:rPr>
                <w:rFonts w:ascii="宋体" w:hAnsi="宋体" w:cs="宋体"/>
                <w:color w:val="000000"/>
                <w:kern w:val="0"/>
                <w:szCs w:val="21"/>
              </w:rPr>
              <w:t>％</w:t>
            </w:r>
          </w:p>
        </w:tc>
      </w:tr>
      <w:tr w:rsidR="00796C66">
        <w:trPr>
          <w:jc w:val="center"/>
        </w:trPr>
        <w:tc>
          <w:tcPr>
            <w:tcW w:w="414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100</w:t>
            </w:r>
            <w:r>
              <w:rPr>
                <w:rFonts w:ascii="宋体" w:hAnsi="宋体" w:cs="宋体"/>
                <w:color w:val="000000"/>
                <w:kern w:val="0"/>
                <w:szCs w:val="21"/>
              </w:rPr>
              <w:t>万元（含）以上</w:t>
            </w:r>
            <w:r>
              <w:rPr>
                <w:rFonts w:ascii="宋体" w:hAnsi="宋体" w:cs="宋体"/>
                <w:color w:val="000000"/>
                <w:kern w:val="0"/>
                <w:szCs w:val="21"/>
              </w:rPr>
              <w:t>200</w:t>
            </w:r>
            <w:r>
              <w:rPr>
                <w:rFonts w:ascii="宋体" w:hAnsi="宋体" w:cs="宋体"/>
                <w:color w:val="000000"/>
                <w:kern w:val="0"/>
                <w:szCs w:val="21"/>
              </w:rPr>
              <w:t>万元以下</w:t>
            </w:r>
          </w:p>
        </w:tc>
        <w:tc>
          <w:tcPr>
            <w:tcW w:w="252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1.0</w:t>
            </w:r>
            <w:r>
              <w:rPr>
                <w:rFonts w:ascii="宋体" w:hAnsi="宋体" w:cs="宋体"/>
                <w:color w:val="000000"/>
                <w:kern w:val="0"/>
                <w:szCs w:val="21"/>
              </w:rPr>
              <w:t>％</w:t>
            </w:r>
          </w:p>
        </w:tc>
      </w:tr>
      <w:tr w:rsidR="00796C66">
        <w:trPr>
          <w:jc w:val="center"/>
        </w:trPr>
        <w:tc>
          <w:tcPr>
            <w:tcW w:w="414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200</w:t>
            </w:r>
            <w:r>
              <w:rPr>
                <w:rFonts w:ascii="宋体" w:hAnsi="宋体" w:cs="宋体"/>
                <w:color w:val="000000"/>
                <w:kern w:val="0"/>
                <w:szCs w:val="21"/>
              </w:rPr>
              <w:t>万元（含）以上</w:t>
            </w:r>
            <w:r>
              <w:rPr>
                <w:rFonts w:ascii="宋体" w:hAnsi="宋体" w:cs="宋体"/>
                <w:color w:val="000000"/>
                <w:kern w:val="0"/>
                <w:szCs w:val="21"/>
              </w:rPr>
              <w:t>500</w:t>
            </w:r>
            <w:r>
              <w:rPr>
                <w:rFonts w:ascii="宋体" w:hAnsi="宋体" w:cs="宋体"/>
                <w:color w:val="000000"/>
                <w:kern w:val="0"/>
                <w:szCs w:val="21"/>
              </w:rPr>
              <w:t>万元以下</w:t>
            </w:r>
          </w:p>
        </w:tc>
        <w:tc>
          <w:tcPr>
            <w:tcW w:w="252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0.8</w:t>
            </w:r>
            <w:r>
              <w:rPr>
                <w:rFonts w:ascii="宋体" w:hAnsi="宋体" w:cs="宋体"/>
                <w:color w:val="000000"/>
                <w:kern w:val="0"/>
                <w:szCs w:val="21"/>
              </w:rPr>
              <w:t>％</w:t>
            </w:r>
          </w:p>
        </w:tc>
      </w:tr>
      <w:tr w:rsidR="00796C66">
        <w:trPr>
          <w:jc w:val="center"/>
        </w:trPr>
        <w:tc>
          <w:tcPr>
            <w:tcW w:w="4143" w:type="dxa"/>
            <w:tcBorders>
              <w:top w:val="single" w:sz="4" w:space="0" w:color="000000"/>
              <w:left w:val="single" w:sz="8" w:space="0" w:color="000000"/>
              <w:bottom w:val="single" w:sz="8" w:space="0" w:color="000000"/>
              <w:right w:val="single" w:sz="4" w:space="0" w:color="000000"/>
            </w:tcBorders>
            <w:tcMar>
              <w:top w:w="96" w:type="dxa"/>
              <w:left w:w="111" w:type="dxa"/>
              <w:bottom w:w="96" w:type="dxa"/>
              <w:right w:w="108"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500</w:t>
            </w:r>
            <w:r>
              <w:rPr>
                <w:rFonts w:ascii="宋体" w:hAnsi="宋体" w:cs="宋体"/>
                <w:color w:val="000000"/>
                <w:kern w:val="0"/>
                <w:szCs w:val="21"/>
              </w:rPr>
              <w:t>万元（含）以上</w:t>
            </w:r>
          </w:p>
        </w:tc>
        <w:tc>
          <w:tcPr>
            <w:tcW w:w="2523" w:type="dxa"/>
            <w:tcBorders>
              <w:top w:val="single" w:sz="4" w:space="0" w:color="000000"/>
              <w:left w:val="single" w:sz="4" w:space="0" w:color="000000"/>
              <w:bottom w:val="single" w:sz="8" w:space="0" w:color="000000"/>
              <w:right w:val="single" w:sz="8" w:space="0" w:color="000000"/>
            </w:tcBorders>
            <w:tcMar>
              <w:top w:w="96" w:type="dxa"/>
              <w:left w:w="108" w:type="dxa"/>
              <w:bottom w:w="96" w:type="dxa"/>
              <w:right w:w="111"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1000</w:t>
            </w:r>
            <w:r>
              <w:rPr>
                <w:rFonts w:ascii="宋体" w:hAnsi="宋体" w:cs="宋体"/>
                <w:color w:val="000000"/>
                <w:kern w:val="0"/>
                <w:szCs w:val="21"/>
              </w:rPr>
              <w:t>元</w:t>
            </w:r>
            <w:r>
              <w:rPr>
                <w:rFonts w:ascii="宋体" w:hAnsi="宋体" w:cs="宋体"/>
                <w:color w:val="000000"/>
                <w:kern w:val="0"/>
                <w:szCs w:val="21"/>
              </w:rPr>
              <w:t>/</w:t>
            </w:r>
            <w:r>
              <w:rPr>
                <w:rFonts w:ascii="宋体" w:hAnsi="宋体" w:cs="宋体"/>
                <w:color w:val="000000"/>
                <w:kern w:val="0"/>
                <w:szCs w:val="21"/>
              </w:rPr>
              <w:t>笔</w:t>
            </w:r>
          </w:p>
        </w:tc>
      </w:tr>
    </w:tbl>
    <w:p w:rsidR="00796C66" w:rsidRDefault="00FB6202">
      <w:pPr>
        <w:pStyle w:val="div"/>
        <w:spacing w:line="360" w:lineRule="auto"/>
        <w:ind w:firstLine="480"/>
        <w:jc w:val="left"/>
        <w:rPr>
          <w:rFonts w:eastAsia="Times New Roman"/>
          <w:kern w:val="0"/>
          <w:szCs w:val="21"/>
        </w:rPr>
      </w:pPr>
      <w:r>
        <w:rPr>
          <w:rFonts w:ascii="宋体" w:hAnsi="宋体" w:cs="宋体"/>
          <w:kern w:val="0"/>
          <w:szCs w:val="21"/>
        </w:rPr>
        <w:t>投资者选择红利自动再投资所转成的份额不收取申购费用。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本基金的申购费用由申购基金份额的投资人承担，可用于市场推广、销售、注册登记等各项费用，不列入基金资产。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、赎回费率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本基金对投资者认购或申购的每份基金份额设有一年的最短持有期限，基金份额持有人在满足最短持有期限的情况下方可赎回，持有满一年后赎回</w:t>
      </w:r>
      <w:r>
        <w:rPr>
          <w:rFonts w:ascii="宋体" w:hAnsi="宋体" w:cs="宋体"/>
          <w:kern w:val="0"/>
          <w:szCs w:val="21"/>
        </w:rPr>
        <w:t>A</w:t>
      </w:r>
      <w:r>
        <w:rPr>
          <w:rFonts w:ascii="宋体" w:hAnsi="宋体" w:cs="宋体"/>
          <w:kern w:val="0"/>
          <w:szCs w:val="21"/>
        </w:rPr>
        <w:t>类基金份额或</w:t>
      </w:r>
      <w:r>
        <w:rPr>
          <w:rFonts w:ascii="宋体" w:hAnsi="宋体" w:cs="宋体"/>
          <w:kern w:val="0"/>
          <w:szCs w:val="21"/>
        </w:rPr>
        <w:t>C</w:t>
      </w:r>
      <w:r>
        <w:rPr>
          <w:rFonts w:ascii="宋体" w:hAnsi="宋体" w:cs="宋体"/>
          <w:kern w:val="0"/>
          <w:szCs w:val="21"/>
        </w:rPr>
        <w:t>类基金份</w:t>
      </w:r>
      <w:r>
        <w:rPr>
          <w:rFonts w:ascii="宋体" w:hAnsi="宋体" w:cs="宋体"/>
          <w:kern w:val="0"/>
          <w:szCs w:val="21"/>
        </w:rPr>
        <w:lastRenderedPageBreak/>
        <w:t>额均不收取赎回费用。红利再投资的基金份额在对应认购</w:t>
      </w:r>
      <w:r>
        <w:rPr>
          <w:rFonts w:ascii="宋体" w:hAnsi="宋体" w:cs="宋体"/>
          <w:kern w:val="0"/>
          <w:szCs w:val="21"/>
        </w:rPr>
        <w:t>/</w:t>
      </w:r>
      <w:r>
        <w:rPr>
          <w:rFonts w:ascii="宋体" w:hAnsi="宋体" w:cs="宋体"/>
          <w:kern w:val="0"/>
          <w:szCs w:val="21"/>
        </w:rPr>
        <w:t>申购份额锁定持有期到期后即可进行赎回或转换转出，不收取赎回费用。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管理人可在基金合同约定的范围内调整申购费率、赎回费率或收费方式，最新的申购费率、赎回费率或收费方式在招募说明书（更新）或相关公告中列示。费率或收费方式如发生变更，基金管理人最迟应于新的费率或收费方式实施日前依照《信息披露办法》的有关规</w:t>
      </w:r>
      <w:r>
        <w:rPr>
          <w:rFonts w:ascii="宋体" w:hAnsi="宋体" w:cs="宋体"/>
          <w:kern w:val="0"/>
          <w:szCs w:val="21"/>
        </w:rPr>
        <w:t>定在规定媒介上公告。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管理人可以在不违反法律法规规定及基金合同约定以及对基金份额持有人利益无实质性不利影响的情形下根据市场情况制定基金促销计划，定期或不定期地开展基金促销活动。在基金促销活动期间，按相关监管部门要求履行必要手续后，基金管理人可以适当调低销售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、基金管理人运用本基金基金财产申购自身管理的基金的（</w:t>
      </w:r>
      <w:r>
        <w:rPr>
          <w:rFonts w:ascii="宋体" w:hAnsi="宋体" w:cs="宋体"/>
          <w:kern w:val="0"/>
          <w:szCs w:val="21"/>
        </w:rPr>
        <w:t>ETF</w:t>
      </w:r>
      <w:r>
        <w:rPr>
          <w:rFonts w:ascii="宋体" w:hAnsi="宋体" w:cs="宋体"/>
          <w:kern w:val="0"/>
          <w:szCs w:val="21"/>
        </w:rPr>
        <w:t>除外），应当通过直销渠道申购且不得收取申购费、赎回费（按照相关法律法规、基金招募说明书约定应当收取，并计入基金财产的赎回费用除外）、销售服务费等销售费用。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、当本基金发生大额申购</w:t>
      </w:r>
      <w:r>
        <w:rPr>
          <w:rFonts w:ascii="宋体" w:hAnsi="宋体" w:cs="宋体"/>
          <w:kern w:val="0"/>
          <w:szCs w:val="21"/>
        </w:rPr>
        <w:t>或赎回情形时，基金管理人可以采用摆动定价机制以确保基金估值的公平性。具体处理原则与操作规范遵循相关法律法规以及监管部门、自律规则的规定。</w:t>
      </w:r>
    </w:p>
    <w:p w:rsidR="00796C66" w:rsidRDefault="00FB6202">
      <w:pPr>
        <w:pStyle w:val="div"/>
        <w:spacing w:line="360" w:lineRule="auto"/>
        <w:ind w:firstLine="420"/>
        <w:rPr>
          <w:rFonts w:eastAsia="Times New Roman"/>
          <w:kern w:val="0"/>
          <w:szCs w:val="21"/>
        </w:rPr>
      </w:pPr>
      <w:r>
        <w:rPr>
          <w:rFonts w:ascii="宋体" w:hAnsi="宋体" w:cs="宋体"/>
          <w:kern w:val="0"/>
          <w:szCs w:val="21"/>
        </w:rPr>
        <w:t>（七）申购份额与赎回金额的计算方式</w:t>
      </w:r>
    </w:p>
    <w:p w:rsidR="00796C66" w:rsidRDefault="00FB6202">
      <w:pPr>
        <w:pStyle w:val="div"/>
        <w:spacing w:line="360" w:lineRule="auto"/>
        <w:ind w:firstLine="420"/>
        <w:rPr>
          <w:rFonts w:eastAsia="Times New Roman"/>
          <w:kern w:val="0"/>
          <w:szCs w:val="21"/>
        </w:rPr>
      </w:pPr>
      <w:r>
        <w:rPr>
          <w:rFonts w:ascii="宋体" w:hAnsi="宋体" w:cs="宋体"/>
          <w:kern w:val="0"/>
          <w:szCs w:val="21"/>
        </w:rPr>
        <w:t>1</w:t>
      </w:r>
      <w:r>
        <w:rPr>
          <w:rFonts w:ascii="宋体" w:hAnsi="宋体" w:cs="宋体"/>
          <w:kern w:val="0"/>
          <w:szCs w:val="21"/>
        </w:rPr>
        <w:t>、申购份额的计算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w:t>
      </w:r>
      <w:r>
        <w:rPr>
          <w:rFonts w:ascii="宋体" w:hAnsi="宋体" w:cs="宋体"/>
          <w:kern w:val="0"/>
          <w:szCs w:val="21"/>
        </w:rPr>
        <w:t>A</w:t>
      </w:r>
      <w:r>
        <w:rPr>
          <w:rFonts w:ascii="宋体" w:hAnsi="宋体" w:cs="宋体"/>
          <w:kern w:val="0"/>
          <w:szCs w:val="21"/>
        </w:rPr>
        <w:t>类基金份额的申购金额包括申购费用和净申购金额，</w:t>
      </w:r>
      <w:r>
        <w:rPr>
          <w:rFonts w:ascii="宋体" w:hAnsi="宋体" w:cs="宋体"/>
          <w:kern w:val="0"/>
          <w:szCs w:val="21"/>
        </w:rPr>
        <w:t>C</w:t>
      </w:r>
      <w:r>
        <w:rPr>
          <w:rFonts w:ascii="宋体" w:hAnsi="宋体" w:cs="宋体"/>
          <w:kern w:val="0"/>
          <w:szCs w:val="21"/>
        </w:rPr>
        <w:t>类基金份额不收取申购费用。其中：</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申购份额的计算方式如下：</w:t>
      </w:r>
    </w:p>
    <w:p w:rsidR="00796C66" w:rsidRDefault="00FB6202">
      <w:pPr>
        <w:pStyle w:val="div"/>
        <w:spacing w:line="360" w:lineRule="auto"/>
        <w:ind w:firstLine="480"/>
        <w:rPr>
          <w:rFonts w:eastAsia="Times New Roman"/>
          <w:kern w:val="0"/>
          <w:szCs w:val="21"/>
        </w:rPr>
      </w:pPr>
      <w:r>
        <w:rPr>
          <w:rFonts w:ascii="宋体" w:hAnsi="宋体" w:cs="宋体"/>
          <w:kern w:val="0"/>
          <w:szCs w:val="21"/>
        </w:rPr>
        <w:t>净申购金额</w:t>
      </w:r>
      <w:r>
        <w:rPr>
          <w:rFonts w:ascii="宋体" w:hAnsi="宋体" w:cs="宋体"/>
          <w:kern w:val="0"/>
          <w:szCs w:val="21"/>
        </w:rPr>
        <w:t xml:space="preserve"> = </w:t>
      </w:r>
      <w:r>
        <w:rPr>
          <w:rFonts w:ascii="宋体" w:hAnsi="宋体" w:cs="宋体"/>
          <w:kern w:val="0"/>
          <w:szCs w:val="21"/>
        </w:rPr>
        <w:t>申购金额</w:t>
      </w:r>
      <w:r>
        <w:rPr>
          <w:rFonts w:ascii="宋体" w:hAnsi="宋体" w:cs="宋体"/>
          <w:kern w:val="0"/>
          <w:szCs w:val="21"/>
        </w:rPr>
        <w:t>/</w:t>
      </w:r>
      <w:r>
        <w:rPr>
          <w:rFonts w:ascii="宋体" w:hAnsi="宋体" w:cs="宋体"/>
          <w:kern w:val="0"/>
          <w:szCs w:val="21"/>
        </w:rPr>
        <w:t>（</w:t>
      </w:r>
      <w:r>
        <w:rPr>
          <w:rFonts w:ascii="宋体" w:hAnsi="宋体" w:cs="宋体"/>
          <w:kern w:val="0"/>
          <w:szCs w:val="21"/>
        </w:rPr>
        <w:t>1</w:t>
      </w:r>
      <w:r>
        <w:rPr>
          <w:rFonts w:ascii="宋体" w:hAnsi="宋体" w:cs="宋体"/>
          <w:kern w:val="0"/>
          <w:szCs w:val="21"/>
        </w:rPr>
        <w:t>＋申购费率）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申购费用</w:t>
      </w:r>
      <w:r>
        <w:rPr>
          <w:rFonts w:ascii="宋体" w:hAnsi="宋体" w:cs="宋体"/>
          <w:kern w:val="0"/>
          <w:szCs w:val="21"/>
        </w:rPr>
        <w:t xml:space="preserve"> = </w:t>
      </w:r>
      <w:r>
        <w:rPr>
          <w:rFonts w:ascii="宋体" w:hAnsi="宋体" w:cs="宋体"/>
          <w:kern w:val="0"/>
          <w:szCs w:val="21"/>
        </w:rPr>
        <w:t>申购金额－净申购金额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申购份额</w:t>
      </w:r>
      <w:r>
        <w:rPr>
          <w:rFonts w:ascii="宋体" w:hAnsi="宋体" w:cs="宋体"/>
          <w:kern w:val="0"/>
          <w:szCs w:val="21"/>
        </w:rPr>
        <w:t xml:space="preserve"> = </w:t>
      </w:r>
      <w:r>
        <w:rPr>
          <w:rFonts w:ascii="宋体" w:hAnsi="宋体" w:cs="宋体"/>
          <w:kern w:val="0"/>
          <w:szCs w:val="21"/>
        </w:rPr>
        <w:t>净申购金额</w:t>
      </w:r>
      <w:r>
        <w:rPr>
          <w:rFonts w:ascii="宋体" w:hAnsi="宋体" w:cs="宋体"/>
          <w:kern w:val="0"/>
          <w:szCs w:val="21"/>
        </w:rPr>
        <w:t>/T</w:t>
      </w:r>
      <w:r>
        <w:rPr>
          <w:rFonts w:ascii="宋体" w:hAnsi="宋体" w:cs="宋体"/>
          <w:kern w:val="0"/>
          <w:szCs w:val="21"/>
        </w:rPr>
        <w:t>日</w:t>
      </w:r>
      <w:r>
        <w:rPr>
          <w:rFonts w:ascii="宋体" w:hAnsi="宋体" w:cs="宋体"/>
          <w:kern w:val="0"/>
          <w:szCs w:val="21"/>
        </w:rPr>
        <w:t>A</w:t>
      </w:r>
      <w:r>
        <w:rPr>
          <w:rFonts w:ascii="宋体" w:hAnsi="宋体" w:cs="宋体"/>
          <w:kern w:val="0"/>
          <w:szCs w:val="21"/>
        </w:rPr>
        <w:t>类基金份额净值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对于适用固定金额申购费的申购：净申购金额＝申购金额－申购费用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C</w:t>
      </w:r>
      <w:r>
        <w:rPr>
          <w:rFonts w:ascii="宋体" w:hAnsi="宋体" w:cs="宋体"/>
          <w:kern w:val="0"/>
          <w:szCs w:val="21"/>
        </w:rPr>
        <w:t>类申购份额的计算方式如下：</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申购份额＝申购金额</w:t>
      </w:r>
      <w:r>
        <w:rPr>
          <w:rFonts w:ascii="宋体" w:hAnsi="宋体" w:cs="宋体"/>
          <w:kern w:val="0"/>
          <w:szCs w:val="21"/>
        </w:rPr>
        <w:t>/</w:t>
      </w:r>
      <w:r>
        <w:rPr>
          <w:rFonts w:ascii="宋体" w:hAnsi="宋体" w:cs="宋体"/>
          <w:kern w:val="0"/>
          <w:szCs w:val="21"/>
        </w:rPr>
        <w:t>申购当日</w:t>
      </w:r>
      <w:r>
        <w:rPr>
          <w:rFonts w:ascii="宋体" w:hAnsi="宋体" w:cs="宋体"/>
          <w:kern w:val="0"/>
          <w:szCs w:val="21"/>
        </w:rPr>
        <w:t>C</w:t>
      </w:r>
      <w:r>
        <w:rPr>
          <w:rFonts w:ascii="宋体" w:hAnsi="宋体" w:cs="宋体"/>
          <w:kern w:val="0"/>
          <w:szCs w:val="21"/>
        </w:rPr>
        <w:t>类基金份额净值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w:t>
      </w:r>
      <w:r>
        <w:rPr>
          <w:rFonts w:ascii="宋体" w:hAnsi="宋体" w:cs="宋体"/>
          <w:kern w:val="0"/>
          <w:szCs w:val="21"/>
        </w:rPr>
        <w:t>1</w:t>
      </w:r>
      <w:r>
        <w:rPr>
          <w:rFonts w:ascii="宋体" w:hAnsi="宋体" w:cs="宋体"/>
          <w:kern w:val="0"/>
          <w:szCs w:val="21"/>
        </w:rPr>
        <w:t>：某投资人（非养老金客户）投资</w:t>
      </w:r>
      <w:r>
        <w:rPr>
          <w:rFonts w:ascii="宋体" w:hAnsi="宋体" w:cs="宋体"/>
          <w:kern w:val="0"/>
          <w:szCs w:val="21"/>
        </w:rPr>
        <w:t>10,000</w:t>
      </w:r>
      <w:r>
        <w:rPr>
          <w:rFonts w:ascii="宋体" w:hAnsi="宋体" w:cs="宋体"/>
          <w:kern w:val="0"/>
          <w:szCs w:val="21"/>
        </w:rPr>
        <w:t>元申购本基金基金份额，假设申购当日基金份额净值为</w:t>
      </w:r>
      <w:r>
        <w:rPr>
          <w:rFonts w:ascii="宋体" w:hAnsi="宋体" w:cs="宋体"/>
          <w:kern w:val="0"/>
          <w:szCs w:val="21"/>
        </w:rPr>
        <w:t>1.0500</w:t>
      </w:r>
      <w:r>
        <w:rPr>
          <w:rFonts w:ascii="宋体" w:hAnsi="宋体" w:cs="宋体"/>
          <w:kern w:val="0"/>
          <w:szCs w:val="21"/>
        </w:rPr>
        <w:t>元，则可得到的申购份额为：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净申购金额</w:t>
      </w:r>
      <w:r>
        <w:rPr>
          <w:rFonts w:ascii="宋体" w:hAnsi="宋体" w:cs="宋体"/>
          <w:kern w:val="0"/>
          <w:szCs w:val="21"/>
        </w:rPr>
        <w:t>=10,000/</w:t>
      </w:r>
      <w:r>
        <w:rPr>
          <w:rFonts w:ascii="宋体" w:hAnsi="宋体" w:cs="宋体"/>
          <w:kern w:val="0"/>
          <w:szCs w:val="21"/>
        </w:rPr>
        <w:t>（</w:t>
      </w:r>
      <w:r>
        <w:rPr>
          <w:rFonts w:ascii="宋体" w:hAnsi="宋体" w:cs="宋体"/>
          <w:kern w:val="0"/>
          <w:szCs w:val="21"/>
        </w:rPr>
        <w:t>1+1.2</w:t>
      </w:r>
      <w:r>
        <w:rPr>
          <w:rFonts w:ascii="宋体" w:hAnsi="宋体" w:cs="宋体"/>
          <w:kern w:val="0"/>
          <w:szCs w:val="21"/>
        </w:rPr>
        <w:t>％）</w:t>
      </w:r>
      <w:r>
        <w:rPr>
          <w:rFonts w:ascii="宋体" w:hAnsi="宋体" w:cs="宋体"/>
          <w:kern w:val="0"/>
          <w:szCs w:val="21"/>
        </w:rPr>
        <w:t>=9,881.42</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申购费用</w:t>
      </w:r>
      <w:r>
        <w:rPr>
          <w:rFonts w:ascii="宋体" w:hAnsi="宋体" w:cs="宋体"/>
          <w:kern w:val="0"/>
          <w:szCs w:val="21"/>
        </w:rPr>
        <w:t>=10,000</w:t>
      </w:r>
      <w:r>
        <w:rPr>
          <w:rFonts w:ascii="宋体" w:hAnsi="宋体" w:cs="宋体"/>
          <w:kern w:val="0"/>
          <w:szCs w:val="21"/>
        </w:rPr>
        <w:t>－</w:t>
      </w:r>
      <w:r>
        <w:rPr>
          <w:rFonts w:ascii="宋体" w:hAnsi="宋体" w:cs="宋体"/>
          <w:kern w:val="0"/>
          <w:szCs w:val="21"/>
        </w:rPr>
        <w:t>9,881.42=118.58</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申购份额</w:t>
      </w:r>
      <w:r>
        <w:rPr>
          <w:rFonts w:ascii="宋体" w:hAnsi="宋体" w:cs="宋体"/>
          <w:kern w:val="0"/>
          <w:szCs w:val="21"/>
        </w:rPr>
        <w:t>=9,881.42/1.0500=9,410.88</w:t>
      </w:r>
      <w:r>
        <w:rPr>
          <w:rFonts w:ascii="宋体" w:hAnsi="宋体" w:cs="宋体"/>
          <w:kern w:val="0"/>
          <w:szCs w:val="21"/>
        </w:rPr>
        <w:t>份</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即：投资人投资</w:t>
      </w:r>
      <w:r>
        <w:rPr>
          <w:rFonts w:ascii="宋体" w:hAnsi="宋体" w:cs="宋体"/>
          <w:kern w:val="0"/>
          <w:szCs w:val="21"/>
        </w:rPr>
        <w:t>10,000</w:t>
      </w:r>
      <w:r>
        <w:rPr>
          <w:rFonts w:ascii="宋体" w:hAnsi="宋体" w:cs="宋体"/>
          <w:kern w:val="0"/>
          <w:szCs w:val="21"/>
        </w:rPr>
        <w:t>元申购本基金基金份额，其对应申购费率为</w:t>
      </w:r>
      <w:r>
        <w:rPr>
          <w:rFonts w:ascii="宋体" w:hAnsi="宋体" w:cs="宋体"/>
          <w:kern w:val="0"/>
          <w:szCs w:val="21"/>
        </w:rPr>
        <w:t>1.2</w:t>
      </w:r>
      <w:r>
        <w:rPr>
          <w:rFonts w:ascii="宋体" w:hAnsi="宋体" w:cs="宋体"/>
          <w:kern w:val="0"/>
          <w:szCs w:val="21"/>
        </w:rPr>
        <w:t>％，假设申购当日基金份额净值为</w:t>
      </w:r>
      <w:r>
        <w:rPr>
          <w:rFonts w:ascii="宋体" w:hAnsi="宋体" w:cs="宋体"/>
          <w:kern w:val="0"/>
          <w:szCs w:val="21"/>
        </w:rPr>
        <w:t>1.0500</w:t>
      </w:r>
      <w:r>
        <w:rPr>
          <w:rFonts w:ascii="宋体" w:hAnsi="宋体" w:cs="宋体"/>
          <w:kern w:val="0"/>
          <w:szCs w:val="21"/>
        </w:rPr>
        <w:t>元，则</w:t>
      </w:r>
      <w:r>
        <w:rPr>
          <w:rFonts w:ascii="宋体" w:hAnsi="宋体" w:cs="宋体"/>
          <w:kern w:val="0"/>
          <w:szCs w:val="21"/>
        </w:rPr>
        <w:t>其可得到</w:t>
      </w:r>
      <w:r>
        <w:rPr>
          <w:rFonts w:ascii="宋体" w:hAnsi="宋体" w:cs="宋体"/>
          <w:kern w:val="0"/>
          <w:szCs w:val="21"/>
        </w:rPr>
        <w:t>9,410.88</w:t>
      </w:r>
      <w:r>
        <w:rPr>
          <w:rFonts w:ascii="宋体" w:hAnsi="宋体" w:cs="宋体"/>
          <w:kern w:val="0"/>
          <w:szCs w:val="21"/>
        </w:rPr>
        <w:t>份基金份额。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例</w:t>
      </w:r>
      <w:r>
        <w:rPr>
          <w:rFonts w:ascii="宋体" w:hAnsi="宋体" w:cs="宋体"/>
          <w:kern w:val="0"/>
          <w:szCs w:val="21"/>
        </w:rPr>
        <w:t>2</w:t>
      </w:r>
      <w:r>
        <w:rPr>
          <w:rFonts w:ascii="宋体" w:hAnsi="宋体" w:cs="宋体"/>
          <w:kern w:val="0"/>
          <w:szCs w:val="21"/>
        </w:rPr>
        <w:t>：某投资人投资</w:t>
      </w:r>
      <w:r>
        <w:rPr>
          <w:rFonts w:ascii="宋体" w:hAnsi="宋体" w:cs="宋体"/>
          <w:kern w:val="0"/>
          <w:szCs w:val="21"/>
        </w:rPr>
        <w:t>10,000</w:t>
      </w:r>
      <w:r>
        <w:rPr>
          <w:rFonts w:ascii="宋体" w:hAnsi="宋体" w:cs="宋体"/>
          <w:kern w:val="0"/>
          <w:szCs w:val="21"/>
        </w:rPr>
        <w:t>元申购本基金</w:t>
      </w:r>
      <w:r>
        <w:rPr>
          <w:rFonts w:ascii="宋体" w:hAnsi="宋体" w:cs="宋体"/>
          <w:kern w:val="0"/>
          <w:szCs w:val="21"/>
        </w:rPr>
        <w:t>C</w:t>
      </w:r>
      <w:r>
        <w:rPr>
          <w:rFonts w:ascii="宋体" w:hAnsi="宋体" w:cs="宋体"/>
          <w:kern w:val="0"/>
          <w:szCs w:val="21"/>
        </w:rPr>
        <w:t>类基金份额，假设申购当日</w:t>
      </w:r>
      <w:r>
        <w:rPr>
          <w:rFonts w:ascii="宋体" w:hAnsi="宋体" w:cs="宋体"/>
          <w:kern w:val="0"/>
          <w:szCs w:val="21"/>
        </w:rPr>
        <w:t>C</w:t>
      </w:r>
      <w:r>
        <w:rPr>
          <w:rFonts w:ascii="宋体" w:hAnsi="宋体" w:cs="宋体"/>
          <w:kern w:val="0"/>
          <w:szCs w:val="21"/>
        </w:rPr>
        <w:t>类基金份额净值为</w:t>
      </w:r>
      <w:r>
        <w:rPr>
          <w:rFonts w:ascii="宋体" w:hAnsi="宋体" w:cs="宋体"/>
          <w:kern w:val="0"/>
          <w:szCs w:val="21"/>
        </w:rPr>
        <w:t>1.0500</w:t>
      </w:r>
      <w:r>
        <w:rPr>
          <w:rFonts w:ascii="宋体" w:hAnsi="宋体" w:cs="宋体"/>
          <w:kern w:val="0"/>
          <w:szCs w:val="21"/>
        </w:rPr>
        <w:t>元，则可得到的申购份额为：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申购份额</w:t>
      </w:r>
      <w:r>
        <w:rPr>
          <w:rFonts w:ascii="宋体" w:hAnsi="宋体" w:cs="宋体"/>
          <w:kern w:val="0"/>
          <w:szCs w:val="21"/>
        </w:rPr>
        <w:t>=10,000/1.0500=9,523.81</w:t>
      </w:r>
      <w:r>
        <w:rPr>
          <w:rFonts w:ascii="宋体" w:hAnsi="宋体" w:cs="宋体"/>
          <w:kern w:val="0"/>
          <w:szCs w:val="21"/>
        </w:rPr>
        <w:t>份</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、赎回金额的计算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本基金对投资者认购或申购的每份基金份额设有一年的最短持有期限，基金份额持有人在满足最短持有期限的情况下方可赎回，持有满一年后赎回</w:t>
      </w:r>
      <w:r>
        <w:rPr>
          <w:rFonts w:ascii="宋体" w:hAnsi="宋体" w:cs="宋体"/>
          <w:kern w:val="0"/>
          <w:szCs w:val="21"/>
        </w:rPr>
        <w:t>A</w:t>
      </w:r>
      <w:r>
        <w:rPr>
          <w:rFonts w:ascii="宋体" w:hAnsi="宋体" w:cs="宋体"/>
          <w:kern w:val="0"/>
          <w:szCs w:val="21"/>
        </w:rPr>
        <w:t>类基金份额或</w:t>
      </w:r>
      <w:r>
        <w:rPr>
          <w:rFonts w:ascii="宋体" w:hAnsi="宋体" w:cs="宋体"/>
          <w:kern w:val="0"/>
          <w:szCs w:val="21"/>
        </w:rPr>
        <w:t>C</w:t>
      </w:r>
      <w:r>
        <w:rPr>
          <w:rFonts w:ascii="宋体" w:hAnsi="宋体" w:cs="宋体"/>
          <w:kern w:val="0"/>
          <w:szCs w:val="21"/>
        </w:rPr>
        <w:t>类基金份额均不收取赎回费用。红利再投资的基金份额在对应认购</w:t>
      </w:r>
      <w:r>
        <w:rPr>
          <w:rFonts w:ascii="宋体" w:hAnsi="宋体" w:cs="宋体"/>
          <w:kern w:val="0"/>
          <w:szCs w:val="21"/>
        </w:rPr>
        <w:t>/</w:t>
      </w:r>
      <w:r>
        <w:rPr>
          <w:rFonts w:ascii="宋体" w:hAnsi="宋体" w:cs="宋体"/>
          <w:kern w:val="0"/>
          <w:szCs w:val="21"/>
        </w:rPr>
        <w:t>申购份额锁定持有期到期后即可进行赎回或转换转出，不收取赎回费用。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赎回金额＝赎回份数</w:t>
      </w:r>
      <w:r>
        <w:rPr>
          <w:rFonts w:ascii="宋体" w:hAnsi="宋体" w:cs="宋体"/>
          <w:kern w:val="0"/>
          <w:szCs w:val="21"/>
        </w:rPr>
        <w:t>×T</w:t>
      </w:r>
      <w:r>
        <w:rPr>
          <w:rFonts w:ascii="宋体" w:hAnsi="宋体" w:cs="宋体"/>
          <w:kern w:val="0"/>
          <w:szCs w:val="21"/>
        </w:rPr>
        <w:t>日该类基金份额净值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例：某投资人持有本基金</w:t>
      </w:r>
      <w:r>
        <w:rPr>
          <w:rFonts w:ascii="宋体" w:hAnsi="宋体" w:cs="宋体"/>
          <w:kern w:val="0"/>
          <w:szCs w:val="21"/>
        </w:rPr>
        <w:t>10,000</w:t>
      </w:r>
      <w:r>
        <w:rPr>
          <w:rFonts w:ascii="宋体" w:hAnsi="宋体" w:cs="宋体"/>
          <w:kern w:val="0"/>
          <w:szCs w:val="21"/>
        </w:rPr>
        <w:t>份本基金</w:t>
      </w:r>
      <w:r>
        <w:rPr>
          <w:rFonts w:ascii="宋体" w:hAnsi="宋体" w:cs="宋体"/>
          <w:kern w:val="0"/>
          <w:szCs w:val="21"/>
        </w:rPr>
        <w:t>A</w:t>
      </w:r>
      <w:r>
        <w:rPr>
          <w:rFonts w:ascii="宋体" w:hAnsi="宋体" w:cs="宋体"/>
          <w:kern w:val="0"/>
          <w:szCs w:val="21"/>
        </w:rPr>
        <w:t>类基金份额</w:t>
      </w:r>
      <w:r>
        <w:rPr>
          <w:rFonts w:ascii="宋体" w:hAnsi="宋体" w:cs="宋体"/>
          <w:kern w:val="0"/>
          <w:szCs w:val="21"/>
        </w:rPr>
        <w:t>13</w:t>
      </w:r>
      <w:r>
        <w:rPr>
          <w:rFonts w:ascii="宋体" w:hAnsi="宋体" w:cs="宋体"/>
          <w:kern w:val="0"/>
          <w:szCs w:val="21"/>
        </w:rPr>
        <w:t>个月后赎回，本基金不收取赎回费，假设赎回当日</w:t>
      </w:r>
      <w:r>
        <w:rPr>
          <w:rFonts w:ascii="宋体" w:hAnsi="宋体" w:cs="宋体"/>
          <w:kern w:val="0"/>
          <w:szCs w:val="21"/>
        </w:rPr>
        <w:t>A</w:t>
      </w:r>
      <w:r>
        <w:rPr>
          <w:rFonts w:ascii="宋体" w:hAnsi="宋体" w:cs="宋体"/>
          <w:kern w:val="0"/>
          <w:szCs w:val="21"/>
        </w:rPr>
        <w:t>类基金份额的基金份额净值是</w:t>
      </w:r>
      <w:r>
        <w:rPr>
          <w:rFonts w:ascii="宋体" w:hAnsi="宋体" w:cs="宋体"/>
          <w:kern w:val="0"/>
          <w:szCs w:val="21"/>
        </w:rPr>
        <w:t>1.0500</w:t>
      </w:r>
      <w:r>
        <w:rPr>
          <w:rFonts w:ascii="宋体" w:hAnsi="宋体" w:cs="宋体"/>
          <w:kern w:val="0"/>
          <w:szCs w:val="21"/>
        </w:rPr>
        <w:t>元，则其可得到的赎回金额为：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赎回金额</w:t>
      </w:r>
      <w:r>
        <w:rPr>
          <w:rFonts w:ascii="宋体" w:hAnsi="宋体" w:cs="宋体"/>
          <w:kern w:val="0"/>
          <w:szCs w:val="21"/>
        </w:rPr>
        <w:t>=10,000×1.0500=10,500</w:t>
      </w:r>
      <w:r>
        <w:rPr>
          <w:rFonts w:ascii="宋体" w:hAnsi="宋体" w:cs="宋体"/>
          <w:kern w:val="0"/>
          <w:szCs w:val="21"/>
        </w:rPr>
        <w:t>元</w:t>
      </w:r>
    </w:p>
    <w:p w:rsidR="00796C66" w:rsidRDefault="00FB6202">
      <w:pPr>
        <w:pStyle w:val="div"/>
        <w:spacing w:line="360" w:lineRule="auto"/>
        <w:ind w:firstLine="480"/>
        <w:jc w:val="left"/>
        <w:rPr>
          <w:rFonts w:eastAsia="Times New Roman"/>
          <w:kern w:val="0"/>
          <w:szCs w:val="21"/>
        </w:rPr>
      </w:pPr>
      <w:r>
        <w:rPr>
          <w:rFonts w:ascii="宋体" w:hAnsi="宋体" w:cs="宋体"/>
          <w:kern w:val="0"/>
          <w:szCs w:val="21"/>
        </w:rPr>
        <w:t>即：投资人赎回持有期为</w:t>
      </w:r>
      <w:r>
        <w:rPr>
          <w:rFonts w:ascii="宋体" w:hAnsi="宋体" w:cs="宋体"/>
          <w:kern w:val="0"/>
          <w:szCs w:val="21"/>
        </w:rPr>
        <w:t>13</w:t>
      </w:r>
      <w:r>
        <w:rPr>
          <w:rFonts w:ascii="宋体" w:hAnsi="宋体" w:cs="宋体"/>
          <w:kern w:val="0"/>
          <w:szCs w:val="21"/>
        </w:rPr>
        <w:t>个月的</w:t>
      </w:r>
      <w:r>
        <w:rPr>
          <w:rFonts w:ascii="宋体" w:hAnsi="宋体" w:cs="宋体"/>
          <w:kern w:val="0"/>
          <w:szCs w:val="21"/>
        </w:rPr>
        <w:t>10,000</w:t>
      </w:r>
      <w:r>
        <w:rPr>
          <w:rFonts w:ascii="宋体" w:hAnsi="宋体" w:cs="宋体"/>
          <w:kern w:val="0"/>
          <w:szCs w:val="21"/>
        </w:rPr>
        <w:t>份本基金</w:t>
      </w:r>
      <w:r>
        <w:rPr>
          <w:rFonts w:ascii="宋体" w:hAnsi="宋体" w:cs="宋体"/>
          <w:kern w:val="0"/>
          <w:szCs w:val="21"/>
        </w:rPr>
        <w:t>A</w:t>
      </w:r>
      <w:r>
        <w:rPr>
          <w:rFonts w:ascii="宋体" w:hAnsi="宋体" w:cs="宋体"/>
          <w:kern w:val="0"/>
          <w:szCs w:val="21"/>
        </w:rPr>
        <w:t>类基金份额，假设赎回当日</w:t>
      </w:r>
      <w:r>
        <w:rPr>
          <w:rFonts w:ascii="宋体" w:hAnsi="宋体" w:cs="宋体"/>
          <w:kern w:val="0"/>
          <w:szCs w:val="21"/>
        </w:rPr>
        <w:t>A</w:t>
      </w:r>
      <w:r>
        <w:rPr>
          <w:rFonts w:ascii="宋体" w:hAnsi="宋体" w:cs="宋体"/>
          <w:kern w:val="0"/>
          <w:szCs w:val="21"/>
        </w:rPr>
        <w:t>类基金份额的基金份额净值是</w:t>
      </w:r>
      <w:r>
        <w:rPr>
          <w:rFonts w:ascii="宋体" w:hAnsi="宋体" w:cs="宋体"/>
          <w:kern w:val="0"/>
          <w:szCs w:val="21"/>
        </w:rPr>
        <w:t>1.0500</w:t>
      </w:r>
      <w:r>
        <w:rPr>
          <w:rFonts w:ascii="宋体" w:hAnsi="宋体" w:cs="宋体"/>
          <w:kern w:val="0"/>
          <w:szCs w:val="21"/>
        </w:rPr>
        <w:t>元，则其可得到的赎回金额为</w:t>
      </w:r>
      <w:r>
        <w:rPr>
          <w:rFonts w:ascii="宋体" w:hAnsi="宋体" w:cs="宋体"/>
          <w:kern w:val="0"/>
          <w:szCs w:val="21"/>
        </w:rPr>
        <w:t>10,500</w:t>
      </w:r>
      <w:r>
        <w:rPr>
          <w:rFonts w:ascii="宋体" w:hAnsi="宋体" w:cs="宋体"/>
          <w:kern w:val="0"/>
          <w:szCs w:val="21"/>
        </w:rPr>
        <w:t>元。</w:t>
      </w:r>
      <w:r>
        <w:rPr>
          <w:rFonts w:ascii="宋体" w:hAnsi="宋体" w:cs="宋体"/>
          <w:kern w:val="0"/>
          <w:szCs w:val="21"/>
        </w:rPr>
        <w:t xml:space="preserve">    </w:t>
      </w:r>
    </w:p>
    <w:p w:rsidR="00796C66" w:rsidRDefault="00FB6202">
      <w:pPr>
        <w:pStyle w:val="div"/>
        <w:spacing w:line="360" w:lineRule="auto"/>
        <w:ind w:firstLine="480"/>
        <w:jc w:val="left"/>
        <w:rPr>
          <w:rFonts w:eastAsia="Times New Roman"/>
          <w:kern w:val="0"/>
          <w:szCs w:val="21"/>
        </w:rPr>
      </w:pPr>
      <w:r>
        <w:rPr>
          <w:rFonts w:ascii="宋体" w:hAnsi="宋体" w:cs="宋体"/>
          <w:kern w:val="0"/>
          <w:szCs w:val="21"/>
        </w:rPr>
        <w:t>3</w:t>
      </w:r>
      <w:r>
        <w:rPr>
          <w:rFonts w:ascii="宋体" w:hAnsi="宋体" w:cs="宋体"/>
          <w:kern w:val="0"/>
          <w:szCs w:val="21"/>
        </w:rPr>
        <w:t>、</w:t>
      </w:r>
      <w:r>
        <w:rPr>
          <w:rFonts w:ascii="宋体" w:hAnsi="宋体" w:cs="宋体"/>
          <w:kern w:val="0"/>
          <w:szCs w:val="21"/>
        </w:rPr>
        <w:t>T</w:t>
      </w:r>
      <w:r>
        <w:rPr>
          <w:rFonts w:ascii="宋体" w:hAnsi="宋体" w:cs="宋体"/>
          <w:kern w:val="0"/>
          <w:szCs w:val="21"/>
        </w:rPr>
        <w:t>日基金份额净值的计算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T</w:t>
      </w:r>
      <w:r>
        <w:rPr>
          <w:rFonts w:ascii="宋体" w:hAnsi="宋体" w:cs="宋体"/>
          <w:kern w:val="0"/>
          <w:szCs w:val="21"/>
        </w:rPr>
        <w:t>日各类基金份额净值</w:t>
      </w:r>
      <w:r>
        <w:rPr>
          <w:rFonts w:ascii="宋体" w:hAnsi="宋体" w:cs="宋体"/>
          <w:kern w:val="0"/>
          <w:szCs w:val="21"/>
        </w:rPr>
        <w:t xml:space="preserve"> = T</w:t>
      </w:r>
      <w:r>
        <w:rPr>
          <w:rFonts w:ascii="宋体" w:hAnsi="宋体" w:cs="宋体"/>
          <w:kern w:val="0"/>
          <w:szCs w:val="21"/>
        </w:rPr>
        <w:t>日该类基金资产净值</w:t>
      </w:r>
      <w:r>
        <w:rPr>
          <w:rFonts w:ascii="宋体" w:hAnsi="宋体" w:cs="宋体"/>
          <w:kern w:val="0"/>
          <w:szCs w:val="21"/>
        </w:rPr>
        <w:t xml:space="preserve"> / T</w:t>
      </w:r>
      <w:r>
        <w:rPr>
          <w:rFonts w:ascii="宋体" w:hAnsi="宋体" w:cs="宋体"/>
          <w:kern w:val="0"/>
          <w:szCs w:val="21"/>
        </w:rPr>
        <w:t>日该类基金份额总数。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T</w:t>
      </w:r>
      <w:r>
        <w:rPr>
          <w:rFonts w:ascii="宋体" w:hAnsi="宋体" w:cs="宋体"/>
          <w:kern w:val="0"/>
          <w:szCs w:val="21"/>
        </w:rPr>
        <w:t>日的各类基金份额净值在</w:t>
      </w:r>
      <w:r>
        <w:rPr>
          <w:rFonts w:ascii="宋体" w:hAnsi="宋体" w:cs="宋体"/>
          <w:kern w:val="0"/>
          <w:szCs w:val="21"/>
        </w:rPr>
        <w:t>T+2</w:t>
      </w:r>
      <w:r>
        <w:rPr>
          <w:rFonts w:ascii="宋体" w:hAnsi="宋体" w:cs="宋体"/>
          <w:kern w:val="0"/>
          <w:szCs w:val="21"/>
        </w:rPr>
        <w:t>日内计算，均精确到</w:t>
      </w:r>
      <w:r>
        <w:rPr>
          <w:rFonts w:ascii="宋体" w:hAnsi="宋体" w:cs="宋体"/>
          <w:kern w:val="0"/>
          <w:szCs w:val="21"/>
        </w:rPr>
        <w:t>0.0001</w:t>
      </w:r>
      <w:r>
        <w:rPr>
          <w:rFonts w:ascii="宋体" w:hAnsi="宋体" w:cs="宋体"/>
          <w:kern w:val="0"/>
          <w:szCs w:val="21"/>
        </w:rPr>
        <w:t>元，小数点后第</w:t>
      </w:r>
      <w:r>
        <w:rPr>
          <w:rFonts w:ascii="宋体" w:hAnsi="宋体" w:cs="宋体"/>
          <w:kern w:val="0"/>
          <w:szCs w:val="21"/>
        </w:rPr>
        <w:t>5</w:t>
      </w:r>
      <w:r>
        <w:rPr>
          <w:rFonts w:ascii="宋体" w:hAnsi="宋体" w:cs="宋体"/>
          <w:kern w:val="0"/>
          <w:szCs w:val="21"/>
        </w:rPr>
        <w:t>位四舍五入，由此产生的收益或损失由基金财产承担。</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T</w:t>
      </w:r>
      <w:r>
        <w:rPr>
          <w:rFonts w:ascii="宋体" w:hAnsi="宋体" w:cs="宋体"/>
          <w:kern w:val="0"/>
          <w:szCs w:val="21"/>
        </w:rPr>
        <w:t>日的各类基金份额净值在</w:t>
      </w:r>
      <w:r>
        <w:rPr>
          <w:rFonts w:ascii="宋体" w:hAnsi="宋体" w:cs="宋体"/>
          <w:kern w:val="0"/>
          <w:szCs w:val="21"/>
        </w:rPr>
        <w:t>T+2</w:t>
      </w:r>
      <w:r>
        <w:rPr>
          <w:rFonts w:ascii="宋体" w:hAnsi="宋体" w:cs="宋体"/>
          <w:kern w:val="0"/>
          <w:szCs w:val="21"/>
        </w:rPr>
        <w:t>日内计算，并按基金合同的约定公告。遇特殊情况，经履行适当程序，可以适当延迟计算或公告。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（八）拒绝或暂停申购的情形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发生下列情况时，基金管理人可拒绝或暂停接受投资人的申购申请：</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、因不可抗力导致基金无法正常运作。</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、发生基金合同规定的暂停基金资产估值情况时。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、证券交易所或外汇市场交易时间非正常停市或港股通临时停市，导致基金管理人无法计算当日基金资产净值。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、接受某笔或某些申购申请可能会影响或损害现有基金份额持有人利益时。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、基金资产规模过大，使基金管理人无法找到合适的投资品种，或其他可能对基金业绩产生负面影响，或发生其他损害现有基金份额持有人利益的情形。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、当特定资产占前一估值日基金资产净值</w:t>
      </w:r>
      <w:r>
        <w:rPr>
          <w:rFonts w:ascii="宋体" w:hAnsi="宋体" w:cs="宋体"/>
          <w:kern w:val="0"/>
          <w:szCs w:val="21"/>
        </w:rPr>
        <w:t>50%</w:t>
      </w:r>
      <w:r>
        <w:rPr>
          <w:rFonts w:ascii="宋体" w:hAnsi="宋体" w:cs="宋体"/>
          <w:kern w:val="0"/>
          <w:szCs w:val="21"/>
        </w:rPr>
        <w:t>以上的，经与基金托管人协商确认后，基金管理人应当暂停接受基金申购申请。</w:t>
      </w:r>
    </w:p>
    <w:p w:rsidR="00796C66" w:rsidRDefault="00FB6202">
      <w:pPr>
        <w:pStyle w:val="div"/>
        <w:spacing w:line="360" w:lineRule="auto"/>
        <w:ind w:firstLine="480"/>
        <w:rPr>
          <w:rFonts w:eastAsia="Times New Roman"/>
          <w:kern w:val="0"/>
          <w:szCs w:val="21"/>
        </w:rPr>
      </w:pPr>
      <w:r>
        <w:rPr>
          <w:rFonts w:ascii="宋体" w:hAnsi="宋体" w:cs="宋体"/>
          <w:kern w:val="0"/>
          <w:szCs w:val="21"/>
        </w:rPr>
        <w:t>7</w:t>
      </w:r>
      <w:r>
        <w:rPr>
          <w:rFonts w:ascii="宋体" w:hAnsi="宋体" w:cs="宋体"/>
          <w:kern w:val="0"/>
          <w:szCs w:val="21"/>
        </w:rPr>
        <w:t>、基金管理人接受某笔或者某些申购申请有可能导致单一投资者持有基金份额的比例达到或者超</w:t>
      </w:r>
      <w:r>
        <w:rPr>
          <w:rFonts w:ascii="宋体" w:hAnsi="宋体" w:cs="宋体"/>
          <w:kern w:val="0"/>
          <w:szCs w:val="21"/>
        </w:rPr>
        <w:t>过</w:t>
      </w:r>
      <w:r>
        <w:rPr>
          <w:rFonts w:ascii="宋体" w:hAnsi="宋体" w:cs="宋体"/>
          <w:kern w:val="0"/>
          <w:szCs w:val="21"/>
        </w:rPr>
        <w:t>50%</w:t>
      </w:r>
      <w:r>
        <w:rPr>
          <w:rFonts w:ascii="宋体" w:hAnsi="宋体" w:cs="宋体"/>
          <w:kern w:val="0"/>
          <w:szCs w:val="21"/>
        </w:rPr>
        <w:t>，或者变相规避</w:t>
      </w:r>
      <w:r>
        <w:rPr>
          <w:rFonts w:ascii="宋体" w:hAnsi="宋体" w:cs="宋体"/>
          <w:kern w:val="0"/>
          <w:szCs w:val="21"/>
        </w:rPr>
        <w:t>50%</w:t>
      </w:r>
      <w:r>
        <w:rPr>
          <w:rFonts w:ascii="宋体" w:hAnsi="宋体" w:cs="宋体"/>
          <w:kern w:val="0"/>
          <w:szCs w:val="21"/>
        </w:rPr>
        <w:t>集中度的情形。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8</w:t>
      </w:r>
      <w:r>
        <w:rPr>
          <w:rFonts w:ascii="宋体" w:hAnsi="宋体" w:cs="宋体"/>
          <w:kern w:val="0"/>
          <w:szCs w:val="21"/>
        </w:rPr>
        <w:t>、基金管理人、基金托管人、基金销售机构或登记机构的技术故障等异常情况导致基金销售系统、基金登记系统或基金会计系统无法正常运行。</w:t>
      </w:r>
    </w:p>
    <w:p w:rsidR="00796C66" w:rsidRDefault="00FB6202">
      <w:pPr>
        <w:pStyle w:val="div"/>
        <w:spacing w:line="360" w:lineRule="auto"/>
        <w:ind w:firstLine="480"/>
        <w:rPr>
          <w:rFonts w:eastAsia="Times New Roman"/>
          <w:kern w:val="0"/>
          <w:szCs w:val="21"/>
        </w:rPr>
      </w:pPr>
      <w:r>
        <w:rPr>
          <w:rFonts w:ascii="宋体" w:hAnsi="宋体" w:cs="宋体"/>
          <w:kern w:val="0"/>
          <w:szCs w:val="21"/>
        </w:rPr>
        <w:t>9</w:t>
      </w:r>
      <w:r>
        <w:rPr>
          <w:rFonts w:ascii="宋体" w:hAnsi="宋体" w:cs="宋体"/>
          <w:kern w:val="0"/>
          <w:szCs w:val="21"/>
        </w:rPr>
        <w:t>、申购申请超过基金管理人设定的基金总规模、单日净申购比例上限、单一投资者单日或单笔申购金额上限、单一投资者累计持有份额上限的情形。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10</w:t>
      </w:r>
      <w:r>
        <w:rPr>
          <w:rFonts w:ascii="宋体" w:hAnsi="宋体" w:cs="宋体"/>
          <w:kern w:val="0"/>
          <w:szCs w:val="21"/>
        </w:rPr>
        <w:t>、港股通交易每日额度不足。</w:t>
      </w:r>
    </w:p>
    <w:p w:rsidR="00796C66" w:rsidRDefault="00FB6202">
      <w:pPr>
        <w:pStyle w:val="div"/>
        <w:spacing w:line="360" w:lineRule="auto"/>
        <w:ind w:firstLine="480"/>
        <w:rPr>
          <w:rFonts w:eastAsia="Times New Roman"/>
          <w:kern w:val="0"/>
          <w:szCs w:val="21"/>
        </w:rPr>
      </w:pPr>
      <w:r>
        <w:rPr>
          <w:rFonts w:ascii="宋体" w:hAnsi="宋体" w:cs="宋体"/>
          <w:kern w:val="0"/>
          <w:szCs w:val="21"/>
        </w:rPr>
        <w:t>11</w:t>
      </w:r>
      <w:r>
        <w:rPr>
          <w:rFonts w:ascii="宋体" w:hAnsi="宋体" w:cs="宋体"/>
          <w:kern w:val="0"/>
          <w:szCs w:val="21"/>
        </w:rPr>
        <w:t>、占基金资产净值相当比例的被投资基金拒绝或暂停申购、暂停上市或二级市场交易停牌。</w:t>
      </w:r>
    </w:p>
    <w:p w:rsidR="00796C66" w:rsidRDefault="00FB6202">
      <w:pPr>
        <w:pStyle w:val="div"/>
        <w:spacing w:line="360" w:lineRule="auto"/>
        <w:ind w:firstLine="480"/>
        <w:rPr>
          <w:rFonts w:eastAsia="Times New Roman"/>
          <w:kern w:val="0"/>
          <w:szCs w:val="21"/>
        </w:rPr>
      </w:pPr>
      <w:r>
        <w:rPr>
          <w:rFonts w:ascii="宋体" w:hAnsi="宋体" w:cs="宋体"/>
          <w:kern w:val="0"/>
          <w:szCs w:val="21"/>
        </w:rPr>
        <w:t>12</w:t>
      </w:r>
      <w:r>
        <w:rPr>
          <w:rFonts w:ascii="宋体" w:hAnsi="宋体" w:cs="宋体"/>
          <w:kern w:val="0"/>
          <w:szCs w:val="21"/>
        </w:rPr>
        <w:t>、占本基金相当比例的被投资基金暂停估值，导致基金管理人无法计算当日基金资产净值。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13</w:t>
      </w:r>
      <w:r>
        <w:rPr>
          <w:rFonts w:ascii="宋体" w:hAnsi="宋体" w:cs="宋体"/>
          <w:kern w:val="0"/>
          <w:szCs w:val="21"/>
        </w:rPr>
        <w:t>、法律法规规定、中国证监会认定或基金合同约定的其他情形。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发生上述第</w:t>
      </w:r>
      <w:r>
        <w:rPr>
          <w:rFonts w:ascii="宋体" w:hAnsi="宋体" w:cs="宋体"/>
          <w:kern w:val="0"/>
          <w:szCs w:val="21"/>
        </w:rPr>
        <w:t>1</w:t>
      </w:r>
      <w:r>
        <w:rPr>
          <w:rFonts w:ascii="宋体" w:hAnsi="宋体" w:cs="宋体"/>
          <w:kern w:val="0"/>
          <w:szCs w:val="21"/>
        </w:rPr>
        <w:t>、</w:t>
      </w:r>
      <w:r>
        <w:rPr>
          <w:rFonts w:ascii="宋体" w:hAnsi="宋体" w:cs="宋体"/>
          <w:kern w:val="0"/>
          <w:szCs w:val="21"/>
        </w:rPr>
        <w:t>2</w:t>
      </w:r>
      <w:r>
        <w:rPr>
          <w:rFonts w:ascii="宋体" w:hAnsi="宋体" w:cs="宋体"/>
          <w:kern w:val="0"/>
          <w:szCs w:val="21"/>
        </w:rPr>
        <w:t>、</w:t>
      </w:r>
      <w:r>
        <w:rPr>
          <w:rFonts w:ascii="宋体" w:hAnsi="宋体" w:cs="宋体"/>
          <w:kern w:val="0"/>
          <w:szCs w:val="21"/>
        </w:rPr>
        <w:t>3</w:t>
      </w:r>
      <w:r>
        <w:rPr>
          <w:rFonts w:ascii="宋体" w:hAnsi="宋体" w:cs="宋体"/>
          <w:kern w:val="0"/>
          <w:szCs w:val="21"/>
        </w:rPr>
        <w:t>、</w:t>
      </w:r>
      <w:r>
        <w:rPr>
          <w:rFonts w:ascii="宋体" w:hAnsi="宋体" w:cs="宋体"/>
          <w:kern w:val="0"/>
          <w:szCs w:val="21"/>
        </w:rPr>
        <w:t>5</w:t>
      </w:r>
      <w:r>
        <w:rPr>
          <w:rFonts w:ascii="宋体" w:hAnsi="宋体" w:cs="宋体"/>
          <w:kern w:val="0"/>
          <w:szCs w:val="21"/>
        </w:rPr>
        <w:t>、</w:t>
      </w:r>
      <w:r>
        <w:rPr>
          <w:rFonts w:ascii="宋体" w:hAnsi="宋体" w:cs="宋体"/>
          <w:kern w:val="0"/>
          <w:szCs w:val="21"/>
        </w:rPr>
        <w:t>6</w:t>
      </w:r>
      <w:r>
        <w:rPr>
          <w:rFonts w:ascii="宋体" w:hAnsi="宋体" w:cs="宋体"/>
          <w:kern w:val="0"/>
          <w:szCs w:val="21"/>
        </w:rPr>
        <w:t>、</w:t>
      </w:r>
      <w:r>
        <w:rPr>
          <w:rFonts w:ascii="宋体" w:hAnsi="宋体" w:cs="宋体"/>
          <w:kern w:val="0"/>
          <w:szCs w:val="21"/>
        </w:rPr>
        <w:t>8</w:t>
      </w:r>
      <w:r>
        <w:rPr>
          <w:rFonts w:ascii="宋体" w:hAnsi="宋体" w:cs="宋体"/>
          <w:kern w:val="0"/>
          <w:szCs w:val="21"/>
        </w:rPr>
        <w:t>、</w:t>
      </w:r>
      <w:r>
        <w:rPr>
          <w:rFonts w:ascii="宋体" w:hAnsi="宋体" w:cs="宋体"/>
          <w:kern w:val="0"/>
          <w:szCs w:val="21"/>
        </w:rPr>
        <w:t>10</w:t>
      </w:r>
      <w:r>
        <w:rPr>
          <w:rFonts w:ascii="宋体" w:hAnsi="宋体" w:cs="宋体"/>
          <w:kern w:val="0"/>
          <w:szCs w:val="21"/>
        </w:rPr>
        <w:t>、</w:t>
      </w:r>
      <w:r>
        <w:rPr>
          <w:rFonts w:ascii="宋体" w:hAnsi="宋体" w:cs="宋体"/>
          <w:kern w:val="0"/>
          <w:szCs w:val="21"/>
        </w:rPr>
        <w:t>11</w:t>
      </w:r>
      <w:r>
        <w:rPr>
          <w:rFonts w:ascii="宋体" w:hAnsi="宋体" w:cs="宋体"/>
          <w:kern w:val="0"/>
          <w:szCs w:val="21"/>
        </w:rPr>
        <w:t>、</w:t>
      </w:r>
      <w:r>
        <w:rPr>
          <w:rFonts w:ascii="宋体" w:hAnsi="宋体" w:cs="宋体"/>
          <w:kern w:val="0"/>
          <w:szCs w:val="21"/>
        </w:rPr>
        <w:t>12</w:t>
      </w:r>
      <w:r>
        <w:rPr>
          <w:rFonts w:ascii="宋体" w:hAnsi="宋体" w:cs="宋体"/>
          <w:kern w:val="0"/>
          <w:szCs w:val="21"/>
        </w:rPr>
        <w:t>、</w:t>
      </w:r>
      <w:r>
        <w:rPr>
          <w:rFonts w:ascii="宋体" w:hAnsi="宋体" w:cs="宋体"/>
          <w:kern w:val="0"/>
          <w:szCs w:val="21"/>
        </w:rPr>
        <w:t>13</w:t>
      </w:r>
      <w:r>
        <w:rPr>
          <w:rFonts w:ascii="宋体" w:hAnsi="宋体" w:cs="宋体"/>
          <w:kern w:val="0"/>
          <w:szCs w:val="21"/>
        </w:rPr>
        <w:t>项暂停申购情形之一且基金管理人决定暂停接受投资人申购申请时，基金管理人应当根据有关规定在规定媒介上刊登暂停申购公告。如果投资人的申购申请被全部或部分拒绝的，被拒绝的申购款项本金将退还给投资人。在暂停申购的情况消除时，基金管理人应及时恢复申购业务的办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（九）暂停赎回或延缓支付赎回款项的情形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发生下列情形时，基金管理人可暂停接受投资人的赎回申请或延缓支付赎回款项：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、因不可抗力导致基金管理</w:t>
      </w:r>
      <w:r>
        <w:rPr>
          <w:rFonts w:ascii="宋体" w:hAnsi="宋体" w:cs="宋体"/>
          <w:kern w:val="0"/>
          <w:szCs w:val="21"/>
        </w:rPr>
        <w:t>人不能支付赎回款项。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、发生基金合同规定的暂停基金资产估值情况时。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、证券交易所或外汇市场交易时间非正常停市或港股通临时停市，导致基金管理人无法计算当日基金资产净值。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、连续两个或两个以上开放日发生巨额赎回。</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、发生继续接受赎回申请将损害现有基金份额持有人利益的情形时。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、当特定资产占前一估值日基金资产净值</w:t>
      </w:r>
      <w:r>
        <w:rPr>
          <w:rFonts w:ascii="宋体" w:hAnsi="宋体" w:cs="宋体"/>
          <w:kern w:val="0"/>
          <w:szCs w:val="21"/>
        </w:rPr>
        <w:t>50%</w:t>
      </w:r>
      <w:r>
        <w:rPr>
          <w:rFonts w:ascii="宋体" w:hAnsi="宋体" w:cs="宋体"/>
          <w:kern w:val="0"/>
          <w:szCs w:val="21"/>
        </w:rPr>
        <w:t>以上的，经与基金托管人协商确认后，基金管理人应当延缓支付赎回款项或暂停接受基金赎回申请。</w:t>
      </w:r>
    </w:p>
    <w:p w:rsidR="00796C66" w:rsidRDefault="00FB6202">
      <w:pPr>
        <w:pStyle w:val="div"/>
        <w:spacing w:line="360" w:lineRule="auto"/>
        <w:ind w:firstLine="480"/>
        <w:rPr>
          <w:rFonts w:eastAsia="Times New Roman"/>
          <w:kern w:val="0"/>
          <w:szCs w:val="21"/>
        </w:rPr>
      </w:pPr>
      <w:r>
        <w:rPr>
          <w:rFonts w:ascii="宋体" w:hAnsi="宋体" w:cs="宋体"/>
          <w:kern w:val="0"/>
          <w:szCs w:val="21"/>
        </w:rPr>
        <w:t>7</w:t>
      </w:r>
      <w:r>
        <w:rPr>
          <w:rFonts w:ascii="宋体" w:hAnsi="宋体" w:cs="宋体"/>
          <w:kern w:val="0"/>
          <w:szCs w:val="21"/>
        </w:rPr>
        <w:t>、占基金资产净值相当比例的被投资基金暂停赎回、延缓支付赎回款项、暂停上市或二级市场交易停牌。</w:t>
      </w:r>
    </w:p>
    <w:p w:rsidR="00796C66" w:rsidRDefault="00FB6202">
      <w:pPr>
        <w:pStyle w:val="div"/>
        <w:spacing w:line="360" w:lineRule="auto"/>
        <w:ind w:firstLine="480"/>
        <w:rPr>
          <w:rFonts w:eastAsia="Times New Roman"/>
          <w:kern w:val="0"/>
          <w:szCs w:val="21"/>
        </w:rPr>
      </w:pPr>
      <w:r>
        <w:rPr>
          <w:rFonts w:ascii="宋体" w:hAnsi="宋体" w:cs="宋体"/>
          <w:kern w:val="0"/>
          <w:szCs w:val="21"/>
        </w:rPr>
        <w:t>8</w:t>
      </w:r>
      <w:r>
        <w:rPr>
          <w:rFonts w:ascii="宋体" w:hAnsi="宋体" w:cs="宋体"/>
          <w:kern w:val="0"/>
          <w:szCs w:val="21"/>
        </w:rPr>
        <w:t>、占本基金相当比例的被投资基金暂停估值，导致基金管理人无法计算当日基金资产净值。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9</w:t>
      </w:r>
      <w:r>
        <w:rPr>
          <w:rFonts w:ascii="宋体" w:hAnsi="宋体" w:cs="宋体"/>
          <w:kern w:val="0"/>
          <w:szCs w:val="21"/>
        </w:rPr>
        <w:t>、法律法规规定、中国证监会认定或基金合同约定的其他情形。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发生上述情形之一且基金管理人决定暂停赎回或延缓支付赎回款项时，基金管理人应按规定报中国证监会备案，已确认的赎回申请，基金管理人应足额支付；如暂时不能足额支付，应将可支付部分按单个账户申请量占申请总量的比例分配给赎回申请人，未支付部分可延期支付。若出现上述第</w:t>
      </w:r>
      <w:r>
        <w:rPr>
          <w:rFonts w:ascii="宋体" w:hAnsi="宋体" w:cs="宋体"/>
          <w:kern w:val="0"/>
          <w:szCs w:val="21"/>
        </w:rPr>
        <w:t>4</w:t>
      </w:r>
      <w:r>
        <w:rPr>
          <w:rFonts w:ascii="宋体" w:hAnsi="宋体" w:cs="宋体"/>
          <w:kern w:val="0"/>
          <w:szCs w:val="21"/>
        </w:rPr>
        <w:t>项所述情形，按基金合同的相关条款处理。基金份额持有人在申请赎回时可事先选择将当日可能未获受理部分予以撤销。在暂停</w:t>
      </w:r>
      <w:r>
        <w:rPr>
          <w:rFonts w:ascii="宋体" w:hAnsi="宋体" w:cs="宋体"/>
          <w:kern w:val="0"/>
          <w:szCs w:val="21"/>
        </w:rPr>
        <w:t>赎回的情况消除时，</w:t>
      </w:r>
      <w:r>
        <w:rPr>
          <w:rFonts w:ascii="宋体" w:hAnsi="宋体" w:cs="宋体"/>
          <w:kern w:val="0"/>
          <w:szCs w:val="21"/>
        </w:rPr>
        <w:lastRenderedPageBreak/>
        <w:t>基金管理人应及时恢复赎回业务的办理并公告。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（十）巨额赎回的情形及处理方式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、巨额赎回的认定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rFonts w:ascii="宋体" w:hAnsi="宋体" w:cs="宋体"/>
          <w:kern w:val="0"/>
          <w:szCs w:val="21"/>
        </w:rPr>
        <w:t>10%</w:t>
      </w:r>
      <w:r>
        <w:rPr>
          <w:rFonts w:ascii="宋体" w:hAnsi="宋体" w:cs="宋体"/>
          <w:kern w:val="0"/>
          <w:szCs w:val="21"/>
        </w:rPr>
        <w:t>，即认为是发生了巨额赎回。</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、巨额赎回的处理方式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当基金出现巨额赎回时，基金管理人可以根据基金当时的资产组合状况决定全额赎回、部分延期赎回或暂停赎回。</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）全额赎回：当基金管理人认为有能力支付投资人的全部赎回申请时，按正常赎回程序执行。</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ascii="宋体" w:hAnsi="宋体" w:cs="宋体"/>
          <w:kern w:val="0"/>
          <w:szCs w:val="21"/>
        </w:rPr>
        <w:t>10%</w:t>
      </w:r>
      <w:r>
        <w:rPr>
          <w:rFonts w:ascii="宋体" w:hAnsi="宋体" w:cs="宋体"/>
          <w:kern w:val="0"/>
          <w:szCs w:val="21"/>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w:t>
      </w:r>
      <w:r>
        <w:rPr>
          <w:rFonts w:ascii="宋体" w:hAnsi="宋体" w:cs="宋体"/>
          <w:kern w:val="0"/>
          <w:szCs w:val="21"/>
        </w:rPr>
        <w:t>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部分延期赎回不受单笔赎回最低份额的限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）如发生单个开放日内单个基金份额持有人申请赎回的基金份额超过前一开放日的基金总份额的</w:t>
      </w:r>
      <w:r>
        <w:rPr>
          <w:rFonts w:ascii="宋体" w:hAnsi="宋体" w:cs="宋体"/>
          <w:kern w:val="0"/>
          <w:szCs w:val="21"/>
        </w:rPr>
        <w:t>20%</w:t>
      </w:r>
      <w:r>
        <w:rPr>
          <w:rFonts w:ascii="宋体" w:hAnsi="宋体" w:cs="宋体"/>
          <w:kern w:val="0"/>
          <w:szCs w:val="21"/>
        </w:rPr>
        <w:t>时，本基金管理人对该单个基金份额持有人持有的赎回申请实施延期办理。当办理延期</w:t>
      </w:r>
      <w:r>
        <w:rPr>
          <w:rFonts w:ascii="宋体" w:hAnsi="宋体" w:cs="宋体"/>
          <w:kern w:val="0"/>
          <w:szCs w:val="21"/>
        </w:rPr>
        <w:t>赎回时，基金管理人对于其超过基金总份额</w:t>
      </w:r>
      <w:r>
        <w:rPr>
          <w:rFonts w:ascii="宋体" w:hAnsi="宋体" w:cs="宋体"/>
          <w:kern w:val="0"/>
          <w:szCs w:val="21"/>
        </w:rPr>
        <w:t>20%</w:t>
      </w:r>
      <w:r>
        <w:rPr>
          <w:rFonts w:ascii="宋体" w:hAnsi="宋体" w:cs="宋体"/>
          <w:kern w:val="0"/>
          <w:szCs w:val="21"/>
        </w:rPr>
        <w:t>以上部分的赎回申请，自动实施延期办理。对于其余当日非自动延期办理的赎回申请，应当按单个账户非自动延期办理的赎回申请量占非自动延期办理的赎回申请总量的比例，确定当日受理的赎回份额。延期的赎回申请与下一开放日赎回申请一并处理，无优先权并以下一开放日的该类基金份额净值为基础计算赎回金额，以此类推，直到全部赎回为止。延期部分如选择取消赎回的，当日未获受理的部分赎回申请将被撤销。如投资人在提交赎回申请时未作明确选择，投资人未能赎回部分作自动延期赎回处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）暂停赎回：连</w:t>
      </w:r>
      <w:r>
        <w:rPr>
          <w:rFonts w:ascii="宋体" w:hAnsi="宋体" w:cs="宋体"/>
          <w:kern w:val="0"/>
          <w:szCs w:val="21"/>
        </w:rPr>
        <w:t>续</w:t>
      </w:r>
      <w:r>
        <w:rPr>
          <w:rFonts w:ascii="宋体" w:hAnsi="宋体" w:cs="宋体"/>
          <w:kern w:val="0"/>
          <w:szCs w:val="21"/>
        </w:rPr>
        <w:t>2</w:t>
      </w:r>
      <w:r>
        <w:rPr>
          <w:rFonts w:ascii="宋体" w:hAnsi="宋体" w:cs="宋体"/>
          <w:kern w:val="0"/>
          <w:szCs w:val="21"/>
        </w:rPr>
        <w:t>个开放日以上</w:t>
      </w:r>
      <w:r>
        <w:rPr>
          <w:rFonts w:ascii="宋体" w:hAnsi="宋体" w:cs="宋体"/>
          <w:kern w:val="0"/>
          <w:szCs w:val="21"/>
        </w:rPr>
        <w:t>(</w:t>
      </w:r>
      <w:r>
        <w:rPr>
          <w:rFonts w:ascii="宋体" w:hAnsi="宋体" w:cs="宋体"/>
          <w:kern w:val="0"/>
          <w:szCs w:val="21"/>
        </w:rPr>
        <w:t>含本数</w:t>
      </w:r>
      <w:r>
        <w:rPr>
          <w:rFonts w:ascii="宋体" w:hAnsi="宋体" w:cs="宋体"/>
          <w:kern w:val="0"/>
          <w:szCs w:val="21"/>
        </w:rPr>
        <w:t>)</w:t>
      </w:r>
      <w:r>
        <w:rPr>
          <w:rFonts w:ascii="宋体" w:hAnsi="宋体" w:cs="宋体"/>
          <w:kern w:val="0"/>
          <w:szCs w:val="21"/>
        </w:rPr>
        <w:t>发生巨额赎回，如基金管理人认为有必要，可暂停接受基金的赎回申请；已经接受的赎回申请可以延缓支付赎回款项，但不得超过</w:t>
      </w:r>
      <w:r>
        <w:rPr>
          <w:rFonts w:ascii="宋体" w:hAnsi="宋体" w:cs="宋体"/>
          <w:kern w:val="0"/>
          <w:szCs w:val="21"/>
        </w:rPr>
        <w:t>20</w:t>
      </w:r>
      <w:r>
        <w:rPr>
          <w:rFonts w:ascii="宋体" w:hAnsi="宋体" w:cs="宋体"/>
          <w:kern w:val="0"/>
          <w:szCs w:val="21"/>
        </w:rPr>
        <w:t>个工作日，并应当在规定媒介上进行公告。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、巨额赎回的公告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当发生上述巨额赎回并延期办理时，基金管理人应当通过邮寄、传真或者招募说明书规定的其他方式在</w:t>
      </w:r>
      <w:r>
        <w:rPr>
          <w:rFonts w:ascii="宋体" w:hAnsi="宋体" w:cs="宋体"/>
          <w:kern w:val="0"/>
          <w:szCs w:val="21"/>
        </w:rPr>
        <w:t>3</w:t>
      </w:r>
      <w:r>
        <w:rPr>
          <w:rFonts w:ascii="宋体" w:hAnsi="宋体" w:cs="宋体"/>
          <w:kern w:val="0"/>
          <w:szCs w:val="21"/>
        </w:rPr>
        <w:t>个交易日内通知基金份额持有人，说明有关处理方法，并按规定在规定媒介上刊登公告。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（十一）暂停申购或赎回的公告和重新开放申购或赎回的公告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、发生上述暂停申购或赎回情况的，基金管理人应在规定期限内在规定媒介上刊登暂停公</w:t>
      </w:r>
      <w:r>
        <w:rPr>
          <w:rFonts w:ascii="宋体" w:hAnsi="宋体" w:cs="宋体"/>
          <w:kern w:val="0"/>
          <w:szCs w:val="21"/>
        </w:rPr>
        <w:t>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、如发生暂停的时间为</w:t>
      </w:r>
      <w:r>
        <w:rPr>
          <w:rFonts w:ascii="宋体" w:hAnsi="宋体" w:cs="宋体"/>
          <w:kern w:val="0"/>
          <w:szCs w:val="21"/>
        </w:rPr>
        <w:t>1</w:t>
      </w:r>
      <w:r>
        <w:rPr>
          <w:rFonts w:ascii="宋体" w:hAnsi="宋体" w:cs="宋体"/>
          <w:kern w:val="0"/>
          <w:szCs w:val="21"/>
        </w:rPr>
        <w:t>日，基金管理人应于重新开放日，在规定媒介上刊登基金重新开放申购或赎回公告，并公布最近</w:t>
      </w:r>
      <w:r>
        <w:rPr>
          <w:rFonts w:ascii="宋体" w:hAnsi="宋体" w:cs="宋体"/>
          <w:kern w:val="0"/>
          <w:szCs w:val="21"/>
        </w:rPr>
        <w:t>1</w:t>
      </w:r>
      <w:r>
        <w:rPr>
          <w:rFonts w:ascii="宋体" w:hAnsi="宋体" w:cs="宋体"/>
          <w:kern w:val="0"/>
          <w:szCs w:val="21"/>
        </w:rPr>
        <w:t>个开放日的基金份额净值。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、基金管理人可以根据暂停申购或赎回的时间，在规定媒介上刊登重新开放申购或赎回的公告；也可以根据实际情况在暂停公告中明确重新开放申购或赎回的时间，届时不再另行发布重新开放的公告。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（十二）基金转换</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（十三）基金的非交易过户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的非交易过户是指基金登记机构受理继承、捐赠和司法强制执行等情形而产生的非交易过户以及登记机构认可、符合法律法规的其它非交易过户或者按照相关法律法规或国家有权机关要求的方式进行处理的行为。无论在上述何种情况下，接受划转的主体必须是依法可以持有本基金</w:t>
      </w:r>
      <w:r>
        <w:rPr>
          <w:rFonts w:ascii="宋体" w:hAnsi="宋体" w:cs="宋体"/>
          <w:kern w:val="0"/>
          <w:szCs w:val="21"/>
        </w:rPr>
        <w:t>基金份额的投资人，或者按照相关法律法规或国家有权机关要求的方式进行处理。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（十四）基金的转托管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基金份额持有人可办理已持</w:t>
      </w:r>
      <w:r>
        <w:rPr>
          <w:rFonts w:ascii="宋体" w:hAnsi="宋体" w:cs="宋体"/>
          <w:kern w:val="0"/>
          <w:szCs w:val="21"/>
        </w:rPr>
        <w:t>有基金份额在不同销售机构之间的转托管，基金销售机构可以按照规定的标准收取转托管费。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（十五）定期定额投资计划</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基金管理人可以为投资人办理定期定额投资计划，具体规则由基金管理人另行规定。投资人在办理定期定额投资计划时可自行约定每期扣款金额，每期扣款金额必须不低于基</w:t>
      </w:r>
      <w:r>
        <w:rPr>
          <w:rFonts w:ascii="宋体" w:hAnsi="宋体" w:cs="宋体"/>
          <w:kern w:val="0"/>
          <w:szCs w:val="21"/>
        </w:rPr>
        <w:lastRenderedPageBreak/>
        <w:t>金管理人在相关公告或更新的招募说明书中所规定的定期定额投资计划最低申购金额。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（十六）基金的冻结、解冻和质押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基金登记机构只受理国家有权机关依法要求的基金份额的冻结与解冻，以及登记机构认可、符合法律法规的其他情况下的冻结与解冻。基金账户或基金份额被冻</w:t>
      </w:r>
      <w:r>
        <w:rPr>
          <w:rFonts w:ascii="宋体" w:hAnsi="宋体" w:cs="宋体"/>
          <w:kern w:val="0"/>
          <w:szCs w:val="21"/>
        </w:rPr>
        <w:t>结的，被冻结基金份额所产生的权益一并冻结，被冻结部分份额仍然参与收益分配，法律法规另有规定的除外。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如相关法律法规允许且对基金份额持有人利益无实质性不利影响的前提下，基金管理人可办理基金份额的质押业务或其他基金业务，基金管理人将制定和实施相应的业务规则。</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（十七）基金份额的转让</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法律法规允许且条件具备的情况下，基金管理人可受理基金份额持有人通过中国证监会认可的交易场所或者通过其他方式进行份额转让的申请并由登记机构办理基金份额的过户登记。基金管理人拟受理基金份额转让业务的，将提前公告，基金份额持有人应根据基</w:t>
      </w:r>
      <w:r>
        <w:rPr>
          <w:rFonts w:ascii="宋体" w:hAnsi="宋体" w:cs="宋体"/>
          <w:kern w:val="0"/>
          <w:szCs w:val="21"/>
        </w:rPr>
        <w:t>金管理人公告的业务规则办理基金份额转让业务。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八）在不违反相关法律法规且对基金份额持有人利益无实质性不利影响的前提下，基金管理人可根据具体情况对上述申购和赎回以及相关业务的安排进行补充和调整并提前公告，无需召开基金份额持有人大会审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（十九）实施侧袋机制期间本基金的申购与赎回</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本基金实施侧袋机制的，本基金的申购和赎回安排详见本招募说明书</w:t>
      </w:r>
      <w:r>
        <w:rPr>
          <w:rFonts w:ascii="宋体" w:hAnsi="宋体" w:cs="宋体"/>
          <w:kern w:val="0"/>
          <w:szCs w:val="21"/>
        </w:rPr>
        <w:t>“</w:t>
      </w:r>
      <w:r>
        <w:rPr>
          <w:rFonts w:ascii="宋体" w:hAnsi="宋体" w:cs="宋体"/>
          <w:kern w:val="0"/>
          <w:szCs w:val="21"/>
        </w:rPr>
        <w:t>侧袋机制</w:t>
      </w:r>
      <w:r>
        <w:rPr>
          <w:rFonts w:ascii="宋体" w:hAnsi="宋体" w:cs="宋体"/>
          <w:kern w:val="0"/>
          <w:szCs w:val="21"/>
        </w:rPr>
        <w:t>”</w:t>
      </w:r>
      <w:r>
        <w:rPr>
          <w:rFonts w:ascii="宋体" w:hAnsi="宋体" w:cs="宋体"/>
          <w:kern w:val="0"/>
          <w:szCs w:val="21"/>
        </w:rPr>
        <w:t>章节的规定或届时发布的相关公告。</w:t>
      </w:r>
      <w:r>
        <w:rPr>
          <w:rFonts w:ascii="宋体" w:hAnsi="宋体" w:cs="宋体"/>
          <w:kern w:val="0"/>
          <w:szCs w:val="21"/>
        </w:rPr>
        <w:br w:type="page"/>
      </w:r>
    </w:p>
    <w:p w:rsidR="00796C66" w:rsidRDefault="00FB6202">
      <w:pPr>
        <w:pStyle w:val="ae"/>
        <w:outlineLvl w:val="0"/>
      </w:pPr>
      <w:bookmarkStart w:id="10" w:name="_Toc256000009"/>
      <w:r>
        <w:rPr>
          <w:noProof/>
        </w:rPr>
        <w:lastRenderedPageBreak/>
        <w:t>九</w:t>
      </w:r>
      <w:r>
        <w:rPr>
          <w:rStyle w:val="Char5"/>
          <w:b/>
          <w:bCs/>
          <w:noProof/>
        </w:rPr>
        <w:t>、</w:t>
      </w:r>
      <w:r>
        <w:rPr>
          <w:noProof/>
        </w:rPr>
        <w:t>基金的投资</w:t>
      </w:r>
      <w:bookmarkEnd w:id="10"/>
    </w:p>
    <w:p w:rsidR="00796C66" w:rsidRDefault="00FB6202">
      <w:pPr>
        <w:pStyle w:val="div"/>
        <w:spacing w:line="360" w:lineRule="auto"/>
        <w:ind w:firstLine="480"/>
        <w:rPr>
          <w:rFonts w:eastAsia="Times New Roman"/>
          <w:kern w:val="0"/>
          <w:szCs w:val="21"/>
        </w:rPr>
      </w:pPr>
      <w:r>
        <w:rPr>
          <w:rFonts w:ascii="宋体" w:hAnsi="宋体" w:cs="宋体"/>
          <w:kern w:val="0"/>
          <w:szCs w:val="21"/>
        </w:rPr>
        <w:t>（一）投资目标</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本基金将以严格的风险控制为前提，通过优选基金积极把握基金市场的投资机会，获取长期稳定的投资回报。</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（二）投资范围</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本基金的投资范围包括经中国证监会依法核准或注册的公开募集证券投资基金（含</w:t>
      </w:r>
      <w:r>
        <w:rPr>
          <w:rFonts w:ascii="宋体" w:hAnsi="宋体" w:cs="宋体"/>
          <w:kern w:val="0"/>
          <w:szCs w:val="21"/>
        </w:rPr>
        <w:t>QDII</w:t>
      </w:r>
      <w:r>
        <w:rPr>
          <w:rFonts w:ascii="宋体" w:hAnsi="宋体" w:cs="宋体"/>
          <w:kern w:val="0"/>
          <w:szCs w:val="21"/>
        </w:rPr>
        <w:t>基金、香港互认基金）、国内依法发行或上市的股票（包括主板、创业板以及其他依法发行或上市的股票、存托凭证）、内地与香港股票市场交易互联互通机制下允许买卖的香港联合交易所上市股票（以下简称</w:t>
      </w:r>
      <w:r>
        <w:rPr>
          <w:rFonts w:ascii="宋体" w:hAnsi="宋体" w:cs="宋体"/>
          <w:kern w:val="0"/>
          <w:szCs w:val="21"/>
        </w:rPr>
        <w:t>“</w:t>
      </w:r>
      <w:r>
        <w:rPr>
          <w:rFonts w:ascii="宋体" w:hAnsi="宋体" w:cs="宋体"/>
          <w:kern w:val="0"/>
          <w:szCs w:val="21"/>
        </w:rPr>
        <w:t>港股通标的股票</w:t>
      </w:r>
      <w:r>
        <w:rPr>
          <w:rFonts w:ascii="宋体" w:hAnsi="宋体" w:cs="宋体"/>
          <w:kern w:val="0"/>
          <w:szCs w:val="21"/>
        </w:rPr>
        <w:t>”</w:t>
      </w:r>
      <w:r>
        <w:rPr>
          <w:rFonts w:ascii="宋体" w:hAnsi="宋体" w:cs="宋体"/>
          <w:kern w:val="0"/>
          <w:szCs w:val="21"/>
        </w:rPr>
        <w:t>）、债券（包括国债、央行票据、地方政府债、金融债、企业债、公司债、次级债、中期票据、短期融资券、超短期融资券、可转</w:t>
      </w:r>
      <w:r>
        <w:rPr>
          <w:rFonts w:ascii="宋体" w:hAnsi="宋体" w:cs="宋体"/>
          <w:kern w:val="0"/>
          <w:szCs w:val="21"/>
        </w:rPr>
        <w:t>换债券（含分离交易可转债）、可交换债券等）、同业存单、资产支持证券、债券回购、银行存款及法律法规或中国证监会允许基金投资的其他金融工具（但须符合中国证监会相关规定）。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如法律法规或监管机构以后允许基金投资其他品种，基金管理人在履行适当程序后，可以将其纳入投资范围。</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本基金的投资组合比例为：投资于公开募集证券投资基金的比例不低于基金资产的</w:t>
      </w:r>
      <w:r>
        <w:rPr>
          <w:rFonts w:ascii="宋体" w:hAnsi="宋体" w:cs="宋体"/>
          <w:kern w:val="0"/>
          <w:szCs w:val="21"/>
        </w:rPr>
        <w:t>80%</w:t>
      </w:r>
      <w:r>
        <w:rPr>
          <w:rFonts w:ascii="宋体" w:hAnsi="宋体" w:cs="宋体"/>
          <w:kern w:val="0"/>
          <w:szCs w:val="21"/>
        </w:rPr>
        <w:t>，其中投资于股票、存托凭证、股票型基金</w:t>
      </w:r>
      <w:r>
        <w:rPr>
          <w:rFonts w:ascii="宋体" w:hAnsi="宋体" w:cs="宋体"/>
          <w:kern w:val="0"/>
          <w:szCs w:val="21"/>
        </w:rPr>
        <w:t>(</w:t>
      </w:r>
      <w:r>
        <w:rPr>
          <w:rFonts w:ascii="宋体" w:hAnsi="宋体" w:cs="宋体"/>
          <w:kern w:val="0"/>
          <w:szCs w:val="21"/>
        </w:rPr>
        <w:t>包括股票指数基金</w:t>
      </w:r>
      <w:r>
        <w:rPr>
          <w:rFonts w:ascii="宋体" w:hAnsi="宋体" w:cs="宋体"/>
          <w:kern w:val="0"/>
          <w:szCs w:val="21"/>
        </w:rPr>
        <w:t>)</w:t>
      </w:r>
      <w:r>
        <w:rPr>
          <w:rFonts w:ascii="宋体" w:hAnsi="宋体" w:cs="宋体"/>
          <w:kern w:val="0"/>
          <w:szCs w:val="21"/>
        </w:rPr>
        <w:t>、混合型基金等权益类资产的比例合计占基金资产的</w:t>
      </w:r>
      <w:r>
        <w:rPr>
          <w:rFonts w:ascii="宋体" w:hAnsi="宋体" w:cs="宋体"/>
          <w:kern w:val="0"/>
          <w:szCs w:val="21"/>
        </w:rPr>
        <w:t>0%-50%</w:t>
      </w:r>
      <w:r>
        <w:rPr>
          <w:rFonts w:ascii="宋体" w:hAnsi="宋体" w:cs="宋体"/>
          <w:kern w:val="0"/>
          <w:szCs w:val="21"/>
        </w:rPr>
        <w:t>；投资于港股通标的股票不超过股票资产的</w:t>
      </w:r>
      <w:r>
        <w:rPr>
          <w:rFonts w:ascii="宋体" w:hAnsi="宋体" w:cs="宋体"/>
          <w:kern w:val="0"/>
          <w:szCs w:val="21"/>
        </w:rPr>
        <w:t>50%</w:t>
      </w:r>
      <w:r>
        <w:rPr>
          <w:rFonts w:ascii="宋体" w:hAnsi="宋体" w:cs="宋体"/>
          <w:kern w:val="0"/>
          <w:szCs w:val="21"/>
        </w:rPr>
        <w:t>；投资</w:t>
      </w:r>
      <w:r>
        <w:rPr>
          <w:rFonts w:ascii="宋体" w:hAnsi="宋体" w:cs="宋体"/>
          <w:kern w:val="0"/>
          <w:szCs w:val="21"/>
        </w:rPr>
        <w:t>于货币市场基金的比例不得超过基金资产的</w:t>
      </w:r>
      <w:r>
        <w:rPr>
          <w:rFonts w:ascii="宋体" w:hAnsi="宋体" w:cs="宋体"/>
          <w:kern w:val="0"/>
          <w:szCs w:val="21"/>
        </w:rPr>
        <w:t>15%</w:t>
      </w:r>
      <w:r>
        <w:rPr>
          <w:rFonts w:ascii="宋体" w:hAnsi="宋体" w:cs="宋体"/>
          <w:kern w:val="0"/>
          <w:szCs w:val="21"/>
        </w:rPr>
        <w:t>；投资于</w:t>
      </w:r>
      <w:r>
        <w:rPr>
          <w:rFonts w:ascii="宋体" w:hAnsi="宋体" w:cs="宋体"/>
          <w:kern w:val="0"/>
          <w:szCs w:val="21"/>
        </w:rPr>
        <w:t>QDII</w:t>
      </w:r>
      <w:r>
        <w:rPr>
          <w:rFonts w:ascii="宋体" w:hAnsi="宋体" w:cs="宋体"/>
          <w:kern w:val="0"/>
          <w:szCs w:val="21"/>
        </w:rPr>
        <w:t>、香港互认基金的比例合计不得超过基金资产的</w:t>
      </w:r>
      <w:r>
        <w:rPr>
          <w:rFonts w:ascii="宋体" w:hAnsi="宋体" w:cs="宋体"/>
          <w:kern w:val="0"/>
          <w:szCs w:val="21"/>
        </w:rPr>
        <w:t>20%</w:t>
      </w:r>
      <w:r>
        <w:rPr>
          <w:rFonts w:ascii="宋体" w:hAnsi="宋体" w:cs="宋体"/>
          <w:kern w:val="0"/>
          <w:szCs w:val="21"/>
        </w:rPr>
        <w:t>。本基金持有现金或到期日在一年以内的政府债券的投资比例合计不低于基金资产净值的</w:t>
      </w:r>
      <w:r>
        <w:rPr>
          <w:rFonts w:ascii="宋体" w:hAnsi="宋体" w:cs="宋体"/>
          <w:kern w:val="0"/>
          <w:szCs w:val="21"/>
        </w:rPr>
        <w:t>5%</w:t>
      </w:r>
      <w:r>
        <w:rPr>
          <w:rFonts w:ascii="宋体" w:hAnsi="宋体" w:cs="宋体"/>
          <w:kern w:val="0"/>
          <w:szCs w:val="21"/>
        </w:rPr>
        <w:t>，其中，现金不包括结算备付金、存出保证金、应收申购款等。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计入上述权益类资产的混合型基金需符合下列两个条件之一：</w:t>
      </w:r>
      <w:r>
        <w:rPr>
          <w:rFonts w:ascii="宋体" w:hAnsi="宋体" w:cs="宋体"/>
          <w:kern w:val="0"/>
          <w:szCs w:val="21"/>
        </w:rPr>
        <w:t>1</w:t>
      </w:r>
      <w:r>
        <w:rPr>
          <w:rFonts w:ascii="宋体" w:hAnsi="宋体" w:cs="宋体"/>
          <w:kern w:val="0"/>
          <w:szCs w:val="21"/>
        </w:rPr>
        <w:t>、基金合同约定股票资产投资比例不低于基金资产</w:t>
      </w:r>
      <w:r>
        <w:rPr>
          <w:rFonts w:ascii="宋体" w:hAnsi="宋体" w:cs="宋体"/>
          <w:kern w:val="0"/>
          <w:szCs w:val="21"/>
        </w:rPr>
        <w:t>60%</w:t>
      </w:r>
      <w:r>
        <w:rPr>
          <w:rFonts w:ascii="宋体" w:hAnsi="宋体" w:cs="宋体"/>
          <w:kern w:val="0"/>
          <w:szCs w:val="21"/>
        </w:rPr>
        <w:t>的混合型基金；</w:t>
      </w:r>
      <w:r>
        <w:rPr>
          <w:rFonts w:ascii="宋体" w:hAnsi="宋体" w:cs="宋体"/>
          <w:kern w:val="0"/>
          <w:szCs w:val="21"/>
        </w:rPr>
        <w:t>2</w:t>
      </w:r>
      <w:r>
        <w:rPr>
          <w:rFonts w:ascii="宋体" w:hAnsi="宋体" w:cs="宋体"/>
          <w:kern w:val="0"/>
          <w:szCs w:val="21"/>
        </w:rPr>
        <w:t>、根据基金披露的定期报告，最近四个季度中任一季度股票资产占基金资产比例均不低于</w:t>
      </w:r>
      <w:r>
        <w:rPr>
          <w:rFonts w:ascii="宋体" w:hAnsi="宋体" w:cs="宋体"/>
          <w:kern w:val="0"/>
          <w:szCs w:val="21"/>
        </w:rPr>
        <w:t>60%</w:t>
      </w:r>
      <w:r>
        <w:rPr>
          <w:rFonts w:ascii="宋体" w:hAnsi="宋体" w:cs="宋体"/>
          <w:kern w:val="0"/>
          <w:szCs w:val="21"/>
        </w:rPr>
        <w:t>的混合型基金。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如法律法规或监管机构变更投资品种的投资比例</w:t>
      </w:r>
      <w:r>
        <w:rPr>
          <w:rFonts w:ascii="宋体" w:hAnsi="宋体" w:cs="宋体"/>
          <w:kern w:val="0"/>
          <w:szCs w:val="21"/>
        </w:rPr>
        <w:t>限制，基金管理人在履行适当程序后，可以调整上述投资品种的投资比例。</w:t>
      </w:r>
    </w:p>
    <w:p w:rsidR="00796C66" w:rsidRDefault="00FB6202">
      <w:pPr>
        <w:pStyle w:val="div"/>
        <w:spacing w:line="360" w:lineRule="auto"/>
        <w:ind w:firstLine="425"/>
        <w:rPr>
          <w:rFonts w:eastAsia="Times New Roman"/>
          <w:kern w:val="0"/>
          <w:szCs w:val="21"/>
        </w:rPr>
      </w:pPr>
      <w:r>
        <w:rPr>
          <w:rFonts w:ascii="宋体" w:hAnsi="宋体" w:cs="宋体"/>
          <w:kern w:val="0"/>
          <w:szCs w:val="21"/>
        </w:rPr>
        <w:t>（三）投资策略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本基金的主要投资策略包括大类资产配置策略和基金投资策略。</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、大类资产配置策略</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将通过定性分析和定量分析相结合的方式对未来市场环境进行预测和判断，根据各类资产（或策略）的风险收益特征，形成资产配置方案。同时，综合分析对经济增长、市场流动性、宏观政策等方面因素对各类资产的影响，对各类资产进行动态优化调整，在力争实现收益风险目标的前提下，进一步提升投资组合的整体性价比。</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2</w:t>
      </w:r>
      <w:r>
        <w:rPr>
          <w:rFonts w:ascii="宋体" w:hAnsi="宋体" w:cs="宋体"/>
          <w:kern w:val="0"/>
          <w:szCs w:val="21"/>
        </w:rPr>
        <w:t>、基金投资策略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本基金采用定量与定性分析相结合</w:t>
      </w:r>
      <w:r>
        <w:rPr>
          <w:rFonts w:ascii="宋体" w:hAnsi="宋体" w:cs="宋体"/>
          <w:kern w:val="0"/>
          <w:szCs w:val="21"/>
        </w:rPr>
        <w:t>的方法优选基金。首先，根据事先设定的定量指标，分析所有适选基金在不同市场下的历史业绩表现，形成备选基金的初选评价结果，构建初选基金池。随后，在初选基金池中，针对各基金类型，分别采用不同的基金优选策略和基金调研，构建核心基金池。</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）初选基金池构建</w:t>
      </w:r>
    </w:p>
    <w:p w:rsidR="00796C66" w:rsidRDefault="00FB6202">
      <w:pPr>
        <w:pStyle w:val="div"/>
        <w:spacing w:line="360" w:lineRule="auto"/>
        <w:ind w:firstLine="480"/>
        <w:rPr>
          <w:rFonts w:eastAsia="Times New Roman"/>
          <w:kern w:val="0"/>
          <w:szCs w:val="21"/>
        </w:rPr>
      </w:pPr>
      <w:r>
        <w:rPr>
          <w:rFonts w:ascii="宋体" w:hAnsi="宋体" w:cs="宋体"/>
          <w:kern w:val="0"/>
          <w:szCs w:val="21"/>
        </w:rPr>
        <w:t>运用量化方法，对全市场基金进行分类打分排序，剔除每个指标下表现较为落后的基金，形成备选基金的初选评价结果，构建初选基金池，具体量化指标如下：</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）简单收益指标：净值增长率、超额收益；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）风险调整后收益指标：夏普比率、卡玛比率、索丁诺比率、信息比率；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）风险指</w:t>
      </w:r>
      <w:r>
        <w:rPr>
          <w:rFonts w:ascii="宋体" w:hAnsi="宋体" w:cs="宋体"/>
          <w:kern w:val="0"/>
          <w:szCs w:val="21"/>
        </w:rPr>
        <w:t>标：收益标准差、收益下半方差、最大回撤；</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）规模指标：净资产规模；</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）费用指标：综合管理费率。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）核心基金池构建</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在初选基金池中，针对各基金类型，分别采用不同的基金优选策略，构建核心基金池：</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）权益类基金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权益类基金细分为主动管理型基金及指数型基金（包含指数增强型基金）。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①</w:t>
      </w:r>
      <w:r>
        <w:rPr>
          <w:rFonts w:ascii="宋体" w:hAnsi="宋体" w:cs="宋体"/>
          <w:kern w:val="0"/>
          <w:szCs w:val="21"/>
        </w:rPr>
        <w:t>主动管理型基金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对于主动管理型基金，本基金主要采用风格归因及基金经理属性库构建策略：对进入业绩初选池的基金，采取基于业绩归因判断每只基金业绩的驱动因子，分析基金风格特征及其稳定性，将选股能力持续超越同风格基准、具备稳定</w:t>
      </w:r>
      <w:r>
        <w:rPr>
          <w:rFonts w:ascii="宋体" w:hAnsi="宋体" w:cs="宋体"/>
          <w:kern w:val="0"/>
          <w:szCs w:val="21"/>
        </w:rPr>
        <w:t>alpha</w:t>
      </w:r>
      <w:r>
        <w:rPr>
          <w:rFonts w:ascii="宋体" w:hAnsi="宋体" w:cs="宋体"/>
          <w:kern w:val="0"/>
          <w:szCs w:val="21"/>
        </w:rPr>
        <w:t>收益的基金在结合定性分析后纳入核心基金池。</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本基金将采用量化筛选及定性调研验证的方式，将全市场的基金经理划分到不同的风格属性库中。具体使用以下分析方式：</w:t>
      </w:r>
    </w:p>
    <w:p w:rsidR="00796C66" w:rsidRDefault="00FB6202">
      <w:pPr>
        <w:pStyle w:val="div"/>
        <w:spacing w:line="360" w:lineRule="auto"/>
        <w:ind w:firstLine="426"/>
        <w:rPr>
          <w:rFonts w:eastAsia="Times New Roman"/>
          <w:kern w:val="0"/>
          <w:szCs w:val="21"/>
        </w:rPr>
      </w:pPr>
      <w:r>
        <w:rPr>
          <w:rFonts w:ascii="Wingdings" w:eastAsia="Wingdings" w:hAnsi="Wingdings" w:cs="Wingdings"/>
          <w:kern w:val="0"/>
          <w:szCs w:val="21"/>
        </w:rPr>
        <w:sym w:font="Wingdings" w:char="F0D8"/>
      </w:r>
      <w:r>
        <w:rPr>
          <w:rFonts w:ascii="宋体" w:hAnsi="宋体" w:cs="宋体"/>
          <w:kern w:val="0"/>
          <w:szCs w:val="21"/>
        </w:rPr>
        <w:t>RBSA</w:t>
      </w:r>
      <w:r>
        <w:rPr>
          <w:rFonts w:ascii="宋体" w:hAnsi="宋体" w:cs="宋体"/>
          <w:kern w:val="0"/>
          <w:szCs w:val="21"/>
        </w:rPr>
        <w:t>分析（基于业绩的风格分析）</w:t>
      </w:r>
    </w:p>
    <w:p w:rsidR="00796C66" w:rsidRDefault="00FB6202">
      <w:pPr>
        <w:pStyle w:val="div"/>
        <w:spacing w:line="360" w:lineRule="auto"/>
        <w:ind w:firstLine="425"/>
        <w:rPr>
          <w:rFonts w:eastAsia="Times New Roman"/>
          <w:kern w:val="0"/>
          <w:szCs w:val="21"/>
        </w:rPr>
      </w:pPr>
      <w:r>
        <w:rPr>
          <w:rFonts w:ascii="宋体" w:hAnsi="宋体" w:cs="宋体"/>
          <w:kern w:val="0"/>
          <w:szCs w:val="21"/>
        </w:rPr>
        <w:t>本基金采</w:t>
      </w:r>
      <w:r>
        <w:rPr>
          <w:rFonts w:ascii="宋体" w:hAnsi="宋体" w:cs="宋体"/>
          <w:kern w:val="0"/>
          <w:szCs w:val="21"/>
        </w:rPr>
        <w:t>RBSA</w:t>
      </w:r>
      <w:r>
        <w:rPr>
          <w:rFonts w:ascii="宋体" w:hAnsi="宋体" w:cs="宋体"/>
          <w:kern w:val="0"/>
          <w:szCs w:val="21"/>
        </w:rPr>
        <w:t>分析方法，主要通过哑变量回归的方式，来进行基金经理风格的</w:t>
      </w:r>
      <w:r>
        <w:rPr>
          <w:rFonts w:ascii="宋体" w:hAnsi="宋体" w:cs="宋体"/>
          <w:kern w:val="0"/>
          <w:szCs w:val="21"/>
        </w:rPr>
        <w:t>RBSA</w:t>
      </w:r>
      <w:r>
        <w:rPr>
          <w:rFonts w:ascii="宋体" w:hAnsi="宋体" w:cs="宋体"/>
          <w:kern w:val="0"/>
          <w:szCs w:val="21"/>
        </w:rPr>
        <w:t>分析，即从业绩的角度分析确定</w:t>
      </w:r>
      <w:r>
        <w:rPr>
          <w:rFonts w:ascii="宋体" w:hAnsi="宋体" w:cs="宋体"/>
          <w:kern w:val="0"/>
          <w:szCs w:val="21"/>
        </w:rPr>
        <w:t>基金经理擅长的风格。</w:t>
      </w:r>
    </w:p>
    <w:p w:rsidR="00796C66" w:rsidRDefault="00FB6202">
      <w:pPr>
        <w:pStyle w:val="div"/>
        <w:spacing w:line="360" w:lineRule="auto"/>
        <w:ind w:firstLine="420"/>
        <w:rPr>
          <w:rFonts w:eastAsia="Times New Roman"/>
          <w:kern w:val="0"/>
          <w:szCs w:val="21"/>
        </w:rPr>
      </w:pPr>
      <w:r>
        <w:rPr>
          <w:rFonts w:ascii="Wingdings" w:eastAsia="Wingdings" w:hAnsi="Wingdings" w:cs="Wingdings"/>
          <w:kern w:val="0"/>
          <w:szCs w:val="21"/>
        </w:rPr>
        <w:sym w:font="Wingdings" w:char="F0D8"/>
      </w:r>
      <w:r>
        <w:rPr>
          <w:rFonts w:ascii="宋体" w:hAnsi="宋体" w:cs="宋体"/>
          <w:kern w:val="0"/>
          <w:szCs w:val="21"/>
        </w:rPr>
        <w:t>PBSA</w:t>
      </w:r>
      <w:r>
        <w:rPr>
          <w:rFonts w:ascii="宋体" w:hAnsi="宋体" w:cs="宋体"/>
          <w:kern w:val="0"/>
          <w:szCs w:val="21"/>
        </w:rPr>
        <w:t>分析（基于持仓的风格分析）</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本基金采用</w:t>
      </w:r>
      <w:r>
        <w:rPr>
          <w:rFonts w:ascii="宋体" w:hAnsi="宋体" w:cs="宋体"/>
          <w:kern w:val="0"/>
          <w:szCs w:val="21"/>
        </w:rPr>
        <w:t>PBSA</w:t>
      </w:r>
      <w:r>
        <w:rPr>
          <w:rFonts w:ascii="宋体" w:hAnsi="宋体" w:cs="宋体"/>
          <w:kern w:val="0"/>
          <w:szCs w:val="21"/>
        </w:rPr>
        <w:t>分析方法，从实际持仓的角度，考察基金经理是否确实持有该类风格的个券，可以对</w:t>
      </w:r>
      <w:r>
        <w:rPr>
          <w:rFonts w:ascii="宋体" w:hAnsi="宋体" w:cs="宋体"/>
          <w:kern w:val="0"/>
          <w:szCs w:val="21"/>
        </w:rPr>
        <w:t>RBSA</w:t>
      </w:r>
      <w:r>
        <w:rPr>
          <w:rFonts w:ascii="宋体" w:hAnsi="宋体" w:cs="宋体"/>
          <w:kern w:val="0"/>
          <w:szCs w:val="21"/>
        </w:rPr>
        <w:t>结果起到验证作用。当</w:t>
      </w:r>
      <w:r>
        <w:rPr>
          <w:rFonts w:ascii="宋体" w:hAnsi="宋体" w:cs="宋体"/>
          <w:kern w:val="0"/>
          <w:szCs w:val="21"/>
        </w:rPr>
        <w:t>PBSA</w:t>
      </w:r>
      <w:r>
        <w:rPr>
          <w:rFonts w:ascii="宋体" w:hAnsi="宋体" w:cs="宋体"/>
          <w:kern w:val="0"/>
          <w:szCs w:val="21"/>
        </w:rPr>
        <w:t>结果与</w:t>
      </w:r>
      <w:r>
        <w:rPr>
          <w:rFonts w:ascii="宋体" w:hAnsi="宋体" w:cs="宋体"/>
          <w:kern w:val="0"/>
          <w:szCs w:val="21"/>
        </w:rPr>
        <w:t>RBSA</w:t>
      </w:r>
      <w:r>
        <w:rPr>
          <w:rFonts w:ascii="宋体" w:hAnsi="宋体" w:cs="宋体"/>
          <w:kern w:val="0"/>
          <w:szCs w:val="21"/>
        </w:rPr>
        <w:t>一致时，本基金可从量化分析的角度确定基金经理擅长的市场风格。</w:t>
      </w:r>
    </w:p>
    <w:p w:rsidR="00796C66" w:rsidRDefault="00FB6202">
      <w:pPr>
        <w:pStyle w:val="div"/>
        <w:spacing w:line="360" w:lineRule="auto"/>
        <w:ind w:firstLine="420"/>
        <w:rPr>
          <w:rFonts w:eastAsia="Times New Roman"/>
          <w:kern w:val="0"/>
          <w:szCs w:val="21"/>
        </w:rPr>
      </w:pPr>
      <w:r>
        <w:rPr>
          <w:rFonts w:ascii="Wingdings" w:eastAsia="Wingdings" w:hAnsi="Wingdings" w:cs="Wingdings"/>
          <w:kern w:val="0"/>
          <w:szCs w:val="21"/>
        </w:rPr>
        <w:sym w:font="Wingdings" w:char="F0D8"/>
      </w:r>
      <w:r>
        <w:rPr>
          <w:rFonts w:ascii="宋体" w:hAnsi="宋体" w:cs="宋体"/>
          <w:kern w:val="0"/>
          <w:szCs w:val="21"/>
        </w:rPr>
        <w:t>实地调研</w:t>
      </w:r>
    </w:p>
    <w:p w:rsidR="00796C66" w:rsidRDefault="00FB6202">
      <w:pPr>
        <w:pStyle w:val="div"/>
        <w:spacing w:line="360" w:lineRule="auto"/>
        <w:ind w:firstLine="425"/>
        <w:rPr>
          <w:rFonts w:eastAsia="Times New Roman"/>
          <w:kern w:val="0"/>
          <w:szCs w:val="21"/>
        </w:rPr>
      </w:pPr>
      <w:r>
        <w:rPr>
          <w:rFonts w:ascii="宋体" w:hAnsi="宋体" w:cs="宋体"/>
          <w:kern w:val="0"/>
          <w:szCs w:val="21"/>
        </w:rPr>
        <w:t>基金管理人将建立一套证券投资基金基金经理风格属性库，通过大量的实地调研将基金经理进行具体风格属性划分，包括择时型、风格型等。</w:t>
      </w:r>
    </w:p>
    <w:p w:rsidR="00796C66" w:rsidRDefault="00FB6202">
      <w:pPr>
        <w:pStyle w:val="div"/>
        <w:spacing w:line="360" w:lineRule="auto"/>
        <w:ind w:firstLine="566"/>
        <w:rPr>
          <w:rFonts w:eastAsia="Times New Roman"/>
          <w:kern w:val="0"/>
          <w:szCs w:val="21"/>
        </w:rPr>
      </w:pPr>
      <w:r>
        <w:rPr>
          <w:rFonts w:ascii="宋体" w:hAnsi="宋体" w:cs="宋体"/>
          <w:kern w:val="0"/>
          <w:szCs w:val="21"/>
        </w:rPr>
        <w:lastRenderedPageBreak/>
        <w:t>②</w:t>
      </w:r>
      <w:r>
        <w:rPr>
          <w:rFonts w:ascii="宋体" w:hAnsi="宋体" w:cs="宋体"/>
          <w:kern w:val="0"/>
          <w:szCs w:val="21"/>
        </w:rPr>
        <w:t>指数型基金</w:t>
      </w:r>
    </w:p>
    <w:p w:rsidR="00796C66" w:rsidRDefault="00FB6202">
      <w:pPr>
        <w:pStyle w:val="div"/>
        <w:spacing w:line="360" w:lineRule="auto"/>
        <w:ind w:firstLine="600"/>
        <w:rPr>
          <w:rFonts w:eastAsia="Times New Roman"/>
          <w:kern w:val="0"/>
          <w:szCs w:val="21"/>
        </w:rPr>
      </w:pPr>
      <w:r>
        <w:rPr>
          <w:rFonts w:ascii="宋体" w:hAnsi="宋体" w:cs="宋体"/>
          <w:kern w:val="0"/>
          <w:szCs w:val="21"/>
        </w:rPr>
        <w:t>指数型基金的基金池构建主要包含三个层次：</w:t>
      </w:r>
    </w:p>
    <w:p w:rsidR="00796C66" w:rsidRDefault="00FB6202">
      <w:pPr>
        <w:pStyle w:val="div"/>
        <w:spacing w:line="360" w:lineRule="auto"/>
        <w:ind w:firstLine="425"/>
        <w:rPr>
          <w:rFonts w:eastAsia="Times New Roman"/>
          <w:kern w:val="0"/>
          <w:szCs w:val="21"/>
        </w:rPr>
      </w:pPr>
      <w:r>
        <w:rPr>
          <w:rFonts w:ascii="Wingdings" w:eastAsia="Wingdings" w:hAnsi="Wingdings" w:cs="Wingdings"/>
          <w:kern w:val="0"/>
          <w:szCs w:val="21"/>
        </w:rPr>
        <w:sym w:font="Wingdings" w:char="F0D8"/>
      </w:r>
      <w:r>
        <w:rPr>
          <w:rFonts w:ascii="宋体" w:hAnsi="宋体" w:cs="宋体"/>
          <w:kern w:val="0"/>
          <w:szCs w:val="21"/>
        </w:rPr>
        <w:t>规模筛选。本基金将满足法律法规以及平均规模满足流动性</w:t>
      </w:r>
      <w:r>
        <w:rPr>
          <w:rFonts w:ascii="宋体" w:hAnsi="宋体" w:cs="宋体"/>
          <w:kern w:val="0"/>
          <w:szCs w:val="21"/>
        </w:rPr>
        <w:t>要求的指数型基金纳入初选基金池。</w:t>
      </w:r>
    </w:p>
    <w:p w:rsidR="00796C66" w:rsidRDefault="00FB6202">
      <w:pPr>
        <w:pStyle w:val="div"/>
        <w:spacing w:line="360" w:lineRule="auto"/>
        <w:ind w:firstLine="425"/>
        <w:rPr>
          <w:rFonts w:eastAsia="Times New Roman"/>
          <w:kern w:val="0"/>
          <w:szCs w:val="21"/>
        </w:rPr>
      </w:pPr>
      <w:r>
        <w:rPr>
          <w:rFonts w:ascii="Wingdings" w:eastAsia="Wingdings" w:hAnsi="Wingdings" w:cs="Wingdings"/>
          <w:kern w:val="0"/>
          <w:szCs w:val="21"/>
        </w:rPr>
        <w:sym w:font="Wingdings" w:char="F0D8"/>
      </w:r>
      <w:r>
        <w:rPr>
          <w:rFonts w:ascii="宋体" w:hAnsi="宋体" w:cs="宋体"/>
          <w:kern w:val="0"/>
          <w:szCs w:val="21"/>
        </w:rPr>
        <w:t>细分归类。根据指数型基金跟踪标的样本具体分布特征，在行业、主题、风格等方面进行细分归类。</w:t>
      </w:r>
    </w:p>
    <w:p w:rsidR="00796C66" w:rsidRDefault="00FB6202">
      <w:pPr>
        <w:pStyle w:val="div"/>
        <w:spacing w:line="360" w:lineRule="auto"/>
        <w:ind w:firstLine="425"/>
        <w:rPr>
          <w:rFonts w:eastAsia="Times New Roman"/>
          <w:kern w:val="0"/>
          <w:szCs w:val="21"/>
        </w:rPr>
      </w:pPr>
      <w:r>
        <w:rPr>
          <w:rFonts w:ascii="Wingdings" w:eastAsia="Wingdings" w:hAnsi="Wingdings" w:cs="Wingdings"/>
          <w:kern w:val="0"/>
          <w:szCs w:val="21"/>
        </w:rPr>
        <w:sym w:font="Wingdings" w:char="F0D8"/>
      </w:r>
      <w:r>
        <w:rPr>
          <w:rFonts w:ascii="宋体" w:hAnsi="宋体" w:cs="宋体"/>
          <w:kern w:val="0"/>
          <w:szCs w:val="21"/>
        </w:rPr>
        <w:t>在上述每一细分类别中，考察跟踪误差及超额收益等指标；将风格特点鲜明、跟踪误差小、信息比率高的指数型基金纳入核心基金池。</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）固定收益类基金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对于固收类基金同样进行定量及定性筛选。首先对进入业绩初选池的固定收益类基金进行业绩筛选，重点考察风险调整后收益及业绩稳定性。其次，根据其配置风格、超额收益来源，将固定收益类基金分为利率债、信用债、转债或权益增强等类型。最后，分析投资能力的</w:t>
      </w:r>
      <w:r>
        <w:rPr>
          <w:rFonts w:ascii="宋体" w:hAnsi="宋体" w:cs="宋体"/>
          <w:kern w:val="0"/>
          <w:szCs w:val="21"/>
        </w:rPr>
        <w:t>稳定性，对基金进行基金经理调研和基金公司调研，重点考察基金公司固定收益投资理念、固定收益团队的整体实力；经过定性调研修正后建立核心基金池。</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）货币市场类基金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货币市场类基金主要承担现金管理职能。本基金对货币市场类基金主要考察其基金规模、流动性、收益稳定性。综合筛选排名靠前的货币市场基金作为基金配置备选。</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）其他类基金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其他类基金主要包括跟踪商品价格或价格指数表现的商品期货基金以及证监会依法核准或注册的其他类型基金。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商品期货基金的基金池构建包含两个层次：</w:t>
      </w:r>
    </w:p>
    <w:p w:rsidR="00796C66" w:rsidRDefault="00FB6202">
      <w:pPr>
        <w:pStyle w:val="div"/>
        <w:spacing w:line="360" w:lineRule="auto"/>
        <w:ind w:firstLine="480"/>
        <w:rPr>
          <w:rFonts w:eastAsia="Times New Roman"/>
          <w:kern w:val="0"/>
          <w:szCs w:val="21"/>
        </w:rPr>
      </w:pPr>
      <w:r>
        <w:rPr>
          <w:rFonts w:ascii="宋体" w:hAnsi="宋体" w:cs="宋体"/>
          <w:kern w:val="0"/>
          <w:szCs w:val="21"/>
        </w:rPr>
        <w:t>第一、规模筛选。本基金将满足法律法规以及平均规模</w:t>
      </w:r>
      <w:r>
        <w:rPr>
          <w:rFonts w:ascii="宋体" w:hAnsi="宋体" w:cs="宋体"/>
          <w:kern w:val="0"/>
          <w:szCs w:val="21"/>
        </w:rPr>
        <w:t>满足流动性要求的商品期货基金纳入初选基金池。</w:t>
      </w:r>
    </w:p>
    <w:p w:rsidR="00796C66" w:rsidRDefault="00FB6202">
      <w:pPr>
        <w:pStyle w:val="div"/>
        <w:spacing w:line="360" w:lineRule="auto"/>
        <w:ind w:firstLine="480"/>
        <w:rPr>
          <w:rFonts w:eastAsia="Times New Roman"/>
          <w:kern w:val="0"/>
          <w:szCs w:val="21"/>
        </w:rPr>
      </w:pPr>
      <w:r>
        <w:rPr>
          <w:rFonts w:ascii="宋体" w:hAnsi="宋体" w:cs="宋体"/>
          <w:kern w:val="0"/>
          <w:szCs w:val="21"/>
        </w:rPr>
        <w:t>第二、考察商品期货基金的跟踪误差。在跟踪同一标的的基金中，筛选跟踪误差小的商品期货基金纳入核心基金池。</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）基金组合配置策略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本基金将在不同类型基金池的基础上构建基金组合。</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）基于大类资产配置策略，确定权益类、固定收益类、货币市场类以及其他类基金的具体配置比例。</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）在上述配置比例的范围内，挑选符合各类型和风格的子基金进行匹配，利用大类资产配置体系、并结合子基金风格业绩的延续性考量，筛选各类型核心基金池中的基金进行组合构建。</w:t>
      </w:r>
    </w:p>
    <w:p w:rsidR="00796C66" w:rsidRDefault="00FB6202">
      <w:pPr>
        <w:pStyle w:val="div"/>
        <w:spacing w:line="360" w:lineRule="auto"/>
        <w:ind w:firstLine="480"/>
        <w:rPr>
          <w:rFonts w:eastAsia="Times New Roman"/>
          <w:kern w:val="0"/>
          <w:szCs w:val="21"/>
        </w:rPr>
      </w:pPr>
      <w:r>
        <w:rPr>
          <w:rFonts w:ascii="宋体" w:hAnsi="宋体" w:cs="宋体"/>
          <w:kern w:val="0"/>
          <w:szCs w:val="21"/>
        </w:rPr>
        <w:t>综上，本基金将通过定量和定性相结合的方法，长期持续跟踪本基金的组合业绩，并定期对基金组合进行维护，力争实现基金资产的长期稳健增值。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3</w:t>
      </w:r>
      <w:r>
        <w:rPr>
          <w:rFonts w:ascii="宋体" w:hAnsi="宋体" w:cs="宋体"/>
          <w:kern w:val="0"/>
          <w:szCs w:val="21"/>
        </w:rPr>
        <w:t>、股票投资策略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股票投资策略遵循自上而下的投资方法。通过自上而下的宏观和产业分析，当某类细分资产出现配置机会却尚无与之相匹配的基金时，则会通过股票组合进行相关资产的复制配置。同时，考虑到本基金的风险收益特征，股票组合会更多考虑价值型股票的配置。</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本基金将投资港股通标的股票，基于对香港股票市场基本情况以及运行机制的深入分析，根据个股的估值水平优选个股。</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、债券投资策略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本基金在控制系统风险的前提下，采取</w:t>
      </w:r>
      <w:r>
        <w:rPr>
          <w:rFonts w:ascii="宋体" w:hAnsi="宋体" w:cs="宋体"/>
          <w:kern w:val="0"/>
          <w:szCs w:val="21"/>
        </w:rPr>
        <w:t>“</w:t>
      </w:r>
      <w:r>
        <w:rPr>
          <w:rFonts w:ascii="宋体" w:hAnsi="宋体" w:cs="宋体"/>
          <w:kern w:val="0"/>
          <w:szCs w:val="21"/>
        </w:rPr>
        <w:t>自上而下</w:t>
      </w:r>
      <w:r>
        <w:rPr>
          <w:rFonts w:ascii="宋体" w:hAnsi="宋体" w:cs="宋体"/>
          <w:kern w:val="0"/>
          <w:szCs w:val="21"/>
        </w:rPr>
        <w:t>”</w:t>
      </w:r>
      <w:r>
        <w:rPr>
          <w:rFonts w:ascii="宋体" w:hAnsi="宋体" w:cs="宋体"/>
          <w:kern w:val="0"/>
          <w:szCs w:val="21"/>
        </w:rPr>
        <w:t>的策略进行债券投资，获取稳健收益。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采用目标久期管理法作为债券投资的核心策略，并通过宏观经济分析平台把握市场利率水平的运行态势结合收益率曲线变化的预测，采取期限结构配置策略，通过分析和情景测试，确定长、中、短期债券的投资比例。</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、资产支持证券投资策略</w:t>
      </w:r>
    </w:p>
    <w:p w:rsidR="00796C66" w:rsidRDefault="00FB6202">
      <w:pPr>
        <w:pStyle w:val="div"/>
        <w:spacing w:line="360" w:lineRule="auto"/>
        <w:ind w:firstLine="492"/>
        <w:jc w:val="left"/>
        <w:rPr>
          <w:rFonts w:eastAsia="Times New Roman"/>
          <w:kern w:val="0"/>
          <w:szCs w:val="21"/>
        </w:rPr>
      </w:pPr>
      <w:r>
        <w:rPr>
          <w:rFonts w:ascii="宋体" w:hAnsi="宋体" w:cs="宋体"/>
          <w:kern w:val="0"/>
          <w:szCs w:val="21"/>
        </w:rPr>
        <w:t>资产支持证券，定价受多种因素影响，包括市场利率、发行条款、支持资产的构成及质量、提前偿还率、违约率等。本基金将深入分析上述基本面因素评估其内在价值。</w:t>
      </w:r>
    </w:p>
    <w:p w:rsidR="00796C66" w:rsidRDefault="00FB6202">
      <w:pPr>
        <w:pStyle w:val="div"/>
        <w:spacing w:line="360" w:lineRule="auto"/>
        <w:ind w:firstLine="492"/>
        <w:jc w:val="left"/>
        <w:rPr>
          <w:rFonts w:eastAsia="Times New Roman"/>
          <w:kern w:val="0"/>
          <w:szCs w:val="21"/>
        </w:rPr>
      </w:pPr>
      <w:r>
        <w:rPr>
          <w:rFonts w:ascii="宋体" w:hAnsi="宋体" w:cs="宋体"/>
          <w:kern w:val="0"/>
          <w:szCs w:val="21"/>
        </w:rPr>
        <w:t>6</w:t>
      </w:r>
      <w:r>
        <w:rPr>
          <w:rFonts w:ascii="宋体" w:hAnsi="宋体" w:cs="宋体"/>
          <w:kern w:val="0"/>
          <w:szCs w:val="21"/>
        </w:rPr>
        <w:t>、存托凭证投资策略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本基金将根据本基金的投资目标和股票投资策略，基于对基础证券投资价值的深入研究判断，进行存托凭证的投资。</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（四）投资限制</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、组合限制</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基金的投资组合应遵循以下限制：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）本基金将不低于</w:t>
      </w:r>
      <w:r>
        <w:rPr>
          <w:rFonts w:ascii="宋体" w:hAnsi="宋体" w:cs="宋体"/>
          <w:kern w:val="0"/>
          <w:szCs w:val="21"/>
        </w:rPr>
        <w:t>80%</w:t>
      </w:r>
      <w:r>
        <w:rPr>
          <w:rFonts w:ascii="宋体" w:hAnsi="宋体" w:cs="宋体"/>
          <w:kern w:val="0"/>
          <w:szCs w:val="21"/>
        </w:rPr>
        <w:t>的基金资产投资于经中国证监会依法核准或注册的公开募集证券投资基金，其中，投资于货币市场基金的资产占基金资产不超过</w:t>
      </w:r>
      <w:r>
        <w:rPr>
          <w:rFonts w:ascii="宋体" w:hAnsi="宋体" w:cs="宋体"/>
          <w:kern w:val="0"/>
          <w:szCs w:val="21"/>
        </w:rPr>
        <w:t>15%</w:t>
      </w:r>
      <w:r>
        <w:rPr>
          <w:rFonts w:ascii="宋体" w:hAnsi="宋体" w:cs="宋体"/>
          <w:kern w:val="0"/>
          <w:szCs w:val="21"/>
        </w:rPr>
        <w:t>；投资于</w:t>
      </w:r>
      <w:r>
        <w:rPr>
          <w:rFonts w:ascii="宋体" w:hAnsi="宋体" w:cs="宋体"/>
          <w:kern w:val="0"/>
          <w:szCs w:val="21"/>
        </w:rPr>
        <w:t>QDII</w:t>
      </w:r>
      <w:r>
        <w:rPr>
          <w:rFonts w:ascii="宋体" w:hAnsi="宋体" w:cs="宋体"/>
          <w:kern w:val="0"/>
          <w:szCs w:val="21"/>
        </w:rPr>
        <w:t>、香港互认基金的比例合计不得超过基金资产的</w:t>
      </w:r>
      <w:r>
        <w:rPr>
          <w:rFonts w:ascii="宋体" w:hAnsi="宋体" w:cs="宋体"/>
          <w:kern w:val="0"/>
          <w:szCs w:val="21"/>
        </w:rPr>
        <w:t>20%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）本基金投资于股票、存托凭证、股票型基金</w:t>
      </w:r>
      <w:r>
        <w:rPr>
          <w:rFonts w:ascii="宋体" w:hAnsi="宋体" w:cs="宋体"/>
          <w:kern w:val="0"/>
          <w:szCs w:val="21"/>
        </w:rPr>
        <w:t>(</w:t>
      </w:r>
      <w:r>
        <w:rPr>
          <w:rFonts w:ascii="宋体" w:hAnsi="宋体" w:cs="宋体"/>
          <w:kern w:val="0"/>
          <w:szCs w:val="21"/>
        </w:rPr>
        <w:t>包括股票指数基金</w:t>
      </w:r>
      <w:r>
        <w:rPr>
          <w:rFonts w:ascii="宋体" w:hAnsi="宋体" w:cs="宋体"/>
          <w:kern w:val="0"/>
          <w:szCs w:val="21"/>
        </w:rPr>
        <w:t>)</w:t>
      </w:r>
      <w:r>
        <w:rPr>
          <w:rFonts w:ascii="宋体" w:hAnsi="宋体" w:cs="宋体"/>
          <w:kern w:val="0"/>
          <w:szCs w:val="21"/>
        </w:rPr>
        <w:t>、混合型基金等权益类资产的比例合计占基金资产的</w:t>
      </w:r>
      <w:r>
        <w:rPr>
          <w:rFonts w:ascii="宋体" w:hAnsi="宋体" w:cs="宋体"/>
          <w:kern w:val="0"/>
          <w:szCs w:val="21"/>
        </w:rPr>
        <w:t>0%-50%</w:t>
      </w:r>
      <w:r>
        <w:rPr>
          <w:rFonts w:ascii="宋体" w:hAnsi="宋体" w:cs="宋体"/>
          <w:kern w:val="0"/>
          <w:szCs w:val="21"/>
        </w:rPr>
        <w:t>；投资于港股</w:t>
      </w:r>
      <w:r>
        <w:rPr>
          <w:rFonts w:ascii="宋体" w:hAnsi="宋体" w:cs="宋体"/>
          <w:kern w:val="0"/>
          <w:szCs w:val="21"/>
        </w:rPr>
        <w:t>通标的股票不超过股票资产的</w:t>
      </w:r>
      <w:r>
        <w:rPr>
          <w:rFonts w:ascii="宋体" w:hAnsi="宋体" w:cs="宋体"/>
          <w:kern w:val="0"/>
          <w:szCs w:val="21"/>
        </w:rPr>
        <w:t>50%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）本基金持有单只基金的市值，不高于本基金资产净值的</w:t>
      </w:r>
      <w:r>
        <w:rPr>
          <w:rFonts w:ascii="宋体" w:hAnsi="宋体" w:cs="宋体"/>
          <w:kern w:val="0"/>
          <w:szCs w:val="21"/>
        </w:rPr>
        <w:t>20%</w:t>
      </w:r>
      <w:r>
        <w:rPr>
          <w:rFonts w:ascii="宋体" w:hAnsi="宋体" w:cs="宋体"/>
          <w:kern w:val="0"/>
          <w:szCs w:val="21"/>
        </w:rPr>
        <w:t>，且不得持有其他基金中基金；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）本基金管理人管理的全部基金（</w:t>
      </w:r>
      <w:r>
        <w:rPr>
          <w:rFonts w:ascii="宋体" w:hAnsi="宋体" w:cs="宋体"/>
          <w:kern w:val="0"/>
          <w:szCs w:val="21"/>
        </w:rPr>
        <w:t>ETF</w:t>
      </w:r>
      <w:r>
        <w:rPr>
          <w:rFonts w:ascii="宋体" w:hAnsi="宋体" w:cs="宋体"/>
          <w:kern w:val="0"/>
          <w:szCs w:val="21"/>
        </w:rPr>
        <w:t>联接基金除外）持有一只基金不得超过被投资基金净资产的</w:t>
      </w:r>
      <w:r>
        <w:rPr>
          <w:rFonts w:ascii="宋体" w:hAnsi="宋体" w:cs="宋体"/>
          <w:kern w:val="0"/>
          <w:szCs w:val="21"/>
        </w:rPr>
        <w:t>20%</w:t>
      </w:r>
      <w:r>
        <w:rPr>
          <w:rFonts w:ascii="宋体" w:hAnsi="宋体" w:cs="宋体"/>
          <w:kern w:val="0"/>
          <w:szCs w:val="21"/>
        </w:rPr>
        <w:t>，被投资基金净资产规模以最近定期报告披露的规模为准；</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）本基金不得持有具有复杂、衍生品性质的基金份额，包括分级基金和中国证监会认定的其他基金份额；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w:t>
      </w:r>
      <w:r>
        <w:rPr>
          <w:rFonts w:ascii="宋体" w:hAnsi="宋体" w:cs="宋体"/>
          <w:kern w:val="0"/>
          <w:szCs w:val="21"/>
        </w:rPr>
        <w:t>6</w:t>
      </w:r>
      <w:r>
        <w:rPr>
          <w:rFonts w:ascii="宋体" w:hAnsi="宋体" w:cs="宋体"/>
          <w:kern w:val="0"/>
          <w:szCs w:val="21"/>
        </w:rPr>
        <w:t>）本基金投资其他基金，被投资基金的运作期限应当不少于</w:t>
      </w:r>
      <w:r>
        <w:rPr>
          <w:rFonts w:ascii="宋体" w:hAnsi="宋体" w:cs="宋体"/>
          <w:kern w:val="0"/>
          <w:szCs w:val="21"/>
        </w:rPr>
        <w:t>1</w:t>
      </w:r>
      <w:r>
        <w:rPr>
          <w:rFonts w:ascii="宋体" w:hAnsi="宋体" w:cs="宋体"/>
          <w:kern w:val="0"/>
          <w:szCs w:val="21"/>
        </w:rPr>
        <w:t>年、最近定期报告披露的基金净资产应当不低于</w:t>
      </w:r>
      <w:r>
        <w:rPr>
          <w:rFonts w:ascii="宋体" w:hAnsi="宋体" w:cs="宋体"/>
          <w:kern w:val="0"/>
          <w:szCs w:val="21"/>
        </w:rPr>
        <w:t>1</w:t>
      </w:r>
      <w:r>
        <w:rPr>
          <w:rFonts w:ascii="宋体" w:hAnsi="宋体" w:cs="宋体"/>
          <w:kern w:val="0"/>
          <w:szCs w:val="21"/>
        </w:rPr>
        <w:t>亿元；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）本基金投资于封闭运作</w:t>
      </w:r>
      <w:r>
        <w:rPr>
          <w:rFonts w:ascii="宋体" w:hAnsi="宋体" w:cs="宋体"/>
          <w:kern w:val="0"/>
          <w:szCs w:val="21"/>
        </w:rPr>
        <w:t>基金、定期开放基金等流通受限基金的比例合计不得超过基金资产净值的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）保持不低于基金资产净值</w:t>
      </w:r>
      <w:r>
        <w:rPr>
          <w:rFonts w:ascii="宋体" w:hAnsi="宋体" w:cs="宋体"/>
          <w:kern w:val="0"/>
          <w:szCs w:val="21"/>
        </w:rPr>
        <w:t>5%</w:t>
      </w:r>
      <w:r>
        <w:rPr>
          <w:rFonts w:ascii="宋体" w:hAnsi="宋体" w:cs="宋体"/>
          <w:kern w:val="0"/>
          <w:szCs w:val="21"/>
        </w:rPr>
        <w:t>的现金或者到期日在一年以内的政府债券；其中，现金不包括结算备付金、存出保证金、应收申购款等；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）本基金持有一家公司发行的证券（不含本基金所投资的基金份额，同一家公司在内地和香港同时上市的</w:t>
      </w:r>
      <w:r>
        <w:rPr>
          <w:rFonts w:ascii="宋体" w:hAnsi="宋体" w:cs="宋体"/>
          <w:kern w:val="0"/>
          <w:szCs w:val="21"/>
        </w:rPr>
        <w:t>A+H</w:t>
      </w:r>
      <w:r>
        <w:rPr>
          <w:rFonts w:ascii="宋体" w:hAnsi="宋体" w:cs="宋体"/>
          <w:kern w:val="0"/>
          <w:szCs w:val="21"/>
        </w:rPr>
        <w:t>股合并计算），其市值不超过基金资产净值的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）本基金管理人管理的全部基金持有一家公司发行的证券（不含本基金所投资的基金份额，同一家公司在内地和香港同时上市的</w:t>
      </w:r>
      <w:r>
        <w:rPr>
          <w:rFonts w:ascii="宋体" w:hAnsi="宋体" w:cs="宋体"/>
          <w:kern w:val="0"/>
          <w:szCs w:val="21"/>
        </w:rPr>
        <w:t>A+H</w:t>
      </w:r>
      <w:r>
        <w:rPr>
          <w:rFonts w:ascii="宋体" w:hAnsi="宋体" w:cs="宋体"/>
          <w:kern w:val="0"/>
          <w:szCs w:val="21"/>
        </w:rPr>
        <w:t>股合并计算），不超过该证券的</w:t>
      </w:r>
      <w:r>
        <w:rPr>
          <w:rFonts w:ascii="宋体" w:hAnsi="宋体" w:cs="宋体"/>
          <w:kern w:val="0"/>
          <w:szCs w:val="21"/>
        </w:rPr>
        <w:t>10%</w:t>
      </w:r>
      <w:r>
        <w:rPr>
          <w:rFonts w:ascii="宋体" w:hAnsi="宋体" w:cs="宋体"/>
          <w:kern w:val="0"/>
          <w:szCs w:val="21"/>
        </w:rPr>
        <w:t>；</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11</w:t>
      </w:r>
      <w:r>
        <w:rPr>
          <w:rFonts w:ascii="宋体" w:hAnsi="宋体" w:cs="宋体"/>
          <w:kern w:val="0"/>
          <w:szCs w:val="21"/>
        </w:rPr>
        <w:t>）本基金投资于同一原始权益人的各类资产支持证券的比例，不得超过基金资产净值的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12</w:t>
      </w:r>
      <w:r>
        <w:rPr>
          <w:rFonts w:ascii="宋体" w:hAnsi="宋体" w:cs="宋体"/>
          <w:kern w:val="0"/>
          <w:szCs w:val="21"/>
        </w:rPr>
        <w:t>）本基金持有的全部资产支持证券，其市值不得超过基金资产净值的</w:t>
      </w:r>
      <w:r>
        <w:rPr>
          <w:rFonts w:ascii="宋体" w:hAnsi="宋体" w:cs="宋体"/>
          <w:kern w:val="0"/>
          <w:szCs w:val="21"/>
        </w:rPr>
        <w:t>20%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13</w:t>
      </w:r>
      <w:r>
        <w:rPr>
          <w:rFonts w:ascii="宋体" w:hAnsi="宋体" w:cs="宋体"/>
          <w:kern w:val="0"/>
          <w:szCs w:val="21"/>
        </w:rPr>
        <w:t>）本基金持有的同一（指同一信用级别）资产支持证券的比例，不得超过该资产支持证券规模的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14</w:t>
      </w:r>
      <w:r>
        <w:rPr>
          <w:rFonts w:ascii="宋体" w:hAnsi="宋体" w:cs="宋体"/>
          <w:kern w:val="0"/>
          <w:szCs w:val="21"/>
        </w:rPr>
        <w:t>）本基金管理人管理的全部基金投资于同一原始权益人的各类资产支持证券，不得超</w:t>
      </w:r>
      <w:r>
        <w:rPr>
          <w:rFonts w:ascii="宋体" w:hAnsi="宋体" w:cs="宋体"/>
          <w:kern w:val="0"/>
          <w:szCs w:val="21"/>
        </w:rPr>
        <w:t>过其各类资产支持证券合计规模的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15</w:t>
      </w:r>
      <w:r>
        <w:rPr>
          <w:rFonts w:ascii="宋体" w:hAnsi="宋体" w:cs="宋体"/>
          <w:kern w:val="0"/>
          <w:szCs w:val="21"/>
        </w:rPr>
        <w:t>）本基金应投资于信用级别评级为</w:t>
      </w:r>
      <w:r>
        <w:rPr>
          <w:rFonts w:ascii="宋体" w:hAnsi="宋体" w:cs="宋体"/>
          <w:kern w:val="0"/>
          <w:szCs w:val="21"/>
        </w:rPr>
        <w:t>BBB</w:t>
      </w:r>
      <w:r>
        <w:rPr>
          <w:rFonts w:ascii="宋体" w:hAnsi="宋体" w:cs="宋体"/>
          <w:kern w:val="0"/>
          <w:szCs w:val="21"/>
        </w:rPr>
        <w:t>以上</w:t>
      </w:r>
      <w:r>
        <w:rPr>
          <w:rFonts w:ascii="宋体" w:hAnsi="宋体" w:cs="宋体"/>
          <w:kern w:val="0"/>
          <w:szCs w:val="21"/>
        </w:rPr>
        <w:t>(</w:t>
      </w:r>
      <w:r>
        <w:rPr>
          <w:rFonts w:ascii="宋体" w:hAnsi="宋体" w:cs="宋体"/>
          <w:kern w:val="0"/>
          <w:szCs w:val="21"/>
        </w:rPr>
        <w:t>含</w:t>
      </w:r>
      <w:r>
        <w:rPr>
          <w:rFonts w:ascii="宋体" w:hAnsi="宋体" w:cs="宋体"/>
          <w:kern w:val="0"/>
          <w:szCs w:val="21"/>
        </w:rPr>
        <w:t>BBB)</w:t>
      </w:r>
      <w:r>
        <w:rPr>
          <w:rFonts w:ascii="宋体" w:hAnsi="宋体" w:cs="宋体"/>
          <w:kern w:val="0"/>
          <w:szCs w:val="21"/>
        </w:rPr>
        <w:t>的资产支持证券。基金持有资产支持证券期间，如果其信用等级下降、不再符合投资标准，应在评级报告发布之日起</w:t>
      </w:r>
      <w:r>
        <w:rPr>
          <w:rFonts w:ascii="宋体" w:hAnsi="宋体" w:cs="宋体"/>
          <w:kern w:val="0"/>
          <w:szCs w:val="21"/>
        </w:rPr>
        <w:t>3</w:t>
      </w:r>
      <w:r>
        <w:rPr>
          <w:rFonts w:ascii="宋体" w:hAnsi="宋体" w:cs="宋体"/>
          <w:kern w:val="0"/>
          <w:szCs w:val="21"/>
        </w:rPr>
        <w:t>个月内予以全部卖出；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16</w:t>
      </w:r>
      <w:r>
        <w:rPr>
          <w:rFonts w:ascii="宋体" w:hAnsi="宋体" w:cs="宋体"/>
          <w:kern w:val="0"/>
          <w:szCs w:val="21"/>
        </w:rPr>
        <w:t>）基金财产参与股票发行申购，本基金所申报的金额不超过本基金的总资产，本基金所申报的股票数量不超过拟发行股票公司本次发行股票的总量；</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17</w:t>
      </w:r>
      <w:r>
        <w:rPr>
          <w:rFonts w:ascii="宋体" w:hAnsi="宋体" w:cs="宋体"/>
          <w:kern w:val="0"/>
          <w:szCs w:val="21"/>
        </w:rPr>
        <w:t>）在全国银行间同业市场的债券回购最长期限为</w:t>
      </w:r>
      <w:r>
        <w:rPr>
          <w:rFonts w:ascii="宋体" w:hAnsi="宋体" w:cs="宋体"/>
          <w:kern w:val="0"/>
          <w:szCs w:val="21"/>
        </w:rPr>
        <w:t>1</w:t>
      </w:r>
      <w:r>
        <w:rPr>
          <w:rFonts w:ascii="宋体" w:hAnsi="宋体" w:cs="宋体"/>
          <w:kern w:val="0"/>
          <w:szCs w:val="21"/>
        </w:rPr>
        <w:t>年，债券回购到期后不得展期；</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18</w:t>
      </w:r>
      <w:r>
        <w:rPr>
          <w:rFonts w:ascii="宋体" w:hAnsi="宋体" w:cs="宋体"/>
          <w:kern w:val="0"/>
          <w:szCs w:val="21"/>
        </w:rPr>
        <w:t>）本基金总资产不得超过基金净资产的</w:t>
      </w:r>
      <w:r>
        <w:rPr>
          <w:rFonts w:ascii="宋体" w:hAnsi="宋体" w:cs="宋体"/>
          <w:kern w:val="0"/>
          <w:szCs w:val="21"/>
        </w:rPr>
        <w:t>140%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19</w:t>
      </w:r>
      <w:r>
        <w:rPr>
          <w:rFonts w:ascii="宋体" w:hAnsi="宋体" w:cs="宋体"/>
          <w:kern w:val="0"/>
          <w:szCs w:val="21"/>
        </w:rPr>
        <w:t>）本基金主动</w:t>
      </w:r>
      <w:r>
        <w:rPr>
          <w:rFonts w:ascii="宋体" w:hAnsi="宋体" w:cs="宋体"/>
          <w:kern w:val="0"/>
          <w:szCs w:val="21"/>
        </w:rPr>
        <w:t>投资于流动性受限资产的市值合计不得超过基金资产净值的</w:t>
      </w:r>
      <w:r>
        <w:rPr>
          <w:rFonts w:ascii="宋体" w:hAnsi="宋体" w:cs="宋体"/>
          <w:kern w:val="0"/>
          <w:szCs w:val="21"/>
        </w:rPr>
        <w:t>15%</w:t>
      </w:r>
      <w:r>
        <w:rPr>
          <w:rFonts w:ascii="宋体" w:hAnsi="宋体" w:cs="宋体"/>
          <w:kern w:val="0"/>
          <w:szCs w:val="21"/>
        </w:rPr>
        <w:t>；因证券市场波动、上市公司股票停牌、基金规模变动等基金管理人之外的因素致使基金不符合该比例限制的，基金管理人不得主动新增流动性受限资产的投资；</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20</w:t>
      </w:r>
      <w:r>
        <w:rPr>
          <w:rFonts w:ascii="宋体" w:hAnsi="宋体" w:cs="宋体"/>
          <w:kern w:val="0"/>
          <w:szCs w:val="21"/>
        </w:rPr>
        <w:t>）本基金管理人管理的全部开放式基金持有一家上市公司发行的可流通股票，不得超过该上市公司可流通股票的</w:t>
      </w:r>
      <w:r>
        <w:rPr>
          <w:rFonts w:ascii="宋体" w:hAnsi="宋体" w:cs="宋体"/>
          <w:kern w:val="0"/>
          <w:szCs w:val="21"/>
        </w:rPr>
        <w:t>15%</w:t>
      </w:r>
      <w:r>
        <w:rPr>
          <w:rFonts w:ascii="宋体" w:hAnsi="宋体" w:cs="宋体"/>
          <w:kern w:val="0"/>
          <w:szCs w:val="21"/>
        </w:rPr>
        <w:t>；本基金管理人管理的全部投资组合持有一家上市公司发行的可流通股票，不得超过该上市公司可流通股票的</w:t>
      </w:r>
      <w:r>
        <w:rPr>
          <w:rFonts w:ascii="宋体" w:hAnsi="宋体" w:cs="宋体"/>
          <w:kern w:val="0"/>
          <w:szCs w:val="21"/>
        </w:rPr>
        <w:t>30%</w:t>
      </w:r>
      <w:r>
        <w:rPr>
          <w:rFonts w:ascii="宋体" w:hAnsi="宋体" w:cs="宋体"/>
          <w:kern w:val="0"/>
          <w:szCs w:val="21"/>
        </w:rPr>
        <w:t>；完全按照有关指数的构成比例进行证券投资的开放式基金以及中国证监会认定的特殊投资组合可不受前述比例</w:t>
      </w:r>
      <w:r>
        <w:rPr>
          <w:rFonts w:ascii="宋体" w:hAnsi="宋体" w:cs="宋体"/>
          <w:kern w:val="0"/>
          <w:szCs w:val="21"/>
        </w:rPr>
        <w:t>限制；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21</w:t>
      </w:r>
      <w:r>
        <w:rPr>
          <w:rFonts w:ascii="宋体" w:hAnsi="宋体" w:cs="宋体"/>
          <w:kern w:val="0"/>
          <w:szCs w:val="21"/>
        </w:rPr>
        <w:t>）本基金与私募类证券资管产品及中国证监会认定的其他主体为交易对手开展逆回购交易的，可接受质押品的资质要求应当与基金合同约定的投资范围保持一致；</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22</w:t>
      </w:r>
      <w:r>
        <w:rPr>
          <w:rFonts w:ascii="宋体" w:hAnsi="宋体" w:cs="宋体"/>
          <w:kern w:val="0"/>
          <w:szCs w:val="21"/>
        </w:rPr>
        <w:t>）本基金投资存托凭证的比例限制依照境内上市交易的股票执行；</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w:t>
      </w:r>
      <w:r>
        <w:rPr>
          <w:rFonts w:ascii="宋体" w:hAnsi="宋体" w:cs="宋体"/>
          <w:kern w:val="0"/>
          <w:szCs w:val="21"/>
        </w:rPr>
        <w:t>23</w:t>
      </w:r>
      <w:r>
        <w:rPr>
          <w:rFonts w:ascii="宋体" w:hAnsi="宋体" w:cs="宋体"/>
          <w:kern w:val="0"/>
          <w:szCs w:val="21"/>
        </w:rPr>
        <w:t>）法律法规及中国证监会规定的其他投资比例限制。</w:t>
      </w:r>
    </w:p>
    <w:p w:rsidR="00796C66" w:rsidRDefault="00FB6202">
      <w:pPr>
        <w:pStyle w:val="div"/>
        <w:spacing w:line="360" w:lineRule="auto"/>
        <w:ind w:firstLine="480"/>
        <w:jc w:val="left"/>
        <w:rPr>
          <w:rFonts w:eastAsia="Times New Roman"/>
          <w:kern w:val="0"/>
          <w:szCs w:val="21"/>
        </w:rPr>
      </w:pPr>
      <w:r>
        <w:rPr>
          <w:rFonts w:ascii="宋体" w:hAnsi="宋体" w:cs="宋体"/>
          <w:kern w:val="0"/>
          <w:szCs w:val="21"/>
        </w:rPr>
        <w:t>因证券市场波动、证券发行人合并、基金规模变动等基金管理人之外的因素，致使基金投资比例不符合除上述第（</w:t>
      </w:r>
      <w:r>
        <w:rPr>
          <w:rFonts w:ascii="宋体" w:hAnsi="宋体" w:cs="宋体"/>
          <w:kern w:val="0"/>
          <w:szCs w:val="21"/>
        </w:rPr>
        <w:t>3</w:t>
      </w:r>
      <w:r>
        <w:rPr>
          <w:rFonts w:ascii="宋体" w:hAnsi="宋体" w:cs="宋体"/>
          <w:kern w:val="0"/>
          <w:szCs w:val="21"/>
        </w:rPr>
        <w:t>）、（</w:t>
      </w:r>
      <w:r>
        <w:rPr>
          <w:rFonts w:ascii="宋体" w:hAnsi="宋体" w:cs="宋体"/>
          <w:kern w:val="0"/>
          <w:szCs w:val="21"/>
        </w:rPr>
        <w:t>4</w:t>
      </w:r>
      <w:r>
        <w:rPr>
          <w:rFonts w:ascii="宋体" w:hAnsi="宋体" w:cs="宋体"/>
          <w:kern w:val="0"/>
          <w:szCs w:val="21"/>
        </w:rPr>
        <w:t>）、（</w:t>
      </w:r>
      <w:r>
        <w:rPr>
          <w:rFonts w:ascii="宋体" w:hAnsi="宋体" w:cs="宋体"/>
          <w:kern w:val="0"/>
          <w:szCs w:val="21"/>
        </w:rPr>
        <w:t>8</w:t>
      </w:r>
      <w:r>
        <w:rPr>
          <w:rFonts w:ascii="宋体" w:hAnsi="宋体" w:cs="宋体"/>
          <w:kern w:val="0"/>
          <w:szCs w:val="21"/>
        </w:rPr>
        <w:t>）、（</w:t>
      </w:r>
      <w:r>
        <w:rPr>
          <w:rFonts w:ascii="宋体" w:hAnsi="宋体" w:cs="宋体"/>
          <w:kern w:val="0"/>
          <w:szCs w:val="21"/>
        </w:rPr>
        <w:t>15</w:t>
      </w:r>
      <w:r>
        <w:rPr>
          <w:rFonts w:ascii="宋体" w:hAnsi="宋体" w:cs="宋体"/>
          <w:kern w:val="0"/>
          <w:szCs w:val="21"/>
        </w:rPr>
        <w:t>）（</w:t>
      </w:r>
      <w:r>
        <w:rPr>
          <w:rFonts w:ascii="宋体" w:hAnsi="宋体" w:cs="宋体"/>
          <w:kern w:val="0"/>
          <w:szCs w:val="21"/>
        </w:rPr>
        <w:t>19</w:t>
      </w:r>
      <w:r>
        <w:rPr>
          <w:rFonts w:ascii="宋体" w:hAnsi="宋体" w:cs="宋体"/>
          <w:kern w:val="0"/>
          <w:szCs w:val="21"/>
        </w:rPr>
        <w:t>）、（</w:t>
      </w:r>
      <w:r>
        <w:rPr>
          <w:rFonts w:ascii="宋体" w:hAnsi="宋体" w:cs="宋体"/>
          <w:kern w:val="0"/>
          <w:szCs w:val="21"/>
        </w:rPr>
        <w:t>21</w:t>
      </w:r>
      <w:r>
        <w:rPr>
          <w:rFonts w:ascii="宋体" w:hAnsi="宋体" w:cs="宋体"/>
          <w:kern w:val="0"/>
          <w:szCs w:val="21"/>
        </w:rPr>
        <w:t>）项外规定的投资比例的，基金管理人应当在</w:t>
      </w:r>
      <w:r>
        <w:rPr>
          <w:rFonts w:ascii="宋体" w:hAnsi="宋体" w:cs="宋体"/>
          <w:kern w:val="0"/>
          <w:szCs w:val="21"/>
        </w:rPr>
        <w:t>10</w:t>
      </w:r>
      <w:r>
        <w:rPr>
          <w:rFonts w:ascii="宋体" w:hAnsi="宋体" w:cs="宋体"/>
          <w:kern w:val="0"/>
          <w:szCs w:val="21"/>
        </w:rPr>
        <w:t>个交易日内进行调整，但中国证监会规定的特殊情</w:t>
      </w:r>
      <w:r>
        <w:rPr>
          <w:rFonts w:ascii="宋体" w:hAnsi="宋体" w:cs="宋体"/>
          <w:kern w:val="0"/>
          <w:szCs w:val="21"/>
        </w:rPr>
        <w:t>形除外；因证券市场波动、证券发行人合并、基金规模变动等基金管理人之外的因素，致使基金投资比例不符合上述（</w:t>
      </w:r>
      <w:r>
        <w:rPr>
          <w:rFonts w:ascii="宋体" w:hAnsi="宋体" w:cs="宋体"/>
          <w:kern w:val="0"/>
          <w:szCs w:val="21"/>
        </w:rPr>
        <w:t>3</w:t>
      </w:r>
      <w:r>
        <w:rPr>
          <w:rFonts w:ascii="宋体" w:hAnsi="宋体" w:cs="宋体"/>
          <w:kern w:val="0"/>
          <w:szCs w:val="21"/>
        </w:rPr>
        <w:t>）、（</w:t>
      </w:r>
      <w:r>
        <w:rPr>
          <w:rFonts w:ascii="宋体" w:hAnsi="宋体" w:cs="宋体"/>
          <w:kern w:val="0"/>
          <w:szCs w:val="21"/>
        </w:rPr>
        <w:t>4</w:t>
      </w:r>
      <w:r>
        <w:rPr>
          <w:rFonts w:ascii="宋体" w:hAnsi="宋体" w:cs="宋体"/>
          <w:kern w:val="0"/>
          <w:szCs w:val="21"/>
        </w:rPr>
        <w:t>）项规定投资比例的，基金管理人应当在</w:t>
      </w:r>
      <w:r>
        <w:rPr>
          <w:rFonts w:ascii="宋体" w:hAnsi="宋体" w:cs="宋体"/>
          <w:kern w:val="0"/>
          <w:szCs w:val="21"/>
        </w:rPr>
        <w:t>20</w:t>
      </w:r>
      <w:r>
        <w:rPr>
          <w:rFonts w:ascii="宋体" w:hAnsi="宋体" w:cs="宋体"/>
          <w:kern w:val="0"/>
          <w:szCs w:val="21"/>
        </w:rPr>
        <w:t>个交易日内进行调整，但中国证监会规定的特殊情形除外。法律法规另有规定的，从其规定。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基金管理人应当自基金合同生效之日起</w:t>
      </w:r>
      <w:r>
        <w:rPr>
          <w:rFonts w:ascii="宋体" w:hAnsi="宋体" w:cs="宋体"/>
          <w:kern w:val="0"/>
          <w:szCs w:val="21"/>
        </w:rPr>
        <w:t>6</w:t>
      </w:r>
      <w:r>
        <w:rPr>
          <w:rFonts w:ascii="宋体" w:hAnsi="宋体" w:cs="宋体"/>
          <w:kern w:val="0"/>
          <w:szCs w:val="21"/>
        </w:rPr>
        <w:t>个月内使基金的投资组合比例符合基金合同的有关约定。在上述期间内，本基金的投资范围、投资策略应当符合基金合同的约定。基金托管人对基金的投资的监督与检查自基金合同生效之日起开始。法律法规或监管部门另有规定的，从其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如果法律法规或监管部门</w:t>
      </w:r>
      <w:r>
        <w:rPr>
          <w:rFonts w:ascii="宋体" w:hAnsi="宋体" w:cs="宋体"/>
          <w:kern w:val="0"/>
          <w:szCs w:val="21"/>
        </w:rPr>
        <w:t>对上述投资组合比例限制进行变更或取消的，如适用于本基金，基金管理人在履行适当程序后，则本基金投资不再受相关限制或以变更后的规定为准。</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、禁止行为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为维护基金份额持有人的合法权益，基金财产不得用于下列投资或者活动：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）承销证券；</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）违反规定向他人贷款或者提供担保；</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）从事承担无限责任的投资；</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）向其基金管理人、基金托管人出资；</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）从事内幕交易、操纵证券交易价格及其他不正当的证券交易活动；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）法律、行政法规和中国证监会规定禁止的其他活动。</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基金管理人运用基金财产买卖基金管理人、基金托管</w:t>
      </w:r>
      <w:r>
        <w:rPr>
          <w:rFonts w:ascii="宋体" w:hAnsi="宋体" w:cs="宋体"/>
          <w:kern w:val="0"/>
          <w:szCs w:val="21"/>
        </w:rPr>
        <w:t>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本基金投资基金管理人、基金托管人及其关联方管理或托管的基金的情况，不属于前述重大关联交易，但是应当按照法律法规或监管规定的要求履行信息披露义务。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法律法规或监管部门取消或变更上述限制，如适用于本基金，基金管理人在履行适当程序后，则本基金投资不再受相关限制或按变更后的规定执行。</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（五）业绩比较基准</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中证</w:t>
      </w:r>
      <w:r>
        <w:rPr>
          <w:rFonts w:ascii="宋体" w:hAnsi="宋体" w:cs="宋体"/>
          <w:kern w:val="0"/>
          <w:szCs w:val="21"/>
        </w:rPr>
        <w:t>800</w:t>
      </w:r>
      <w:r>
        <w:rPr>
          <w:rFonts w:ascii="宋体" w:hAnsi="宋体" w:cs="宋体"/>
          <w:kern w:val="0"/>
          <w:szCs w:val="21"/>
        </w:rPr>
        <w:t>指数收益率</w:t>
      </w:r>
      <w:r>
        <w:rPr>
          <w:rFonts w:ascii="宋体" w:hAnsi="宋体" w:cs="宋体"/>
          <w:kern w:val="0"/>
          <w:szCs w:val="21"/>
        </w:rPr>
        <w:t>×30%+</w:t>
      </w:r>
      <w:r>
        <w:rPr>
          <w:rFonts w:ascii="宋体" w:hAnsi="宋体" w:cs="宋体"/>
          <w:kern w:val="0"/>
          <w:szCs w:val="21"/>
        </w:rPr>
        <w:t>中债综合（全价）指数收益率</w:t>
      </w:r>
      <w:r>
        <w:rPr>
          <w:rFonts w:ascii="宋体" w:hAnsi="宋体" w:cs="宋体"/>
          <w:kern w:val="0"/>
          <w:szCs w:val="21"/>
        </w:rPr>
        <w:t>×65% +</w:t>
      </w:r>
      <w:r>
        <w:rPr>
          <w:rFonts w:ascii="宋体" w:hAnsi="宋体" w:cs="宋体"/>
          <w:kern w:val="0"/>
          <w:szCs w:val="21"/>
        </w:rPr>
        <w:t>金融机构人民币活期</w:t>
      </w:r>
      <w:r>
        <w:rPr>
          <w:rFonts w:ascii="宋体" w:hAnsi="宋体" w:cs="宋体"/>
          <w:kern w:val="0"/>
          <w:szCs w:val="21"/>
        </w:rPr>
        <w:lastRenderedPageBreak/>
        <w:t>存款基准利率</w:t>
      </w:r>
      <w:r>
        <w:rPr>
          <w:rFonts w:ascii="宋体" w:hAnsi="宋体" w:cs="宋体"/>
          <w:kern w:val="0"/>
          <w:szCs w:val="21"/>
        </w:rPr>
        <w:t>(</w:t>
      </w:r>
      <w:r>
        <w:rPr>
          <w:rFonts w:ascii="宋体" w:hAnsi="宋体" w:cs="宋体"/>
          <w:kern w:val="0"/>
          <w:szCs w:val="21"/>
        </w:rPr>
        <w:t>税后</w:t>
      </w:r>
      <w:r>
        <w:rPr>
          <w:rFonts w:ascii="宋体" w:hAnsi="宋体" w:cs="宋体"/>
          <w:kern w:val="0"/>
          <w:szCs w:val="21"/>
        </w:rPr>
        <w:t>)×5%</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中证</w:t>
      </w:r>
      <w:r>
        <w:rPr>
          <w:rFonts w:ascii="宋体" w:hAnsi="宋体" w:cs="宋体"/>
          <w:kern w:val="0"/>
          <w:szCs w:val="21"/>
        </w:rPr>
        <w:t>800</w:t>
      </w:r>
      <w:r>
        <w:rPr>
          <w:rFonts w:ascii="宋体" w:hAnsi="宋体" w:cs="宋体"/>
          <w:kern w:val="0"/>
          <w:szCs w:val="21"/>
        </w:rPr>
        <w:t>指数是中证指数有限公司编制的，反映沪深证券市场内大中小市值公司的整体状况的指数，具有良好的</w:t>
      </w:r>
      <w:r>
        <w:rPr>
          <w:rFonts w:ascii="宋体" w:hAnsi="宋体" w:cs="宋体"/>
          <w:kern w:val="0"/>
          <w:szCs w:val="21"/>
        </w:rPr>
        <w:t>市场代表性和市场影响力，适合作为本基金股票型基金和混合型基金等权益类资产投资的业绩比较基准。中债综合（全价）指数是由中央国债登记结算有限责任公司编制的具有代表性的债券市场指数。根据本基金的投资范围和投资比例，选用上述业绩比较基准能够客观、合理地反映本基金的风险收益特征。</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果指数编制单位停止计算编制以上指数或更改指数名称或今后法律法规发生变化或有更适当的更能为市场普遍接受的业绩比较基准推出或市场上出现更加适用于本基金的业绩比较基准的指数时，本基金管理人可以根据本基金的投资范围和投资策略，在取得基金托管人同意</w:t>
      </w:r>
      <w:r>
        <w:rPr>
          <w:rFonts w:ascii="宋体" w:hAnsi="宋体" w:cs="宋体"/>
          <w:kern w:val="0"/>
          <w:szCs w:val="21"/>
        </w:rPr>
        <w:t>并按照监管部门要求履行适当程序后变更业绩比较基准并及时公告，且无须召开基金份额持有人大会审议。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（六）风险收益特征</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属于混合型基金中基金，预期风险和收益水平低于股票型基金中基金，高于债券型基金中基金和货币型基金中基金。本基金若投资香港联合交易所上市的股票，将面临港股通机制下因投资环境、投资标的、市场制度以及交易规则等差异带来的特有风险。</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（七）基金管理人代表基金行使相关权利的处理原则及方法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、基金管理人按照国家有关规定代表基金独立行使相关权利，保护基金份额持有人的利益；</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、不谋求对上市公司的控股；</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、有利于基金财产的安全与增值；</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、不通过关联交易为自身、雇员、授权代理人或任何存在利害关系的第三人牟取任何不当利益。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（八）侧袋机制的实施和投资运作安排</w:t>
      </w:r>
    </w:p>
    <w:p w:rsidR="00796C66" w:rsidRDefault="00FB6202">
      <w:pPr>
        <w:pStyle w:val="div"/>
        <w:spacing w:line="360" w:lineRule="auto"/>
        <w:ind w:firstLine="480"/>
        <w:rPr>
          <w:rFonts w:eastAsia="Times New Roman"/>
          <w:kern w:val="0"/>
          <w:szCs w:val="21"/>
        </w:rPr>
      </w:pPr>
      <w:r>
        <w:rPr>
          <w:rFonts w:ascii="宋体" w:hAnsi="宋体" w:cs="宋体"/>
          <w:kern w:val="0"/>
          <w:szCs w:val="21"/>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侧袋机制实施期间，本部分约定的投资组合比例、投资策略、组合限制、业绩比较基准、风险收益特征等</w:t>
      </w:r>
      <w:r>
        <w:rPr>
          <w:rFonts w:ascii="宋体" w:hAnsi="宋体" w:cs="宋体"/>
          <w:kern w:val="0"/>
          <w:szCs w:val="21"/>
        </w:rPr>
        <w:t>约定仅适用于主袋账户。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侧袋账户的实施条件、实施程序、运作安排、投资安排、特定资产的处置变现和支付等对投资者权益有重大影响的事项详见本招募说明书</w:t>
      </w:r>
      <w:r>
        <w:rPr>
          <w:rFonts w:ascii="宋体" w:hAnsi="宋体" w:cs="宋体"/>
          <w:kern w:val="0"/>
          <w:szCs w:val="21"/>
        </w:rPr>
        <w:t>“</w:t>
      </w:r>
      <w:r>
        <w:rPr>
          <w:rFonts w:ascii="宋体" w:hAnsi="宋体" w:cs="宋体"/>
          <w:kern w:val="0"/>
          <w:szCs w:val="21"/>
        </w:rPr>
        <w:t>侧袋机制</w:t>
      </w:r>
      <w:r>
        <w:rPr>
          <w:rFonts w:ascii="宋体" w:hAnsi="宋体" w:cs="宋体"/>
          <w:kern w:val="0"/>
          <w:szCs w:val="21"/>
        </w:rPr>
        <w:t>”</w:t>
      </w:r>
      <w:r>
        <w:rPr>
          <w:rFonts w:ascii="宋体" w:hAnsi="宋体" w:cs="宋体"/>
          <w:kern w:val="0"/>
          <w:szCs w:val="21"/>
        </w:rPr>
        <w:t>章节的规定。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（九）基金投资组合报告</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本基金按照《基金法》、《信息披露办法》及中国证监会的其他规定中关于投资组合报告的要求披露基金的投资组合。</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w:t>
      </w:r>
      <w:r>
        <w:rPr>
          <w:rFonts w:ascii="宋体" w:hAnsi="宋体" w:cs="宋体"/>
          <w:kern w:val="0"/>
          <w:szCs w:val="21"/>
        </w:rPr>
        <w:t>报告期末基金资产组合情况</w:t>
      </w:r>
      <w:r>
        <w:rPr>
          <w:rFonts w:ascii="宋体" w:hAnsi="宋体" w:cs="宋体"/>
          <w:kern w:val="0"/>
          <w:szCs w:val="21"/>
        </w:rPr>
        <w:t xml:space="preserve"> </w:t>
      </w:r>
    </w:p>
    <w:tbl>
      <w:tblPr>
        <w:tblStyle w:val="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5E0" w:firstRow="1" w:lastRow="1" w:firstColumn="1" w:lastColumn="1" w:noHBand="0" w:noVBand="1"/>
      </w:tblPr>
      <w:tblGrid>
        <w:gridCol w:w="900"/>
        <w:gridCol w:w="2382"/>
        <w:gridCol w:w="3230"/>
        <w:gridCol w:w="1775"/>
      </w:tblGrid>
      <w:tr w:rsidR="00796C66">
        <w:trPr>
          <w:trHeight w:val="304"/>
          <w:jc w:val="center"/>
        </w:trPr>
        <w:tc>
          <w:tcPr>
            <w:tcW w:w="939" w:type="dxa"/>
            <w:tcBorders>
              <w:top w:val="single" w:sz="8" w:space="0" w:color="000000"/>
              <w:left w:val="single" w:sz="8" w:space="0" w:color="000000"/>
              <w:bottom w:val="single" w:sz="4" w:space="0" w:color="000000"/>
              <w:right w:val="single" w:sz="4" w:space="0" w:color="000000"/>
            </w:tcBorders>
            <w:shd w:val="clear" w:color="auto" w:fill="D9D9D9"/>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序号</w:t>
            </w:r>
          </w:p>
        </w:tc>
        <w:tc>
          <w:tcPr>
            <w:tcW w:w="2526"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项目</w:t>
            </w:r>
          </w:p>
        </w:tc>
        <w:tc>
          <w:tcPr>
            <w:tcW w:w="3366"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金额（元）</w:t>
            </w:r>
          </w:p>
        </w:tc>
        <w:tc>
          <w:tcPr>
            <w:tcW w:w="1852" w:type="dxa"/>
            <w:tcBorders>
              <w:top w:val="single" w:sz="8" w:space="0" w:color="000000"/>
              <w:left w:val="single" w:sz="4" w:space="0" w:color="000000"/>
              <w:bottom w:val="single" w:sz="4" w:space="0" w:color="000000"/>
              <w:right w:val="single" w:sz="8" w:space="0" w:color="000000"/>
            </w:tcBorders>
            <w:shd w:val="clear" w:color="auto" w:fill="D9D9D9"/>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占基金总资产的比例（</w:t>
            </w:r>
            <w:r>
              <w:rPr>
                <w:rFonts w:ascii="宋体" w:hAnsi="宋体" w:cs="宋体"/>
                <w:color w:val="000000"/>
                <w:kern w:val="0"/>
                <w:szCs w:val="21"/>
              </w:rPr>
              <w:t>%</w:t>
            </w:r>
            <w:r>
              <w:rPr>
                <w:rFonts w:ascii="宋体" w:hAnsi="宋体" w:cs="宋体"/>
                <w:color w:val="000000"/>
                <w:kern w:val="0"/>
                <w:szCs w:val="21"/>
              </w:rPr>
              <w:t>）</w:t>
            </w:r>
          </w:p>
        </w:tc>
      </w:tr>
      <w:tr w:rsidR="00796C66">
        <w:trPr>
          <w:trHeight w:val="304"/>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w:t>
            </w: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权益投资</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22"/>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tcPr>
          <w:p w:rsidR="00796C66" w:rsidRDefault="00796C66">
            <w:pPr>
              <w:pStyle w:val="p"/>
              <w:jc w:val="center"/>
              <w:rPr>
                <w:rFonts w:ascii="宋体" w:hAnsi="宋体" w:cs="宋体"/>
                <w:color w:val="000000"/>
                <w:kern w:val="0"/>
                <w:szCs w:val="21"/>
              </w:rPr>
            </w:pP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其中：股票</w:t>
            </w:r>
            <w:r>
              <w:rPr>
                <w:rFonts w:ascii="宋体" w:hAnsi="宋体" w:cs="宋体"/>
                <w:color w:val="000000"/>
                <w:kern w:val="0"/>
                <w:szCs w:val="21"/>
              </w:rPr>
              <w:t xml:space="preserve"> </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22"/>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w:t>
            </w: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基金投资</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46,612,518.98</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93.81</w:t>
            </w:r>
          </w:p>
        </w:tc>
      </w:tr>
      <w:tr w:rsidR="00796C66">
        <w:trPr>
          <w:trHeight w:val="304"/>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3</w:t>
            </w: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固定收益投资</w:t>
            </w:r>
            <w:r>
              <w:rPr>
                <w:rFonts w:ascii="宋体" w:hAnsi="宋体" w:cs="宋体"/>
                <w:color w:val="000000"/>
                <w:kern w:val="0"/>
                <w:szCs w:val="21"/>
              </w:rPr>
              <w:t xml:space="preserve"> </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22"/>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tcPr>
          <w:p w:rsidR="00796C66" w:rsidRDefault="00796C66">
            <w:pPr>
              <w:pStyle w:val="p"/>
              <w:jc w:val="center"/>
              <w:rPr>
                <w:rFonts w:ascii="宋体" w:hAnsi="宋体" w:cs="宋体"/>
                <w:color w:val="000000"/>
                <w:kern w:val="0"/>
                <w:szCs w:val="21"/>
              </w:rPr>
            </w:pP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其中：债券</w:t>
            </w:r>
            <w:r>
              <w:rPr>
                <w:rFonts w:ascii="宋体" w:hAnsi="宋体" w:cs="宋体"/>
                <w:color w:val="000000"/>
                <w:kern w:val="0"/>
                <w:szCs w:val="21"/>
              </w:rPr>
              <w:t xml:space="preserve"> </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04"/>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tcPr>
          <w:p w:rsidR="00796C66" w:rsidRDefault="00796C66">
            <w:pPr>
              <w:pStyle w:val="p"/>
              <w:jc w:val="center"/>
              <w:rPr>
                <w:rFonts w:ascii="宋体" w:hAnsi="宋体" w:cs="宋体"/>
                <w:color w:val="000000"/>
                <w:kern w:val="0"/>
                <w:szCs w:val="21"/>
              </w:rPr>
            </w:pP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资产支持证券</w:t>
            </w:r>
            <w:r>
              <w:rPr>
                <w:rFonts w:ascii="宋体" w:hAnsi="宋体" w:cs="宋体"/>
                <w:color w:val="000000"/>
                <w:kern w:val="0"/>
                <w:szCs w:val="21"/>
              </w:rPr>
              <w:t xml:space="preserve"> </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04"/>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4</w:t>
            </w: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贵金属投资</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22"/>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5</w:t>
            </w: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金融衍生品投资</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04"/>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6</w:t>
            </w: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买入返售金融资产</w:t>
            </w:r>
            <w:r>
              <w:rPr>
                <w:rFonts w:ascii="宋体" w:hAnsi="宋体" w:cs="宋体"/>
                <w:color w:val="000000"/>
                <w:kern w:val="0"/>
                <w:szCs w:val="21"/>
              </w:rPr>
              <w:t xml:space="preserve"> </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21"/>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tcPr>
          <w:p w:rsidR="00796C66" w:rsidRDefault="00796C66">
            <w:pPr>
              <w:pStyle w:val="p"/>
              <w:jc w:val="center"/>
              <w:rPr>
                <w:rFonts w:ascii="宋体" w:hAnsi="宋体" w:cs="宋体"/>
                <w:color w:val="000000"/>
                <w:kern w:val="0"/>
                <w:szCs w:val="21"/>
              </w:rPr>
            </w:pP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其中：买断式回购的买入返售金融资产</w:t>
            </w:r>
            <w:r>
              <w:rPr>
                <w:rFonts w:ascii="宋体" w:hAnsi="宋体" w:cs="宋体"/>
                <w:color w:val="000000"/>
                <w:kern w:val="0"/>
                <w:szCs w:val="21"/>
              </w:rPr>
              <w:t xml:space="preserve"> </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269"/>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w:t>
            </w: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银行存款和结算备付金合计</w:t>
            </w:r>
            <w:r>
              <w:rPr>
                <w:rFonts w:ascii="宋体" w:hAnsi="宋体" w:cs="宋体"/>
                <w:color w:val="000000"/>
                <w:kern w:val="0"/>
                <w:szCs w:val="21"/>
              </w:rPr>
              <w:t xml:space="preserve"> </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3,027,438.18</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6.09</w:t>
            </w:r>
          </w:p>
        </w:tc>
      </w:tr>
      <w:tr w:rsidR="00796C66">
        <w:trPr>
          <w:trHeight w:val="322"/>
          <w:jc w:val="center"/>
        </w:trPr>
        <w:tc>
          <w:tcPr>
            <w:tcW w:w="727"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8</w:t>
            </w:r>
          </w:p>
        </w:tc>
        <w:tc>
          <w:tcPr>
            <w:tcW w:w="252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其他资产</w:t>
            </w:r>
            <w:r>
              <w:rPr>
                <w:rFonts w:ascii="宋体" w:hAnsi="宋体" w:cs="宋体"/>
                <w:color w:val="000000"/>
                <w:kern w:val="0"/>
                <w:szCs w:val="21"/>
              </w:rPr>
              <w:t xml:space="preserve"> </w:t>
            </w:r>
          </w:p>
        </w:tc>
        <w:tc>
          <w:tcPr>
            <w:tcW w:w="3366"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50,613.46</w:t>
            </w:r>
          </w:p>
        </w:tc>
        <w:tc>
          <w:tcPr>
            <w:tcW w:w="1852"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0.10</w:t>
            </w:r>
          </w:p>
        </w:tc>
      </w:tr>
      <w:tr w:rsidR="00796C66">
        <w:trPr>
          <w:trHeight w:val="322"/>
          <w:jc w:val="center"/>
        </w:trPr>
        <w:tc>
          <w:tcPr>
            <w:tcW w:w="727" w:type="dxa"/>
            <w:tcBorders>
              <w:top w:val="single" w:sz="4" w:space="0" w:color="000000"/>
              <w:left w:val="single" w:sz="8" w:space="0" w:color="000000"/>
              <w:bottom w:val="single" w:sz="8"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9</w:t>
            </w:r>
          </w:p>
        </w:tc>
        <w:tc>
          <w:tcPr>
            <w:tcW w:w="2526"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left"/>
              <w:rPr>
                <w:rFonts w:ascii="宋体" w:hAnsi="宋体" w:cs="宋体"/>
                <w:color w:val="000000"/>
                <w:kern w:val="0"/>
                <w:szCs w:val="21"/>
              </w:rPr>
            </w:pPr>
            <w:r>
              <w:rPr>
                <w:rFonts w:ascii="宋体" w:hAnsi="宋体" w:cs="宋体"/>
                <w:color w:val="000000"/>
                <w:kern w:val="0"/>
                <w:szCs w:val="21"/>
              </w:rPr>
              <w:t>合计</w:t>
            </w:r>
            <w:r>
              <w:rPr>
                <w:rFonts w:ascii="宋体" w:hAnsi="宋体" w:cs="宋体"/>
                <w:color w:val="000000"/>
                <w:kern w:val="0"/>
                <w:szCs w:val="21"/>
              </w:rPr>
              <w:t xml:space="preserve"> </w:t>
            </w:r>
          </w:p>
        </w:tc>
        <w:tc>
          <w:tcPr>
            <w:tcW w:w="3366"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49,690,570.62</w:t>
            </w:r>
          </w:p>
        </w:tc>
        <w:tc>
          <w:tcPr>
            <w:tcW w:w="1852" w:type="dxa"/>
            <w:tcBorders>
              <w:top w:val="single" w:sz="4" w:space="0" w:color="000000"/>
              <w:left w:val="single" w:sz="4" w:space="0" w:color="000000"/>
              <w:bottom w:val="single" w:sz="8"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100.00</w:t>
            </w:r>
          </w:p>
        </w:tc>
      </w:tr>
    </w:tbl>
    <w:p w:rsidR="00796C66" w:rsidRDefault="00796C66">
      <w:pPr>
        <w:pStyle w:val="p"/>
        <w:spacing w:line="360" w:lineRule="auto"/>
        <w:ind w:firstLine="480"/>
        <w:rPr>
          <w:rFonts w:ascii="宋体" w:hAnsi="宋体" w:cs="宋体"/>
          <w:kern w:val="0"/>
          <w:szCs w:val="21"/>
        </w:rPr>
      </w:pP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w:t>
      </w:r>
      <w:r>
        <w:rPr>
          <w:rFonts w:ascii="宋体" w:hAnsi="宋体" w:cs="宋体"/>
          <w:kern w:val="0"/>
          <w:szCs w:val="21"/>
        </w:rPr>
        <w:t>报告期末按行业分类的股票投资组合</w:t>
      </w:r>
      <w:r>
        <w:rPr>
          <w:rFonts w:ascii="宋体" w:hAnsi="宋体" w:cs="宋体"/>
          <w:kern w:val="0"/>
          <w:szCs w:val="21"/>
        </w:rPr>
        <w:t xml:space="preserve"> </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2.1</w:t>
      </w:r>
      <w:r>
        <w:rPr>
          <w:rFonts w:ascii="宋体" w:hAnsi="宋体" w:cs="宋体"/>
          <w:kern w:val="0"/>
          <w:szCs w:val="21"/>
        </w:rPr>
        <w:t>报告期末按行业分类的境内股票投资组合</w:t>
      </w:r>
      <w:r>
        <w:rPr>
          <w:rFonts w:ascii="宋体" w:hAnsi="宋体" w:cs="宋体"/>
          <w:kern w:val="0"/>
          <w:szCs w:val="21"/>
        </w:rPr>
        <w:t xml:space="preserve">  </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本基金本报告期末未持有境内股票。</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2.2</w:t>
      </w:r>
      <w:r>
        <w:rPr>
          <w:rFonts w:ascii="宋体" w:hAnsi="宋体" w:cs="宋体"/>
          <w:kern w:val="0"/>
          <w:szCs w:val="21"/>
        </w:rPr>
        <w:t>报告期末按行业分类的港股通投资股票投资组合</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本基金本报告期末未持有港股通股票。</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3.</w:t>
      </w:r>
      <w:r>
        <w:rPr>
          <w:rFonts w:ascii="宋体" w:hAnsi="宋体" w:cs="宋体"/>
          <w:kern w:val="0"/>
          <w:szCs w:val="21"/>
        </w:rPr>
        <w:t>期末按公允价值占基金资产净值比例大小排序的股票投资明细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3.1</w:t>
      </w:r>
      <w:r>
        <w:rPr>
          <w:rFonts w:ascii="宋体" w:hAnsi="宋体" w:cs="宋体"/>
          <w:kern w:val="0"/>
          <w:szCs w:val="21"/>
        </w:rPr>
        <w:t>报告期末按公允价值占基金资产净值比例大小排序的前十名股票投资明细</w:t>
      </w:r>
      <w:r>
        <w:rPr>
          <w:rFonts w:ascii="宋体" w:hAnsi="宋体" w:cs="宋体"/>
          <w:kern w:val="0"/>
          <w:szCs w:val="21"/>
        </w:rPr>
        <w:t xml:space="preserve"> </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本基金本报告期末未持有股票。</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4.</w:t>
      </w:r>
      <w:r>
        <w:rPr>
          <w:rFonts w:ascii="宋体" w:hAnsi="宋体" w:cs="宋体"/>
          <w:kern w:val="0"/>
          <w:szCs w:val="21"/>
        </w:rPr>
        <w:t>报告期末按债券品种分类的债券投资组合</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本基金本报告期末未持有债券投资。</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5.</w:t>
      </w:r>
      <w:r>
        <w:rPr>
          <w:rFonts w:ascii="宋体" w:hAnsi="宋体" w:cs="宋体"/>
          <w:kern w:val="0"/>
          <w:szCs w:val="21"/>
        </w:rPr>
        <w:t>报告期末按公允价值占基金资产净值比例大小排序的前五名债券投资明细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本基金本报告期末未持有债券投资。</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6.</w:t>
      </w:r>
      <w:r>
        <w:rPr>
          <w:rFonts w:ascii="宋体" w:hAnsi="宋体" w:cs="宋体"/>
          <w:kern w:val="0"/>
          <w:szCs w:val="21"/>
        </w:rPr>
        <w:t>报告期末按公允价值占基金资产净值比例大小排序的前十名资产支持证券投资明细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w:t>
      </w:r>
      <w:r>
        <w:rPr>
          <w:rFonts w:ascii="宋体" w:hAnsi="宋体" w:cs="宋体"/>
          <w:kern w:val="0"/>
          <w:szCs w:val="21"/>
        </w:rPr>
        <w:t>金本报告期末未持有资产支持证券。</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lastRenderedPageBreak/>
        <w:t>7.</w:t>
      </w:r>
      <w:r>
        <w:rPr>
          <w:rFonts w:ascii="宋体" w:hAnsi="宋体" w:cs="宋体"/>
          <w:kern w:val="0"/>
          <w:szCs w:val="21"/>
        </w:rPr>
        <w:t>报告期末按公允价值占基金资产净值比例大小排序的前五名贵金属投资明细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本基金本报告期末未持有贵金属投资。</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8.</w:t>
      </w:r>
      <w:r>
        <w:rPr>
          <w:rFonts w:ascii="宋体" w:hAnsi="宋体" w:cs="宋体"/>
          <w:kern w:val="0"/>
          <w:szCs w:val="21"/>
        </w:rPr>
        <w:t>报告期末按公允价值占基金资产净值比例大小排序的前五名权证投资明细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本基金本报告期末未持有权证投资。</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9.</w:t>
      </w:r>
      <w:r>
        <w:rPr>
          <w:rFonts w:ascii="宋体" w:hAnsi="宋体" w:cs="宋体"/>
          <w:kern w:val="0"/>
          <w:szCs w:val="21"/>
        </w:rPr>
        <w:t>报告期末本基金投资的股指期货交易情况说明</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9.1</w:t>
      </w:r>
      <w:r>
        <w:rPr>
          <w:rFonts w:ascii="宋体" w:hAnsi="宋体" w:cs="宋体"/>
          <w:kern w:val="0"/>
          <w:szCs w:val="21"/>
        </w:rPr>
        <w:t>报告期末本基金投资的股指期货持仓和损益明细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本基金本报告期内未投资股指期货。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9.2</w:t>
      </w:r>
      <w:r>
        <w:rPr>
          <w:rFonts w:ascii="宋体" w:hAnsi="宋体" w:cs="宋体"/>
          <w:kern w:val="0"/>
          <w:szCs w:val="21"/>
        </w:rPr>
        <w:t>本基金投资股指期货的投资政策</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根据本基金的基金合同约定，本基金的投资范围不包括股指期货。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10.</w:t>
      </w:r>
      <w:r>
        <w:rPr>
          <w:rFonts w:ascii="宋体" w:hAnsi="宋体" w:cs="宋体"/>
          <w:kern w:val="0"/>
          <w:szCs w:val="21"/>
        </w:rPr>
        <w:t>报告期末本基金投资的国债期货交易情</w:t>
      </w:r>
      <w:r>
        <w:rPr>
          <w:rFonts w:ascii="宋体" w:hAnsi="宋体" w:cs="宋体"/>
          <w:kern w:val="0"/>
          <w:szCs w:val="21"/>
        </w:rPr>
        <w:t>况说明</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10.1</w:t>
      </w:r>
      <w:r>
        <w:rPr>
          <w:rFonts w:ascii="宋体" w:hAnsi="宋体" w:cs="宋体"/>
          <w:kern w:val="0"/>
          <w:szCs w:val="21"/>
        </w:rPr>
        <w:t>本期国债期货投资政策</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根据本基金的基金合同约定，本基金的投资范围不包括国债期货。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10.2</w:t>
      </w:r>
      <w:r>
        <w:rPr>
          <w:rFonts w:ascii="宋体" w:hAnsi="宋体" w:cs="宋体"/>
          <w:kern w:val="0"/>
          <w:szCs w:val="21"/>
        </w:rPr>
        <w:t>报告期末本基金投资的国债期货持仓和损益明细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本基金本报告期内未投资国债期货。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10.3</w:t>
      </w:r>
      <w:r>
        <w:rPr>
          <w:rFonts w:ascii="宋体" w:hAnsi="宋体" w:cs="宋体"/>
          <w:kern w:val="0"/>
          <w:szCs w:val="21"/>
        </w:rPr>
        <w:t>本期国债期货投资评价</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根据本基金的基金合同约定，本基金的投资范围不包括国债期货。</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11.</w:t>
      </w:r>
      <w:r>
        <w:rPr>
          <w:rFonts w:ascii="宋体" w:hAnsi="宋体" w:cs="宋体"/>
          <w:kern w:val="0"/>
          <w:szCs w:val="21"/>
        </w:rPr>
        <w:t>投资组合报告附注</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11.1</w:t>
      </w:r>
      <w:r>
        <w:rPr>
          <w:rFonts w:ascii="宋体" w:hAnsi="宋体" w:cs="宋体"/>
          <w:kern w:val="0"/>
          <w:szCs w:val="21"/>
        </w:rPr>
        <w:t>本基金投资的前十名证券的发行主体本期是否出现被监管部门立案调查，或在报告编制日前一年内受到公开谴责、处罚的情形</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博时中债</w:t>
      </w:r>
      <w:r>
        <w:rPr>
          <w:rFonts w:ascii="宋体" w:hAnsi="宋体" w:cs="宋体"/>
          <w:kern w:val="0"/>
          <w:szCs w:val="21"/>
        </w:rPr>
        <w:t>7-10</w:t>
      </w:r>
      <w:r>
        <w:rPr>
          <w:rFonts w:ascii="宋体" w:hAnsi="宋体" w:cs="宋体"/>
          <w:kern w:val="0"/>
          <w:szCs w:val="21"/>
        </w:rPr>
        <w:t>政金债指数</w:t>
      </w:r>
      <w:r>
        <w:rPr>
          <w:rFonts w:ascii="宋体" w:hAnsi="宋体" w:cs="宋体"/>
          <w:kern w:val="0"/>
          <w:szCs w:val="21"/>
        </w:rPr>
        <w:t>C</w:t>
      </w:r>
      <w:r>
        <w:rPr>
          <w:rFonts w:ascii="宋体" w:hAnsi="宋体" w:cs="宋体"/>
          <w:kern w:val="0"/>
          <w:szCs w:val="21"/>
        </w:rPr>
        <w:t>、博时中债</w:t>
      </w:r>
      <w:r>
        <w:rPr>
          <w:rFonts w:ascii="宋体" w:hAnsi="宋体" w:cs="宋体"/>
          <w:kern w:val="0"/>
          <w:szCs w:val="21"/>
        </w:rPr>
        <w:t>5-10</w:t>
      </w:r>
      <w:r>
        <w:rPr>
          <w:rFonts w:ascii="宋体" w:hAnsi="宋体" w:cs="宋体"/>
          <w:kern w:val="0"/>
          <w:szCs w:val="21"/>
        </w:rPr>
        <w:t>农发行</w:t>
      </w:r>
      <w:r>
        <w:rPr>
          <w:rFonts w:ascii="宋体" w:hAnsi="宋体" w:cs="宋体"/>
          <w:kern w:val="0"/>
          <w:szCs w:val="21"/>
        </w:rPr>
        <w:t>C</w:t>
      </w:r>
      <w:r>
        <w:rPr>
          <w:rFonts w:ascii="宋体" w:hAnsi="宋体" w:cs="宋体"/>
          <w:kern w:val="0"/>
          <w:szCs w:val="21"/>
        </w:rPr>
        <w:t>、博时中债</w:t>
      </w:r>
      <w:r>
        <w:rPr>
          <w:rFonts w:ascii="宋体" w:hAnsi="宋体" w:cs="宋体"/>
          <w:kern w:val="0"/>
          <w:szCs w:val="21"/>
        </w:rPr>
        <w:t>5-10</w:t>
      </w:r>
      <w:r>
        <w:rPr>
          <w:rFonts w:ascii="宋体" w:hAnsi="宋体" w:cs="宋体"/>
          <w:kern w:val="0"/>
          <w:szCs w:val="21"/>
        </w:rPr>
        <w:t>农发行</w:t>
      </w:r>
      <w:r>
        <w:rPr>
          <w:rFonts w:ascii="宋体" w:hAnsi="宋体" w:cs="宋体"/>
          <w:kern w:val="0"/>
          <w:szCs w:val="21"/>
        </w:rPr>
        <w:t>E</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博时基金于</w:t>
      </w:r>
      <w:r>
        <w:rPr>
          <w:rFonts w:ascii="宋体" w:hAnsi="宋体" w:cs="宋体"/>
          <w:kern w:val="0"/>
          <w:szCs w:val="21"/>
        </w:rPr>
        <w:t>2025</w:t>
      </w:r>
      <w:r>
        <w:rPr>
          <w:rFonts w:ascii="宋体" w:hAnsi="宋体" w:cs="宋体"/>
          <w:kern w:val="0"/>
          <w:szCs w:val="21"/>
        </w:rPr>
        <w:t>年</w:t>
      </w:r>
      <w:r>
        <w:rPr>
          <w:rFonts w:ascii="宋体" w:hAnsi="宋体" w:cs="宋体"/>
          <w:kern w:val="0"/>
          <w:szCs w:val="21"/>
        </w:rPr>
        <w:t>10</w:t>
      </w:r>
      <w:r>
        <w:rPr>
          <w:rFonts w:ascii="宋体" w:hAnsi="宋体" w:cs="宋体"/>
          <w:kern w:val="0"/>
          <w:szCs w:val="21"/>
        </w:rPr>
        <w:t>月</w:t>
      </w:r>
      <w:r>
        <w:rPr>
          <w:rFonts w:ascii="宋体" w:hAnsi="宋体" w:cs="宋体"/>
          <w:kern w:val="0"/>
          <w:szCs w:val="21"/>
        </w:rPr>
        <w:t>31</w:t>
      </w:r>
      <w:r>
        <w:rPr>
          <w:rFonts w:ascii="宋体" w:hAnsi="宋体" w:cs="宋体"/>
          <w:kern w:val="0"/>
          <w:szCs w:val="21"/>
        </w:rPr>
        <w:t>日受到中国证监会深圳监管局的处罚，受到的具体措施类型为：责令改正、暂停部分业务；原因为：合规内控；管理人采取整改措施的情况：公司已采取完善制度、优化流程、强化监督等措施，全面完成整改工作，已通过整改验收。</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易方达中债</w:t>
      </w:r>
      <w:r>
        <w:rPr>
          <w:rFonts w:ascii="宋体" w:hAnsi="宋体" w:cs="宋体"/>
          <w:kern w:val="0"/>
          <w:szCs w:val="21"/>
        </w:rPr>
        <w:t>7-10</w:t>
      </w:r>
      <w:r>
        <w:rPr>
          <w:rFonts w:ascii="宋体" w:hAnsi="宋体" w:cs="宋体"/>
          <w:kern w:val="0"/>
          <w:szCs w:val="21"/>
        </w:rPr>
        <w:t>年期国开行债券指数</w:t>
      </w:r>
      <w:r>
        <w:rPr>
          <w:rFonts w:ascii="宋体" w:hAnsi="宋体" w:cs="宋体"/>
          <w:kern w:val="0"/>
          <w:szCs w:val="21"/>
        </w:rPr>
        <w:t>C</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易方达基金于</w:t>
      </w:r>
      <w:r>
        <w:rPr>
          <w:rFonts w:ascii="宋体" w:hAnsi="宋体" w:cs="宋体"/>
          <w:kern w:val="0"/>
          <w:szCs w:val="21"/>
        </w:rPr>
        <w:t>2025</w:t>
      </w:r>
      <w:r>
        <w:rPr>
          <w:rFonts w:ascii="宋体" w:hAnsi="宋体" w:cs="宋体"/>
          <w:kern w:val="0"/>
          <w:szCs w:val="21"/>
        </w:rPr>
        <w:t>年</w:t>
      </w:r>
      <w:r>
        <w:rPr>
          <w:rFonts w:ascii="宋体" w:hAnsi="宋体" w:cs="宋体"/>
          <w:kern w:val="0"/>
          <w:szCs w:val="21"/>
        </w:rPr>
        <w:t>11</w:t>
      </w:r>
      <w:r>
        <w:rPr>
          <w:rFonts w:ascii="宋体" w:hAnsi="宋体" w:cs="宋体"/>
          <w:kern w:val="0"/>
          <w:szCs w:val="21"/>
        </w:rPr>
        <w:t>月</w:t>
      </w:r>
      <w:r>
        <w:rPr>
          <w:rFonts w:ascii="宋体" w:hAnsi="宋体" w:cs="宋体"/>
          <w:kern w:val="0"/>
          <w:szCs w:val="21"/>
        </w:rPr>
        <w:t>5</w:t>
      </w:r>
      <w:r>
        <w:rPr>
          <w:rFonts w:ascii="宋体" w:hAnsi="宋体" w:cs="宋体"/>
          <w:kern w:val="0"/>
          <w:szCs w:val="21"/>
        </w:rPr>
        <w:t>日受到中国证监会广东监管局的处罚，受到的具体措施类型为：出具警示函；原因为：投资运作、合规内控、其他问题（销售管理）；管理人采取整改措施的情况：监管部门对管理人上述方面部分制度机制不完善、规定执行不严格提出</w:t>
      </w:r>
      <w:r>
        <w:rPr>
          <w:rFonts w:ascii="宋体" w:hAnsi="宋体" w:cs="宋体"/>
          <w:kern w:val="0"/>
          <w:szCs w:val="21"/>
        </w:rPr>
        <w:t>整改意见，管理人已及时通过完善制度、优化流程和系统功能等措施完成整改，整改成果已经监管部门验收通过。</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南方中债</w:t>
      </w:r>
      <w:r>
        <w:rPr>
          <w:rFonts w:ascii="宋体" w:hAnsi="宋体" w:cs="宋体"/>
          <w:kern w:val="0"/>
          <w:szCs w:val="21"/>
        </w:rPr>
        <w:t>7-10</w:t>
      </w:r>
      <w:r>
        <w:rPr>
          <w:rFonts w:ascii="宋体" w:hAnsi="宋体" w:cs="宋体"/>
          <w:kern w:val="0"/>
          <w:szCs w:val="21"/>
        </w:rPr>
        <w:t>年国开行债券指数</w:t>
      </w:r>
      <w:r>
        <w:rPr>
          <w:rFonts w:ascii="宋体" w:hAnsi="宋体" w:cs="宋体"/>
          <w:kern w:val="0"/>
          <w:szCs w:val="21"/>
        </w:rPr>
        <w:t>C</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南方基金于</w:t>
      </w:r>
      <w:r>
        <w:rPr>
          <w:rFonts w:ascii="宋体" w:hAnsi="宋体" w:cs="宋体"/>
          <w:kern w:val="0"/>
          <w:szCs w:val="21"/>
        </w:rPr>
        <w:t>2025</w:t>
      </w:r>
      <w:r>
        <w:rPr>
          <w:rFonts w:ascii="宋体" w:hAnsi="宋体" w:cs="宋体"/>
          <w:kern w:val="0"/>
          <w:szCs w:val="21"/>
        </w:rPr>
        <w:t>年</w:t>
      </w:r>
      <w:r>
        <w:rPr>
          <w:rFonts w:ascii="宋体" w:hAnsi="宋体" w:cs="宋体"/>
          <w:kern w:val="0"/>
          <w:szCs w:val="21"/>
        </w:rPr>
        <w:t>10</w:t>
      </w:r>
      <w:r>
        <w:rPr>
          <w:rFonts w:ascii="宋体" w:hAnsi="宋体" w:cs="宋体"/>
          <w:kern w:val="0"/>
          <w:szCs w:val="21"/>
        </w:rPr>
        <w:t>月</w:t>
      </w:r>
      <w:r>
        <w:rPr>
          <w:rFonts w:ascii="宋体" w:hAnsi="宋体" w:cs="宋体"/>
          <w:kern w:val="0"/>
          <w:szCs w:val="21"/>
        </w:rPr>
        <w:t>17</w:t>
      </w:r>
      <w:r>
        <w:rPr>
          <w:rFonts w:ascii="宋体" w:hAnsi="宋体" w:cs="宋体"/>
          <w:kern w:val="0"/>
          <w:szCs w:val="21"/>
        </w:rPr>
        <w:t>日和</w:t>
      </w:r>
      <w:r>
        <w:rPr>
          <w:rFonts w:ascii="宋体" w:hAnsi="宋体" w:cs="宋体"/>
          <w:kern w:val="0"/>
          <w:szCs w:val="21"/>
        </w:rPr>
        <w:t>11</w:t>
      </w:r>
      <w:r>
        <w:rPr>
          <w:rFonts w:ascii="宋体" w:hAnsi="宋体" w:cs="宋体"/>
          <w:kern w:val="0"/>
          <w:szCs w:val="21"/>
        </w:rPr>
        <w:t>月</w:t>
      </w:r>
      <w:r>
        <w:rPr>
          <w:rFonts w:ascii="宋体" w:hAnsi="宋体" w:cs="宋体"/>
          <w:kern w:val="0"/>
          <w:szCs w:val="21"/>
        </w:rPr>
        <w:t>18</w:t>
      </w:r>
      <w:r>
        <w:rPr>
          <w:rFonts w:ascii="宋体" w:hAnsi="宋体" w:cs="宋体"/>
          <w:kern w:val="0"/>
          <w:szCs w:val="21"/>
        </w:rPr>
        <w:t>日分别受到中国证监会深圳监管局和国家外汇管理局深圳市分局的处罚，受到的具体措施类型分别为：责令改正，警告、罚款；原因分别为：投资运作、人员管理、其他问题</w:t>
      </w:r>
      <w:r>
        <w:rPr>
          <w:rFonts w:ascii="宋体" w:hAnsi="宋体" w:cs="宋体"/>
          <w:kern w:val="0"/>
          <w:szCs w:val="21"/>
        </w:rPr>
        <w:t>(</w:t>
      </w:r>
      <w:r>
        <w:rPr>
          <w:rFonts w:ascii="宋体" w:hAnsi="宋体" w:cs="宋体"/>
          <w:kern w:val="0"/>
          <w:szCs w:val="21"/>
        </w:rPr>
        <w:t>销售管理</w:t>
      </w:r>
      <w:r>
        <w:rPr>
          <w:rFonts w:ascii="宋体" w:hAnsi="宋体" w:cs="宋体"/>
          <w:kern w:val="0"/>
          <w:szCs w:val="21"/>
        </w:rPr>
        <w:t>)</w:t>
      </w:r>
      <w:r>
        <w:rPr>
          <w:rFonts w:ascii="宋体" w:hAnsi="宋体" w:cs="宋体"/>
          <w:kern w:val="0"/>
          <w:szCs w:val="21"/>
        </w:rPr>
        <w:t>，其他问题</w:t>
      </w:r>
      <w:r>
        <w:rPr>
          <w:rFonts w:ascii="宋体" w:hAnsi="宋体" w:cs="宋体"/>
          <w:kern w:val="0"/>
          <w:szCs w:val="21"/>
        </w:rPr>
        <w:t>(</w:t>
      </w:r>
      <w:r>
        <w:rPr>
          <w:rFonts w:ascii="宋体" w:hAnsi="宋体" w:cs="宋体"/>
          <w:kern w:val="0"/>
          <w:szCs w:val="21"/>
        </w:rPr>
        <w:t>外汇登记</w:t>
      </w:r>
      <w:r>
        <w:rPr>
          <w:rFonts w:ascii="宋体" w:hAnsi="宋体" w:cs="宋体"/>
          <w:kern w:val="0"/>
          <w:szCs w:val="21"/>
        </w:rPr>
        <w:t>)</w:t>
      </w:r>
      <w:r>
        <w:rPr>
          <w:rFonts w:ascii="宋体" w:hAnsi="宋体" w:cs="宋体"/>
          <w:kern w:val="0"/>
          <w:szCs w:val="21"/>
        </w:rPr>
        <w:t>；管理人采取整改措施的情况：公司已通过完善制度、优化流程等整改措施完成整改，整改成果已经中</w:t>
      </w:r>
      <w:r>
        <w:rPr>
          <w:rFonts w:ascii="宋体" w:hAnsi="宋体" w:cs="宋体"/>
          <w:kern w:val="0"/>
          <w:szCs w:val="21"/>
        </w:rPr>
        <w:lastRenderedPageBreak/>
        <w:t>国证监会深圳监管局验收通过；公司已完成整改，整改成果已</w:t>
      </w:r>
      <w:r>
        <w:rPr>
          <w:rFonts w:ascii="宋体" w:hAnsi="宋体" w:cs="宋体"/>
          <w:kern w:val="0"/>
          <w:szCs w:val="21"/>
        </w:rPr>
        <w:t>向国家外汇管理局深圳市分局报告并通过。</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汇添富中债</w:t>
      </w:r>
      <w:r>
        <w:rPr>
          <w:rFonts w:ascii="宋体" w:hAnsi="宋体" w:cs="宋体"/>
          <w:kern w:val="0"/>
          <w:szCs w:val="21"/>
        </w:rPr>
        <w:t>7-10</w:t>
      </w:r>
      <w:r>
        <w:rPr>
          <w:rFonts w:ascii="宋体" w:hAnsi="宋体" w:cs="宋体"/>
          <w:kern w:val="0"/>
          <w:szCs w:val="21"/>
        </w:rPr>
        <w:t>年国开债</w:t>
      </w:r>
      <w:r>
        <w:rPr>
          <w:rFonts w:ascii="宋体" w:hAnsi="宋体" w:cs="宋体"/>
          <w:kern w:val="0"/>
          <w:szCs w:val="21"/>
        </w:rPr>
        <w:t>C</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汇添富基金于</w:t>
      </w:r>
      <w:r>
        <w:rPr>
          <w:rFonts w:ascii="宋体" w:hAnsi="宋体" w:cs="宋体"/>
          <w:kern w:val="0"/>
          <w:szCs w:val="21"/>
        </w:rPr>
        <w:t>2025</w:t>
      </w:r>
      <w:r>
        <w:rPr>
          <w:rFonts w:ascii="宋体" w:hAnsi="宋体" w:cs="宋体"/>
          <w:kern w:val="0"/>
          <w:szCs w:val="21"/>
        </w:rPr>
        <w:t>年</w:t>
      </w:r>
      <w:r>
        <w:rPr>
          <w:rFonts w:ascii="宋体" w:hAnsi="宋体" w:cs="宋体"/>
          <w:kern w:val="0"/>
          <w:szCs w:val="21"/>
        </w:rPr>
        <w:t>11</w:t>
      </w:r>
      <w:r>
        <w:rPr>
          <w:rFonts w:ascii="宋体" w:hAnsi="宋体" w:cs="宋体"/>
          <w:kern w:val="0"/>
          <w:szCs w:val="21"/>
        </w:rPr>
        <w:t>月</w:t>
      </w:r>
      <w:r>
        <w:rPr>
          <w:rFonts w:ascii="宋体" w:hAnsi="宋体" w:cs="宋体"/>
          <w:kern w:val="0"/>
          <w:szCs w:val="21"/>
        </w:rPr>
        <w:t>11</w:t>
      </w:r>
      <w:r>
        <w:rPr>
          <w:rFonts w:ascii="宋体" w:hAnsi="宋体" w:cs="宋体"/>
          <w:kern w:val="0"/>
          <w:szCs w:val="21"/>
        </w:rPr>
        <w:t>日受到中国证监会上海证监局的处罚，受到的具体措施类型为：责令改正；原因为：合规内控、投资运作、其他问题</w:t>
      </w:r>
      <w:r>
        <w:rPr>
          <w:rFonts w:ascii="宋体" w:hAnsi="宋体" w:cs="宋体"/>
          <w:kern w:val="0"/>
          <w:szCs w:val="21"/>
        </w:rPr>
        <w:t>(</w:t>
      </w:r>
      <w:r>
        <w:rPr>
          <w:rFonts w:ascii="宋体" w:hAnsi="宋体" w:cs="宋体"/>
          <w:kern w:val="0"/>
          <w:szCs w:val="21"/>
        </w:rPr>
        <w:t>基金销售等</w:t>
      </w:r>
      <w:r>
        <w:rPr>
          <w:rFonts w:ascii="宋体" w:hAnsi="宋体" w:cs="宋体"/>
          <w:kern w:val="0"/>
          <w:szCs w:val="21"/>
        </w:rPr>
        <w:t>)</w:t>
      </w:r>
      <w:r>
        <w:rPr>
          <w:rFonts w:ascii="宋体" w:hAnsi="宋体" w:cs="宋体"/>
          <w:kern w:val="0"/>
          <w:szCs w:val="21"/>
        </w:rPr>
        <w:t>；管理人采取整改措施的情况：公司高度重视监管检查指出的问题及整改要求，通过完善制度、优化管理等完成相关问题整改并已通过监管检查验收。公司将从严加强内控及各业务管理，持续提升管理质效。</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本公司对以上证券的投资决策程序符合法律法规及公司制度的相关规定，不存在损害基金份额持有人利益的行为。除此之外，</w:t>
      </w:r>
      <w:r>
        <w:rPr>
          <w:rFonts w:ascii="宋体" w:hAnsi="宋体" w:cs="宋体"/>
          <w:kern w:val="0"/>
          <w:szCs w:val="21"/>
        </w:rPr>
        <w:t>本基金投资的其他前十名证券的发行主体本期未被监管部门立案调查</w:t>
      </w:r>
      <w:r>
        <w:rPr>
          <w:rFonts w:ascii="宋体" w:hAnsi="宋体" w:cs="宋体"/>
          <w:kern w:val="0"/>
          <w:szCs w:val="21"/>
        </w:rPr>
        <w:t>,</w:t>
      </w:r>
      <w:r>
        <w:rPr>
          <w:rFonts w:ascii="宋体" w:hAnsi="宋体" w:cs="宋体"/>
          <w:kern w:val="0"/>
          <w:szCs w:val="21"/>
        </w:rPr>
        <w:t>且在本报告编制日前一年内未受到公开谴责、处罚。</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11.2</w:t>
      </w:r>
      <w:r>
        <w:rPr>
          <w:rFonts w:ascii="宋体" w:hAnsi="宋体" w:cs="宋体"/>
          <w:kern w:val="0"/>
          <w:szCs w:val="21"/>
        </w:rPr>
        <w:t>基金投资的前十名股票是否超出基金合同约定的备选股票库</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本基金投资的前十名股票</w:t>
      </w:r>
      <w:r>
        <w:rPr>
          <w:rFonts w:ascii="宋体" w:hAnsi="宋体" w:cs="宋体"/>
          <w:kern w:val="0"/>
          <w:szCs w:val="21"/>
        </w:rPr>
        <w:t>/</w:t>
      </w:r>
      <w:r>
        <w:rPr>
          <w:rFonts w:ascii="宋体" w:hAnsi="宋体" w:cs="宋体"/>
          <w:kern w:val="0"/>
          <w:szCs w:val="21"/>
        </w:rPr>
        <w:t>基金未超出基金合同规定的备选股票</w:t>
      </w:r>
      <w:r>
        <w:rPr>
          <w:rFonts w:ascii="宋体" w:hAnsi="宋体" w:cs="宋体"/>
          <w:kern w:val="0"/>
          <w:szCs w:val="21"/>
        </w:rPr>
        <w:t>/</w:t>
      </w:r>
      <w:r>
        <w:rPr>
          <w:rFonts w:ascii="宋体" w:hAnsi="宋体" w:cs="宋体"/>
          <w:kern w:val="0"/>
          <w:szCs w:val="21"/>
        </w:rPr>
        <w:t>基金库。</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11.3</w:t>
      </w:r>
      <w:r>
        <w:rPr>
          <w:rFonts w:ascii="宋体" w:hAnsi="宋体" w:cs="宋体"/>
          <w:kern w:val="0"/>
          <w:szCs w:val="21"/>
        </w:rPr>
        <w:t>其他资产构成</w:t>
      </w:r>
    </w:p>
    <w:tbl>
      <w:tblPr>
        <w:tblStyle w:val="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5E0" w:firstRow="1" w:lastRow="1" w:firstColumn="1" w:lastColumn="1" w:noHBand="0" w:noVBand="1"/>
      </w:tblPr>
      <w:tblGrid>
        <w:gridCol w:w="911"/>
        <w:gridCol w:w="2661"/>
        <w:gridCol w:w="4715"/>
      </w:tblGrid>
      <w:tr w:rsidR="00796C66">
        <w:trPr>
          <w:trHeight w:val="304"/>
          <w:jc w:val="center"/>
        </w:trPr>
        <w:tc>
          <w:tcPr>
            <w:tcW w:w="939" w:type="dxa"/>
            <w:tcBorders>
              <w:top w:val="single" w:sz="8" w:space="0" w:color="000000"/>
              <w:left w:val="single" w:sz="8" w:space="0" w:color="000000"/>
              <w:bottom w:val="single" w:sz="4" w:space="0" w:color="000000"/>
              <w:right w:val="single" w:sz="4" w:space="0" w:color="000000"/>
            </w:tcBorders>
            <w:shd w:val="clear" w:color="auto" w:fill="D9D9D9"/>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序号</w:t>
            </w:r>
          </w:p>
        </w:tc>
        <w:tc>
          <w:tcPr>
            <w:tcW w:w="2794"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名称</w:t>
            </w:r>
          </w:p>
        </w:tc>
        <w:tc>
          <w:tcPr>
            <w:tcW w:w="4926" w:type="dxa"/>
            <w:tcBorders>
              <w:top w:val="single" w:sz="8" w:space="0" w:color="000000"/>
              <w:left w:val="single" w:sz="4" w:space="0" w:color="000000"/>
              <w:bottom w:val="single" w:sz="4" w:space="0" w:color="000000"/>
              <w:right w:val="single" w:sz="8" w:space="0" w:color="000000"/>
            </w:tcBorders>
            <w:shd w:val="clear" w:color="auto" w:fill="D9D9D9"/>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金额（元）</w:t>
            </w:r>
          </w:p>
        </w:tc>
      </w:tr>
      <w:tr w:rsidR="00796C66">
        <w:trPr>
          <w:trHeight w:val="304"/>
          <w:jc w:val="center"/>
        </w:trPr>
        <w:tc>
          <w:tcPr>
            <w:tcW w:w="724"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w:t>
            </w:r>
          </w:p>
        </w:tc>
        <w:tc>
          <w:tcPr>
            <w:tcW w:w="279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存出保证金</w:t>
            </w:r>
          </w:p>
        </w:tc>
        <w:tc>
          <w:tcPr>
            <w:tcW w:w="4926"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21"/>
          <w:jc w:val="center"/>
        </w:trPr>
        <w:tc>
          <w:tcPr>
            <w:tcW w:w="724"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w:t>
            </w:r>
          </w:p>
        </w:tc>
        <w:tc>
          <w:tcPr>
            <w:tcW w:w="279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应收证券清算款</w:t>
            </w:r>
          </w:p>
        </w:tc>
        <w:tc>
          <w:tcPr>
            <w:tcW w:w="4926"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04"/>
          <w:jc w:val="center"/>
        </w:trPr>
        <w:tc>
          <w:tcPr>
            <w:tcW w:w="724"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3</w:t>
            </w:r>
          </w:p>
        </w:tc>
        <w:tc>
          <w:tcPr>
            <w:tcW w:w="279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应收股利</w:t>
            </w:r>
          </w:p>
        </w:tc>
        <w:tc>
          <w:tcPr>
            <w:tcW w:w="4926"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129.38</w:t>
            </w:r>
          </w:p>
        </w:tc>
      </w:tr>
      <w:tr w:rsidR="00796C66">
        <w:trPr>
          <w:trHeight w:val="321"/>
          <w:jc w:val="center"/>
        </w:trPr>
        <w:tc>
          <w:tcPr>
            <w:tcW w:w="724"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4</w:t>
            </w:r>
          </w:p>
        </w:tc>
        <w:tc>
          <w:tcPr>
            <w:tcW w:w="279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应收利息</w:t>
            </w:r>
          </w:p>
        </w:tc>
        <w:tc>
          <w:tcPr>
            <w:tcW w:w="4926"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04"/>
          <w:jc w:val="center"/>
        </w:trPr>
        <w:tc>
          <w:tcPr>
            <w:tcW w:w="724"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5</w:t>
            </w:r>
          </w:p>
        </w:tc>
        <w:tc>
          <w:tcPr>
            <w:tcW w:w="279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应收申购款</w:t>
            </w:r>
          </w:p>
        </w:tc>
        <w:tc>
          <w:tcPr>
            <w:tcW w:w="4926"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50,484.08</w:t>
            </w:r>
          </w:p>
        </w:tc>
      </w:tr>
      <w:tr w:rsidR="00796C66">
        <w:trPr>
          <w:trHeight w:val="321"/>
          <w:jc w:val="center"/>
        </w:trPr>
        <w:tc>
          <w:tcPr>
            <w:tcW w:w="724"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6</w:t>
            </w:r>
          </w:p>
        </w:tc>
        <w:tc>
          <w:tcPr>
            <w:tcW w:w="279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其他应收款</w:t>
            </w:r>
          </w:p>
        </w:tc>
        <w:tc>
          <w:tcPr>
            <w:tcW w:w="4926"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21"/>
          <w:jc w:val="center"/>
        </w:trPr>
        <w:tc>
          <w:tcPr>
            <w:tcW w:w="724"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w:t>
            </w:r>
          </w:p>
        </w:tc>
        <w:tc>
          <w:tcPr>
            <w:tcW w:w="279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其他</w:t>
            </w:r>
          </w:p>
        </w:tc>
        <w:tc>
          <w:tcPr>
            <w:tcW w:w="4926"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trHeight w:val="321"/>
          <w:jc w:val="center"/>
        </w:trPr>
        <w:tc>
          <w:tcPr>
            <w:tcW w:w="724" w:type="dxa"/>
            <w:tcBorders>
              <w:top w:val="single" w:sz="4" w:space="0" w:color="000000"/>
              <w:left w:val="single" w:sz="8" w:space="0" w:color="000000"/>
              <w:bottom w:val="single" w:sz="8"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8</w:t>
            </w:r>
          </w:p>
        </w:tc>
        <w:tc>
          <w:tcPr>
            <w:tcW w:w="2794"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合计</w:t>
            </w:r>
          </w:p>
        </w:tc>
        <w:tc>
          <w:tcPr>
            <w:tcW w:w="4926" w:type="dxa"/>
            <w:tcBorders>
              <w:top w:val="single" w:sz="4" w:space="0" w:color="000000"/>
              <w:left w:val="single" w:sz="4" w:space="0" w:color="000000"/>
              <w:bottom w:val="single" w:sz="8"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50,613.46</w:t>
            </w:r>
          </w:p>
        </w:tc>
      </w:tr>
    </w:tbl>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11.4</w:t>
      </w:r>
      <w:r>
        <w:rPr>
          <w:rFonts w:ascii="宋体" w:hAnsi="宋体" w:cs="宋体"/>
          <w:kern w:val="0"/>
          <w:szCs w:val="21"/>
        </w:rPr>
        <w:t>报告期末持有的处于转股期的可转换债券明细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本基金本报告期末未持有处于转股期的可转换债券。</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11.5</w:t>
      </w:r>
      <w:r>
        <w:rPr>
          <w:rFonts w:ascii="宋体" w:hAnsi="宋体" w:cs="宋体"/>
          <w:kern w:val="0"/>
          <w:szCs w:val="21"/>
        </w:rPr>
        <w:t>报告期末前十名股票中存在流通受限情况的说明</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本基金本报告期末未持有股票。</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11.6</w:t>
      </w:r>
      <w:r>
        <w:rPr>
          <w:rFonts w:ascii="宋体" w:hAnsi="宋体" w:cs="宋体"/>
          <w:kern w:val="0"/>
          <w:szCs w:val="21"/>
        </w:rPr>
        <w:t>投资组合报告附注的其他文字描述部分</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由于四舍五入的原因，分项之和与合计项之间可能存在尾差。</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12.</w:t>
      </w:r>
      <w:r>
        <w:rPr>
          <w:rFonts w:ascii="宋体" w:hAnsi="宋体" w:cs="宋体"/>
          <w:kern w:val="0"/>
          <w:szCs w:val="21"/>
        </w:rPr>
        <w:t>报告期末按公允价值占基金资产净值比例大小排序的前十名基金投资明细</w:t>
      </w:r>
    </w:p>
    <w:tbl>
      <w:tblPr>
        <w:tblStyle w:val="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5E0" w:firstRow="1" w:lastRow="1" w:firstColumn="1" w:lastColumn="1" w:noHBand="0" w:noVBand="1"/>
      </w:tblPr>
      <w:tblGrid>
        <w:gridCol w:w="621"/>
        <w:gridCol w:w="870"/>
        <w:gridCol w:w="1300"/>
        <w:gridCol w:w="850"/>
        <w:gridCol w:w="1507"/>
        <w:gridCol w:w="1507"/>
        <w:gridCol w:w="888"/>
        <w:gridCol w:w="744"/>
      </w:tblGrid>
      <w:tr w:rsidR="00796C66">
        <w:trPr>
          <w:jc w:val="center"/>
        </w:trPr>
        <w:tc>
          <w:tcPr>
            <w:tcW w:w="939" w:type="dxa"/>
            <w:tcBorders>
              <w:top w:val="single" w:sz="8" w:space="0" w:color="000000"/>
              <w:left w:val="single" w:sz="8" w:space="0" w:color="000000"/>
              <w:bottom w:val="single" w:sz="4" w:space="0" w:color="000000"/>
              <w:right w:val="single" w:sz="4" w:space="0" w:color="000000"/>
            </w:tcBorders>
            <w:shd w:val="clear" w:color="auto" w:fill="D9D9D9"/>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序</w:t>
            </w:r>
            <w:r>
              <w:rPr>
                <w:rFonts w:ascii="宋体" w:hAnsi="宋体" w:cs="宋体"/>
                <w:color w:val="000000"/>
                <w:kern w:val="0"/>
                <w:szCs w:val="21"/>
              </w:rPr>
              <w:lastRenderedPageBreak/>
              <w:t>号</w:t>
            </w:r>
          </w:p>
        </w:tc>
        <w:tc>
          <w:tcPr>
            <w:tcW w:w="910"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基金</w:t>
            </w:r>
          </w:p>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代码</w:t>
            </w:r>
          </w:p>
        </w:tc>
        <w:tc>
          <w:tcPr>
            <w:tcW w:w="2761"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基金名称</w:t>
            </w:r>
          </w:p>
        </w:tc>
        <w:tc>
          <w:tcPr>
            <w:tcW w:w="1559"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运作方</w:t>
            </w:r>
            <w:r>
              <w:rPr>
                <w:rFonts w:ascii="宋体" w:hAnsi="宋体" w:cs="宋体"/>
                <w:color w:val="000000"/>
                <w:kern w:val="0"/>
                <w:szCs w:val="21"/>
              </w:rPr>
              <w:lastRenderedPageBreak/>
              <w:t>式</w:t>
            </w:r>
          </w:p>
        </w:tc>
        <w:tc>
          <w:tcPr>
            <w:tcW w:w="1559"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持有份额</w:t>
            </w:r>
            <w:r>
              <w:rPr>
                <w:rFonts w:ascii="宋体" w:hAnsi="宋体" w:cs="宋体"/>
                <w:color w:val="000000"/>
                <w:kern w:val="0"/>
                <w:szCs w:val="21"/>
              </w:rPr>
              <w:lastRenderedPageBreak/>
              <w:t>（份）</w:t>
            </w:r>
          </w:p>
        </w:tc>
        <w:tc>
          <w:tcPr>
            <w:tcW w:w="1559"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公允价值</w:t>
            </w:r>
            <w:r>
              <w:rPr>
                <w:rFonts w:ascii="宋体" w:hAnsi="宋体" w:cs="宋体"/>
                <w:color w:val="000000"/>
                <w:kern w:val="0"/>
                <w:szCs w:val="21"/>
              </w:rPr>
              <w:lastRenderedPageBreak/>
              <w:t>（元）</w:t>
            </w:r>
          </w:p>
        </w:tc>
        <w:tc>
          <w:tcPr>
            <w:tcW w:w="1134"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占基金</w:t>
            </w:r>
            <w:r>
              <w:rPr>
                <w:rFonts w:ascii="宋体" w:hAnsi="宋体" w:cs="宋体"/>
                <w:color w:val="000000"/>
                <w:kern w:val="0"/>
                <w:szCs w:val="21"/>
              </w:rPr>
              <w:lastRenderedPageBreak/>
              <w:t>资产净值比例（</w:t>
            </w:r>
            <w:r>
              <w:rPr>
                <w:rFonts w:ascii="宋体" w:hAnsi="宋体" w:cs="宋体"/>
                <w:color w:val="000000"/>
                <w:kern w:val="0"/>
                <w:szCs w:val="21"/>
              </w:rPr>
              <w:t>%</w:t>
            </w:r>
            <w:r>
              <w:rPr>
                <w:rFonts w:ascii="宋体" w:hAnsi="宋体" w:cs="宋体"/>
                <w:color w:val="000000"/>
                <w:kern w:val="0"/>
                <w:szCs w:val="21"/>
              </w:rPr>
              <w:t>）</w:t>
            </w:r>
          </w:p>
        </w:tc>
        <w:tc>
          <w:tcPr>
            <w:tcW w:w="1270" w:type="dxa"/>
            <w:tcBorders>
              <w:top w:val="single" w:sz="8" w:space="0" w:color="000000"/>
              <w:left w:val="single" w:sz="4" w:space="0" w:color="000000"/>
              <w:bottom w:val="single" w:sz="4" w:space="0" w:color="000000"/>
              <w:right w:val="single" w:sz="8" w:space="0" w:color="000000"/>
            </w:tcBorders>
            <w:shd w:val="clear" w:color="auto" w:fill="D9D9D9"/>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是否</w:t>
            </w:r>
            <w:r>
              <w:rPr>
                <w:rFonts w:ascii="宋体" w:hAnsi="宋体" w:cs="宋体"/>
                <w:color w:val="000000"/>
                <w:kern w:val="0"/>
                <w:szCs w:val="21"/>
              </w:rPr>
              <w:lastRenderedPageBreak/>
              <w:t>属于基金管理人及管理人关联方所管理的基金</w:t>
            </w:r>
          </w:p>
        </w:tc>
      </w:tr>
      <w:tr w:rsidR="00796C66">
        <w:trPr>
          <w:jc w:val="center"/>
        </w:trPr>
        <w:tc>
          <w:tcPr>
            <w:tcW w:w="699"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 xml:space="preserve">1 </w:t>
            </w:r>
          </w:p>
        </w:tc>
        <w:tc>
          <w:tcPr>
            <w:tcW w:w="91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009803</w:t>
            </w:r>
          </w:p>
        </w:tc>
        <w:tc>
          <w:tcPr>
            <w:tcW w:w="276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易方达中债</w:t>
            </w:r>
            <w:r>
              <w:rPr>
                <w:rFonts w:ascii="宋体" w:hAnsi="宋体" w:cs="宋体"/>
                <w:color w:val="000000"/>
                <w:kern w:val="0"/>
                <w:szCs w:val="21"/>
              </w:rPr>
              <w:t>7-10</w:t>
            </w:r>
            <w:r>
              <w:rPr>
                <w:rFonts w:ascii="宋体" w:hAnsi="宋体" w:cs="宋体"/>
                <w:color w:val="000000"/>
                <w:kern w:val="0"/>
                <w:szCs w:val="21"/>
              </w:rPr>
              <w:t>年期国开行债券指数</w:t>
            </w:r>
            <w:r>
              <w:rPr>
                <w:rFonts w:ascii="宋体" w:hAnsi="宋体" w:cs="宋体"/>
                <w:color w:val="000000"/>
                <w:kern w:val="0"/>
                <w:szCs w:val="21"/>
              </w:rPr>
              <w:t>C</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5,129,524.45</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6,799,697.61</w:t>
            </w:r>
          </w:p>
        </w:tc>
        <w:tc>
          <w:tcPr>
            <w:tcW w:w="113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13.77</w:t>
            </w:r>
          </w:p>
        </w:tc>
        <w:tc>
          <w:tcPr>
            <w:tcW w:w="1270"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r w:rsidR="00796C66">
        <w:trPr>
          <w:jc w:val="center"/>
        </w:trPr>
        <w:tc>
          <w:tcPr>
            <w:tcW w:w="699"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w:t>
            </w:r>
          </w:p>
        </w:tc>
        <w:tc>
          <w:tcPr>
            <w:tcW w:w="91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008055</w:t>
            </w:r>
          </w:p>
        </w:tc>
        <w:tc>
          <w:tcPr>
            <w:tcW w:w="276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汇添富中债</w:t>
            </w:r>
            <w:r>
              <w:rPr>
                <w:rFonts w:ascii="宋体" w:hAnsi="宋体" w:cs="宋体"/>
                <w:color w:val="000000"/>
                <w:kern w:val="0"/>
                <w:szCs w:val="21"/>
              </w:rPr>
              <w:t>7-10</w:t>
            </w:r>
            <w:r>
              <w:rPr>
                <w:rFonts w:ascii="宋体" w:hAnsi="宋体" w:cs="宋体"/>
                <w:color w:val="000000"/>
                <w:kern w:val="0"/>
                <w:szCs w:val="21"/>
              </w:rPr>
              <w:t>年国开债</w:t>
            </w:r>
            <w:r>
              <w:rPr>
                <w:rFonts w:ascii="宋体" w:hAnsi="宋体" w:cs="宋体"/>
                <w:color w:val="000000"/>
                <w:kern w:val="0"/>
                <w:szCs w:val="21"/>
              </w:rPr>
              <w:t>C</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5,349,401.07</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6,724,197.14</w:t>
            </w:r>
          </w:p>
        </w:tc>
        <w:tc>
          <w:tcPr>
            <w:tcW w:w="113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13.62</w:t>
            </w:r>
          </w:p>
        </w:tc>
        <w:tc>
          <w:tcPr>
            <w:tcW w:w="1270"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r w:rsidR="00796C66">
        <w:trPr>
          <w:jc w:val="center"/>
        </w:trPr>
        <w:tc>
          <w:tcPr>
            <w:tcW w:w="699"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3</w:t>
            </w:r>
          </w:p>
        </w:tc>
        <w:tc>
          <w:tcPr>
            <w:tcW w:w="91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006962</w:t>
            </w:r>
          </w:p>
        </w:tc>
        <w:tc>
          <w:tcPr>
            <w:tcW w:w="276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南方中债</w:t>
            </w:r>
            <w:r>
              <w:rPr>
                <w:rFonts w:ascii="宋体" w:hAnsi="宋体" w:cs="宋体"/>
                <w:color w:val="000000"/>
                <w:kern w:val="0"/>
                <w:szCs w:val="21"/>
              </w:rPr>
              <w:t>7-10</w:t>
            </w:r>
            <w:r>
              <w:rPr>
                <w:rFonts w:ascii="宋体" w:hAnsi="宋体" w:cs="宋体"/>
                <w:color w:val="000000"/>
                <w:kern w:val="0"/>
                <w:szCs w:val="21"/>
              </w:rPr>
              <w:t>年国开行债券指数</w:t>
            </w:r>
            <w:r>
              <w:rPr>
                <w:rFonts w:ascii="宋体" w:hAnsi="宋体" w:cs="宋体"/>
                <w:color w:val="000000"/>
                <w:kern w:val="0"/>
                <w:szCs w:val="21"/>
              </w:rPr>
              <w:t>C</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4,761,566.55</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6,330,978.88</w:t>
            </w:r>
          </w:p>
        </w:tc>
        <w:tc>
          <w:tcPr>
            <w:tcW w:w="113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12.82</w:t>
            </w:r>
          </w:p>
        </w:tc>
        <w:tc>
          <w:tcPr>
            <w:tcW w:w="1270"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r w:rsidR="00796C66">
        <w:trPr>
          <w:jc w:val="center"/>
        </w:trPr>
        <w:tc>
          <w:tcPr>
            <w:tcW w:w="699"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4</w:t>
            </w:r>
          </w:p>
        </w:tc>
        <w:tc>
          <w:tcPr>
            <w:tcW w:w="91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017838</w:t>
            </w:r>
          </w:p>
        </w:tc>
        <w:tc>
          <w:tcPr>
            <w:tcW w:w="276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博时中债</w:t>
            </w:r>
            <w:r>
              <w:rPr>
                <w:rFonts w:ascii="宋体" w:hAnsi="宋体" w:cs="宋体"/>
                <w:color w:val="000000"/>
                <w:kern w:val="0"/>
                <w:szCs w:val="21"/>
              </w:rPr>
              <w:t>7-10</w:t>
            </w:r>
            <w:r>
              <w:rPr>
                <w:rFonts w:ascii="宋体" w:hAnsi="宋体" w:cs="宋体"/>
                <w:color w:val="000000"/>
                <w:kern w:val="0"/>
                <w:szCs w:val="21"/>
              </w:rPr>
              <w:t>政金债指数</w:t>
            </w:r>
            <w:r>
              <w:rPr>
                <w:rFonts w:ascii="宋体" w:hAnsi="宋体" w:cs="宋体"/>
                <w:color w:val="000000"/>
                <w:kern w:val="0"/>
                <w:szCs w:val="21"/>
              </w:rPr>
              <w:t>C</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3,754,880.79</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4,318,488.40</w:t>
            </w:r>
          </w:p>
        </w:tc>
        <w:tc>
          <w:tcPr>
            <w:tcW w:w="113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8.75</w:t>
            </w:r>
          </w:p>
        </w:tc>
        <w:tc>
          <w:tcPr>
            <w:tcW w:w="1270"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r w:rsidR="00796C66">
        <w:trPr>
          <w:jc w:val="center"/>
        </w:trPr>
        <w:tc>
          <w:tcPr>
            <w:tcW w:w="699"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5</w:t>
            </w:r>
          </w:p>
        </w:tc>
        <w:tc>
          <w:tcPr>
            <w:tcW w:w="91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002183</w:t>
            </w:r>
          </w:p>
        </w:tc>
        <w:tc>
          <w:tcPr>
            <w:tcW w:w="276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广发天天红</w:t>
            </w:r>
            <w:r>
              <w:rPr>
                <w:rFonts w:ascii="宋体" w:hAnsi="宋体" w:cs="宋体"/>
                <w:color w:val="000000"/>
                <w:kern w:val="0"/>
                <w:szCs w:val="21"/>
              </w:rPr>
              <w:t>B</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3,995,728.71</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3,995,728.71</w:t>
            </w:r>
          </w:p>
        </w:tc>
        <w:tc>
          <w:tcPr>
            <w:tcW w:w="113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8.09</w:t>
            </w:r>
          </w:p>
        </w:tc>
        <w:tc>
          <w:tcPr>
            <w:tcW w:w="1270"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r w:rsidR="00796C66">
        <w:trPr>
          <w:jc w:val="center"/>
        </w:trPr>
        <w:tc>
          <w:tcPr>
            <w:tcW w:w="699"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6</w:t>
            </w:r>
          </w:p>
        </w:tc>
        <w:tc>
          <w:tcPr>
            <w:tcW w:w="91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020992</w:t>
            </w:r>
          </w:p>
        </w:tc>
        <w:tc>
          <w:tcPr>
            <w:tcW w:w="276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华安中债</w:t>
            </w:r>
            <w:r>
              <w:rPr>
                <w:rFonts w:ascii="宋体" w:hAnsi="宋体" w:cs="宋体"/>
                <w:color w:val="000000"/>
                <w:kern w:val="0"/>
                <w:szCs w:val="21"/>
              </w:rPr>
              <w:t>7-10</w:t>
            </w:r>
            <w:r>
              <w:rPr>
                <w:rFonts w:ascii="宋体" w:hAnsi="宋体" w:cs="宋体"/>
                <w:color w:val="000000"/>
                <w:kern w:val="0"/>
                <w:szCs w:val="21"/>
              </w:rPr>
              <w:t>年国开债</w:t>
            </w:r>
            <w:r>
              <w:rPr>
                <w:rFonts w:ascii="宋体" w:hAnsi="宋体" w:cs="宋体"/>
                <w:color w:val="000000"/>
                <w:kern w:val="0"/>
                <w:szCs w:val="21"/>
              </w:rPr>
              <w:t>E</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2,469,887.41</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3,537,372.75</w:t>
            </w:r>
          </w:p>
        </w:tc>
        <w:tc>
          <w:tcPr>
            <w:tcW w:w="113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7.16</w:t>
            </w:r>
          </w:p>
        </w:tc>
        <w:tc>
          <w:tcPr>
            <w:tcW w:w="1270"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r w:rsidR="00796C66">
        <w:trPr>
          <w:jc w:val="center"/>
        </w:trPr>
        <w:tc>
          <w:tcPr>
            <w:tcW w:w="699"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w:t>
            </w:r>
          </w:p>
        </w:tc>
        <w:tc>
          <w:tcPr>
            <w:tcW w:w="91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008810</w:t>
            </w:r>
          </w:p>
        </w:tc>
        <w:tc>
          <w:tcPr>
            <w:tcW w:w="276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安信民稳增长混合</w:t>
            </w:r>
            <w:r>
              <w:rPr>
                <w:rFonts w:ascii="宋体" w:hAnsi="宋体" w:cs="宋体"/>
                <w:color w:val="000000"/>
                <w:kern w:val="0"/>
                <w:szCs w:val="21"/>
              </w:rPr>
              <w:t>C</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1,496,121.70</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2,328,563.81</w:t>
            </w:r>
          </w:p>
        </w:tc>
        <w:tc>
          <w:tcPr>
            <w:tcW w:w="113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4.72</w:t>
            </w:r>
          </w:p>
        </w:tc>
        <w:tc>
          <w:tcPr>
            <w:tcW w:w="1270"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r w:rsidR="00796C66">
        <w:trPr>
          <w:jc w:val="center"/>
        </w:trPr>
        <w:tc>
          <w:tcPr>
            <w:tcW w:w="699"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8</w:t>
            </w:r>
          </w:p>
        </w:tc>
        <w:tc>
          <w:tcPr>
            <w:tcW w:w="91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006849</w:t>
            </w:r>
          </w:p>
        </w:tc>
        <w:tc>
          <w:tcPr>
            <w:tcW w:w="276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博时中债</w:t>
            </w:r>
            <w:r>
              <w:rPr>
                <w:rFonts w:ascii="宋体" w:hAnsi="宋体" w:cs="宋体"/>
                <w:color w:val="000000"/>
                <w:kern w:val="0"/>
                <w:szCs w:val="21"/>
              </w:rPr>
              <w:t>5-10</w:t>
            </w:r>
            <w:r>
              <w:rPr>
                <w:rFonts w:ascii="宋体" w:hAnsi="宋体" w:cs="宋体"/>
                <w:color w:val="000000"/>
                <w:kern w:val="0"/>
                <w:szCs w:val="21"/>
              </w:rPr>
              <w:t>农发行</w:t>
            </w:r>
            <w:r>
              <w:rPr>
                <w:rFonts w:ascii="宋体" w:hAnsi="宋体" w:cs="宋体"/>
                <w:color w:val="000000"/>
                <w:kern w:val="0"/>
                <w:szCs w:val="21"/>
              </w:rPr>
              <w:t>C</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1,843,912.35</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2,112,570.38</w:t>
            </w:r>
          </w:p>
        </w:tc>
        <w:tc>
          <w:tcPr>
            <w:tcW w:w="113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4.28</w:t>
            </w:r>
          </w:p>
        </w:tc>
        <w:tc>
          <w:tcPr>
            <w:tcW w:w="1270"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r w:rsidR="00796C66">
        <w:trPr>
          <w:jc w:val="center"/>
        </w:trPr>
        <w:tc>
          <w:tcPr>
            <w:tcW w:w="699"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9</w:t>
            </w:r>
          </w:p>
        </w:tc>
        <w:tc>
          <w:tcPr>
            <w:tcW w:w="91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023156</w:t>
            </w:r>
          </w:p>
        </w:tc>
        <w:tc>
          <w:tcPr>
            <w:tcW w:w="276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博时中债</w:t>
            </w:r>
            <w:r>
              <w:rPr>
                <w:rFonts w:ascii="宋体" w:hAnsi="宋体" w:cs="宋体"/>
                <w:color w:val="000000"/>
                <w:kern w:val="0"/>
                <w:szCs w:val="21"/>
              </w:rPr>
              <w:t>5-10</w:t>
            </w:r>
            <w:r>
              <w:rPr>
                <w:rFonts w:ascii="宋体" w:hAnsi="宋体" w:cs="宋体"/>
                <w:color w:val="000000"/>
                <w:kern w:val="0"/>
                <w:szCs w:val="21"/>
              </w:rPr>
              <w:t>农发行</w:t>
            </w:r>
            <w:r>
              <w:rPr>
                <w:rFonts w:ascii="宋体" w:hAnsi="宋体" w:cs="宋体"/>
                <w:color w:val="000000"/>
                <w:kern w:val="0"/>
                <w:szCs w:val="21"/>
              </w:rPr>
              <w:t>E</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1,537,962.35</w:t>
            </w:r>
          </w:p>
        </w:tc>
        <w:tc>
          <w:tcPr>
            <w:tcW w:w="155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1,764,350.41</w:t>
            </w:r>
          </w:p>
        </w:tc>
        <w:tc>
          <w:tcPr>
            <w:tcW w:w="1134"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3.57</w:t>
            </w:r>
          </w:p>
        </w:tc>
        <w:tc>
          <w:tcPr>
            <w:tcW w:w="1270"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r w:rsidR="00796C66">
        <w:trPr>
          <w:jc w:val="center"/>
        </w:trPr>
        <w:tc>
          <w:tcPr>
            <w:tcW w:w="699" w:type="dxa"/>
            <w:tcBorders>
              <w:top w:val="single" w:sz="4" w:space="0" w:color="000000"/>
              <w:left w:val="single" w:sz="8" w:space="0" w:color="000000"/>
              <w:bottom w:val="single" w:sz="8"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10</w:t>
            </w:r>
          </w:p>
        </w:tc>
        <w:tc>
          <w:tcPr>
            <w:tcW w:w="910"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021446</w:t>
            </w:r>
          </w:p>
        </w:tc>
        <w:tc>
          <w:tcPr>
            <w:tcW w:w="2761"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华泰紫金丰睿债券发起</w:t>
            </w:r>
            <w:r>
              <w:rPr>
                <w:rFonts w:ascii="宋体" w:hAnsi="宋体" w:cs="宋体"/>
                <w:color w:val="000000"/>
                <w:kern w:val="0"/>
                <w:szCs w:val="21"/>
              </w:rPr>
              <w:t>D</w:t>
            </w:r>
          </w:p>
        </w:tc>
        <w:tc>
          <w:tcPr>
            <w:tcW w:w="1559"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契约型开放式</w:t>
            </w:r>
          </w:p>
        </w:tc>
        <w:tc>
          <w:tcPr>
            <w:tcW w:w="1559"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1,038,678.28</w:t>
            </w:r>
          </w:p>
        </w:tc>
        <w:tc>
          <w:tcPr>
            <w:tcW w:w="1559"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1,149,920.72</w:t>
            </w:r>
          </w:p>
        </w:tc>
        <w:tc>
          <w:tcPr>
            <w:tcW w:w="1134"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2.33</w:t>
            </w:r>
          </w:p>
        </w:tc>
        <w:tc>
          <w:tcPr>
            <w:tcW w:w="1270" w:type="dxa"/>
            <w:tcBorders>
              <w:top w:val="single" w:sz="4" w:space="0" w:color="000000"/>
              <w:left w:val="single" w:sz="4" w:space="0" w:color="000000"/>
              <w:bottom w:val="single" w:sz="8"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否</w:t>
            </w:r>
          </w:p>
        </w:tc>
      </w:tr>
    </w:tbl>
    <w:p w:rsidR="00796C66" w:rsidRDefault="00FB6202">
      <w:pPr>
        <w:pStyle w:val="div"/>
        <w:spacing w:line="360" w:lineRule="auto"/>
        <w:rPr>
          <w:rFonts w:ascii="宋体" w:hAnsi="宋体" w:cs="宋体"/>
          <w:kern w:val="0"/>
          <w:szCs w:val="21"/>
        </w:rPr>
      </w:pPr>
      <w:r>
        <w:rPr>
          <w:rFonts w:ascii="宋体" w:hAnsi="宋体" w:cs="宋体"/>
          <w:kern w:val="0"/>
          <w:szCs w:val="21"/>
        </w:rPr>
        <w:t>注：由于本基金可投资</w:t>
      </w:r>
      <w:r>
        <w:rPr>
          <w:rFonts w:ascii="宋体" w:hAnsi="宋体" w:cs="宋体"/>
          <w:kern w:val="0"/>
          <w:szCs w:val="21"/>
        </w:rPr>
        <w:t>QDII</w:t>
      </w:r>
      <w:r>
        <w:rPr>
          <w:rFonts w:ascii="宋体" w:hAnsi="宋体" w:cs="宋体"/>
          <w:kern w:val="0"/>
          <w:szCs w:val="21"/>
        </w:rPr>
        <w:t>基金且部分</w:t>
      </w:r>
      <w:r>
        <w:rPr>
          <w:rFonts w:ascii="宋体" w:hAnsi="宋体" w:cs="宋体"/>
          <w:kern w:val="0"/>
          <w:szCs w:val="21"/>
        </w:rPr>
        <w:t>QDII</w:t>
      </w:r>
      <w:r>
        <w:rPr>
          <w:rFonts w:ascii="宋体" w:hAnsi="宋体" w:cs="宋体"/>
          <w:kern w:val="0"/>
          <w:szCs w:val="21"/>
        </w:rPr>
        <w:t>基金</w:t>
      </w:r>
      <w:r>
        <w:rPr>
          <w:rFonts w:ascii="宋体" w:hAnsi="宋体" w:cs="宋体"/>
          <w:kern w:val="0"/>
          <w:szCs w:val="21"/>
        </w:rPr>
        <w:t>T</w:t>
      </w:r>
      <w:r>
        <w:rPr>
          <w:rFonts w:ascii="宋体" w:hAnsi="宋体" w:cs="宋体"/>
          <w:kern w:val="0"/>
          <w:szCs w:val="21"/>
        </w:rPr>
        <w:t>日的基金份额净值在</w:t>
      </w:r>
      <w:r>
        <w:rPr>
          <w:rFonts w:ascii="宋体" w:hAnsi="宋体" w:cs="宋体"/>
          <w:kern w:val="0"/>
          <w:szCs w:val="21"/>
        </w:rPr>
        <w:t>T+2</w:t>
      </w:r>
      <w:r>
        <w:rPr>
          <w:rFonts w:ascii="宋体" w:hAnsi="宋体" w:cs="宋体"/>
          <w:kern w:val="0"/>
          <w:szCs w:val="21"/>
        </w:rPr>
        <w:t>工作日内公告，一般情况下，本基金</w:t>
      </w:r>
      <w:r>
        <w:rPr>
          <w:rFonts w:ascii="宋体" w:hAnsi="宋体" w:cs="宋体"/>
          <w:kern w:val="0"/>
          <w:szCs w:val="21"/>
        </w:rPr>
        <w:t>T</w:t>
      </w:r>
      <w:r>
        <w:rPr>
          <w:rFonts w:ascii="宋体" w:hAnsi="宋体" w:cs="宋体"/>
          <w:kern w:val="0"/>
          <w:szCs w:val="21"/>
        </w:rPr>
        <w:t>日的基金份额净值和基金份额累计净值在</w:t>
      </w:r>
      <w:r>
        <w:rPr>
          <w:rFonts w:ascii="宋体" w:hAnsi="宋体" w:cs="宋体"/>
          <w:kern w:val="0"/>
          <w:szCs w:val="21"/>
        </w:rPr>
        <w:t>T+3</w:t>
      </w:r>
      <w:r>
        <w:rPr>
          <w:rFonts w:ascii="宋体" w:hAnsi="宋体" w:cs="宋体"/>
          <w:kern w:val="0"/>
          <w:szCs w:val="21"/>
        </w:rPr>
        <w:t>工作日内公告（</w:t>
      </w:r>
      <w:r>
        <w:rPr>
          <w:rFonts w:ascii="宋体" w:hAnsi="宋体" w:cs="宋体"/>
          <w:kern w:val="0"/>
          <w:szCs w:val="21"/>
        </w:rPr>
        <w:t>T</w:t>
      </w:r>
      <w:r>
        <w:rPr>
          <w:rFonts w:ascii="宋体" w:hAnsi="宋体" w:cs="宋体"/>
          <w:kern w:val="0"/>
          <w:szCs w:val="21"/>
        </w:rPr>
        <w:lastRenderedPageBreak/>
        <w:t>日为估值日）。</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13.</w:t>
      </w:r>
      <w:r>
        <w:rPr>
          <w:rFonts w:ascii="宋体" w:hAnsi="宋体" w:cs="宋体"/>
          <w:kern w:val="0"/>
          <w:szCs w:val="21"/>
        </w:rPr>
        <w:t>当期交易及持有基金产生的费用</w:t>
      </w:r>
    </w:p>
    <w:tbl>
      <w:tblPr>
        <w:tblStyle w:val="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5E0" w:firstRow="1" w:lastRow="1" w:firstColumn="1" w:lastColumn="1" w:noHBand="0" w:noVBand="1"/>
      </w:tblPr>
      <w:tblGrid>
        <w:gridCol w:w="3830"/>
        <w:gridCol w:w="2322"/>
        <w:gridCol w:w="2135"/>
      </w:tblGrid>
      <w:tr w:rsidR="00796C66">
        <w:trPr>
          <w:jc w:val="center"/>
        </w:trPr>
        <w:tc>
          <w:tcPr>
            <w:tcW w:w="2311" w:type="pct"/>
            <w:tcBorders>
              <w:top w:val="single" w:sz="8" w:space="0" w:color="000000"/>
              <w:left w:val="single" w:sz="8" w:space="0" w:color="000000"/>
              <w:bottom w:val="single" w:sz="4" w:space="0" w:color="000000"/>
              <w:right w:val="single" w:sz="4" w:space="0" w:color="000000"/>
            </w:tcBorders>
            <w:shd w:val="clear" w:color="auto" w:fill="D9D9D9"/>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项目</w:t>
            </w:r>
          </w:p>
        </w:tc>
        <w:tc>
          <w:tcPr>
            <w:tcW w:w="1401" w:type="pct"/>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本期费用</w:t>
            </w:r>
          </w:p>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2026</w:t>
            </w:r>
            <w:r>
              <w:rPr>
                <w:rFonts w:ascii="宋体" w:hAnsi="宋体" w:cs="宋体"/>
                <w:color w:val="000000"/>
                <w:kern w:val="0"/>
                <w:szCs w:val="21"/>
              </w:rPr>
              <w:t>年</w:t>
            </w:r>
            <w:r>
              <w:rPr>
                <w:rFonts w:ascii="宋体" w:hAnsi="宋体" w:cs="宋体"/>
                <w:color w:val="000000"/>
                <w:kern w:val="0"/>
                <w:szCs w:val="21"/>
              </w:rPr>
              <w:t>4</w:t>
            </w:r>
            <w:r>
              <w:rPr>
                <w:rFonts w:ascii="宋体" w:hAnsi="宋体" w:cs="宋体"/>
                <w:color w:val="000000"/>
                <w:kern w:val="0"/>
                <w:szCs w:val="21"/>
              </w:rPr>
              <w:t>月</w:t>
            </w:r>
            <w:r>
              <w:rPr>
                <w:rFonts w:ascii="宋体" w:hAnsi="宋体" w:cs="宋体"/>
                <w:color w:val="000000"/>
                <w:kern w:val="0"/>
                <w:szCs w:val="21"/>
              </w:rPr>
              <w:t>1</w:t>
            </w:r>
            <w:r>
              <w:rPr>
                <w:rFonts w:ascii="宋体" w:hAnsi="宋体" w:cs="宋体"/>
                <w:color w:val="000000"/>
                <w:kern w:val="0"/>
                <w:szCs w:val="21"/>
              </w:rPr>
              <w:t>日至</w:t>
            </w:r>
            <w:r>
              <w:rPr>
                <w:rFonts w:ascii="宋体" w:hAnsi="宋体" w:cs="宋体"/>
                <w:color w:val="000000"/>
                <w:kern w:val="0"/>
                <w:szCs w:val="21"/>
              </w:rPr>
              <w:t>2026</w:t>
            </w:r>
            <w:r>
              <w:rPr>
                <w:rFonts w:ascii="宋体" w:hAnsi="宋体" w:cs="宋体"/>
                <w:color w:val="000000"/>
                <w:kern w:val="0"/>
                <w:szCs w:val="21"/>
              </w:rPr>
              <w:t>年</w:t>
            </w:r>
            <w:r>
              <w:rPr>
                <w:rFonts w:ascii="宋体" w:hAnsi="宋体" w:cs="宋体"/>
                <w:color w:val="000000"/>
                <w:kern w:val="0"/>
                <w:szCs w:val="21"/>
              </w:rPr>
              <w:t>6</w:t>
            </w:r>
            <w:r>
              <w:rPr>
                <w:rFonts w:ascii="宋体" w:hAnsi="宋体" w:cs="宋体"/>
                <w:color w:val="000000"/>
                <w:kern w:val="0"/>
                <w:szCs w:val="21"/>
              </w:rPr>
              <w:t>月</w:t>
            </w:r>
            <w:r>
              <w:rPr>
                <w:rFonts w:ascii="宋体" w:hAnsi="宋体" w:cs="宋体"/>
                <w:color w:val="000000"/>
                <w:kern w:val="0"/>
                <w:szCs w:val="21"/>
              </w:rPr>
              <w:t>30</w:t>
            </w:r>
            <w:r>
              <w:rPr>
                <w:rFonts w:ascii="宋体" w:hAnsi="宋体" w:cs="宋体"/>
                <w:color w:val="000000"/>
                <w:kern w:val="0"/>
                <w:szCs w:val="21"/>
              </w:rPr>
              <w:t>日</w:t>
            </w:r>
          </w:p>
        </w:tc>
        <w:tc>
          <w:tcPr>
            <w:tcW w:w="1288" w:type="pct"/>
            <w:tcBorders>
              <w:top w:val="single" w:sz="8" w:space="0" w:color="000000"/>
              <w:left w:val="single" w:sz="4" w:space="0" w:color="000000"/>
              <w:bottom w:val="single" w:sz="4" w:space="0" w:color="000000"/>
              <w:right w:val="single" w:sz="8" w:space="0" w:color="000000"/>
            </w:tcBorders>
            <w:shd w:val="clear" w:color="auto" w:fill="D9D9D9"/>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其中：交易及持有基金管理人以及管理人关联方所管理基金产生的费用</w:t>
            </w:r>
          </w:p>
        </w:tc>
      </w:tr>
      <w:tr w:rsidR="00796C66">
        <w:trPr>
          <w:jc w:val="center"/>
        </w:trPr>
        <w:tc>
          <w:tcPr>
            <w:tcW w:w="2311" w:type="pct"/>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当期交易基金产生的申购费（元）</w:t>
            </w:r>
          </w:p>
        </w:tc>
        <w:tc>
          <w:tcPr>
            <w:tcW w:w="1401" w:type="pct"/>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c>
          <w:tcPr>
            <w:tcW w:w="1288" w:type="pct"/>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jc w:val="center"/>
        </w:trPr>
        <w:tc>
          <w:tcPr>
            <w:tcW w:w="2311" w:type="pct"/>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当期交易基金产生的赎回费（元）</w:t>
            </w:r>
          </w:p>
        </w:tc>
        <w:tc>
          <w:tcPr>
            <w:tcW w:w="1401" w:type="pct"/>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35.29</w:t>
            </w:r>
          </w:p>
        </w:tc>
        <w:tc>
          <w:tcPr>
            <w:tcW w:w="1288" w:type="pct"/>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jc w:val="center"/>
        </w:trPr>
        <w:tc>
          <w:tcPr>
            <w:tcW w:w="2311" w:type="pct"/>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当期持有基金产生的应支付销售服务费（元）</w:t>
            </w:r>
          </w:p>
        </w:tc>
        <w:tc>
          <w:tcPr>
            <w:tcW w:w="1401" w:type="pct"/>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22,979.15</w:t>
            </w:r>
          </w:p>
        </w:tc>
        <w:tc>
          <w:tcPr>
            <w:tcW w:w="1288" w:type="pct"/>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jc w:val="center"/>
        </w:trPr>
        <w:tc>
          <w:tcPr>
            <w:tcW w:w="2311" w:type="pct"/>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当期持有基金产生的应支付管理费（元）</w:t>
            </w:r>
          </w:p>
        </w:tc>
        <w:tc>
          <w:tcPr>
            <w:tcW w:w="1401" w:type="pct"/>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50,467.10</w:t>
            </w:r>
          </w:p>
        </w:tc>
        <w:tc>
          <w:tcPr>
            <w:tcW w:w="1288" w:type="pct"/>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jc w:val="center"/>
        </w:trPr>
        <w:tc>
          <w:tcPr>
            <w:tcW w:w="2311" w:type="pct"/>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当期持有基金产生的应支付托管费（元）</w:t>
            </w:r>
          </w:p>
        </w:tc>
        <w:tc>
          <w:tcPr>
            <w:tcW w:w="1401" w:type="pct"/>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10,827.22</w:t>
            </w:r>
          </w:p>
        </w:tc>
        <w:tc>
          <w:tcPr>
            <w:tcW w:w="1288" w:type="pct"/>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w:t>
            </w:r>
          </w:p>
        </w:tc>
      </w:tr>
      <w:tr w:rsidR="00796C66">
        <w:trPr>
          <w:jc w:val="center"/>
        </w:trPr>
        <w:tc>
          <w:tcPr>
            <w:tcW w:w="2311" w:type="pct"/>
            <w:tcBorders>
              <w:top w:val="single" w:sz="4" w:space="0" w:color="000000"/>
              <w:left w:val="single" w:sz="8" w:space="0" w:color="000000"/>
              <w:bottom w:val="single" w:sz="8" w:space="0" w:color="000000"/>
              <w:right w:val="single" w:sz="4" w:space="0" w:color="000000"/>
            </w:tcBorders>
            <w:tcMar>
              <w:top w:w="96" w:type="dxa"/>
              <w:left w:w="111"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当期交易基金产生的转换费（元）</w:t>
            </w:r>
          </w:p>
        </w:tc>
        <w:tc>
          <w:tcPr>
            <w:tcW w:w="1401" w:type="pct"/>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right"/>
              <w:rPr>
                <w:rFonts w:ascii="宋体" w:hAnsi="宋体" w:cs="宋体"/>
                <w:color w:val="000000"/>
                <w:kern w:val="0"/>
                <w:szCs w:val="21"/>
              </w:rPr>
            </w:pPr>
            <w:r>
              <w:rPr>
                <w:rFonts w:ascii="宋体" w:hAnsi="宋体" w:cs="宋体"/>
                <w:color w:val="000000"/>
                <w:kern w:val="0"/>
                <w:szCs w:val="21"/>
              </w:rPr>
              <w:t>348.38</w:t>
            </w:r>
          </w:p>
        </w:tc>
        <w:tc>
          <w:tcPr>
            <w:tcW w:w="1288" w:type="pct"/>
            <w:tcBorders>
              <w:top w:val="single" w:sz="4" w:space="0" w:color="000000"/>
              <w:left w:val="single" w:sz="4" w:space="0" w:color="000000"/>
              <w:bottom w:val="single" w:sz="8" w:space="0" w:color="000000"/>
              <w:right w:val="single" w:sz="8" w:space="0" w:color="000000"/>
            </w:tcBorders>
            <w:tcMar>
              <w:top w:w="96" w:type="dxa"/>
              <w:left w:w="108" w:type="dxa"/>
              <w:bottom w:w="96" w:type="dxa"/>
              <w:right w:w="111" w:type="dxa"/>
            </w:tcMar>
            <w:vAlign w:val="center"/>
          </w:tcPr>
          <w:p w:rsidR="00796C66" w:rsidRDefault="00796C66">
            <w:pPr>
              <w:pStyle w:val="p"/>
              <w:jc w:val="right"/>
              <w:rPr>
                <w:rFonts w:ascii="宋体" w:hAnsi="宋体" w:cs="宋体"/>
                <w:color w:val="000000"/>
                <w:kern w:val="0"/>
                <w:szCs w:val="21"/>
              </w:rPr>
            </w:pPr>
          </w:p>
        </w:tc>
      </w:tr>
    </w:tbl>
    <w:p w:rsidR="00796C66" w:rsidRDefault="00FB6202">
      <w:pPr>
        <w:pStyle w:val="div"/>
        <w:spacing w:line="360" w:lineRule="auto"/>
        <w:rPr>
          <w:rFonts w:ascii="宋体" w:hAnsi="宋体" w:cs="宋体"/>
          <w:kern w:val="0"/>
          <w:szCs w:val="21"/>
        </w:rPr>
      </w:pPr>
      <w:r>
        <w:rPr>
          <w:rFonts w:ascii="宋体" w:hAnsi="宋体" w:cs="宋体"/>
          <w:kern w:val="0"/>
          <w:szCs w:val="21"/>
        </w:rPr>
        <w:t>注：当期持有基金产生的应支付销售服务费、应支付管理费、应支付托管费按照被投资基金基金合同约定已作为费用计入被投资基金的基金份额净值，上表列示金额为按照本基金对被投资基金的实际持仓情况根据被投资基金基金合同约定的相应费率计算得出。</w:t>
      </w:r>
      <w:r>
        <w:rPr>
          <w:rFonts w:ascii="宋体" w:hAnsi="宋体" w:cs="宋体"/>
          <w:kern w:val="0"/>
          <w:szCs w:val="21"/>
        </w:rPr>
        <w:t xml:space="preserve"> </w:t>
      </w:r>
      <w:r>
        <w:rPr>
          <w:rFonts w:ascii="宋体" w:hAnsi="宋体" w:cs="宋体"/>
          <w:kern w:val="0"/>
          <w:szCs w:val="21"/>
        </w:rPr>
        <w:t>根据相关法律法规及本基金合同的约定，基金管理人不得对基金中基金财产中持有的自身管理的基金部分收取基金中基金的管理费，基金托管人不得对基金中基金财产中持有的自身托管的基金部分收取基金中基金的托管费。基金管理人运用本基金财产申购自身管理的其他基金的（</w:t>
      </w:r>
      <w:r>
        <w:rPr>
          <w:rFonts w:ascii="宋体" w:hAnsi="宋体" w:cs="宋体"/>
          <w:kern w:val="0"/>
          <w:szCs w:val="21"/>
        </w:rPr>
        <w:t>ETF</w:t>
      </w:r>
      <w:r>
        <w:rPr>
          <w:rFonts w:ascii="宋体" w:hAnsi="宋体" w:cs="宋体"/>
          <w:kern w:val="0"/>
          <w:szCs w:val="21"/>
        </w:rPr>
        <w:t>除外），应当通过直销渠道申购且</w:t>
      </w:r>
      <w:r>
        <w:rPr>
          <w:rFonts w:ascii="宋体" w:hAnsi="宋体" w:cs="宋体"/>
          <w:kern w:val="0"/>
          <w:szCs w:val="21"/>
        </w:rPr>
        <w:t>不收取申购费、赎回费（按照相关法规、基金招募说明书约定应当收取，并计入基金资产的赎回费用除外）、销售服务费等销售费用，其中申购费、赎回费在实际申购、赎回时按上述规定执行，销售服务费由本基金管理人从被投资基金收取后返还至本基金基金资产。</w:t>
      </w:r>
      <w:r>
        <w:rPr>
          <w:rFonts w:ascii="宋体" w:hAnsi="宋体" w:cs="宋体"/>
          <w:kern w:val="0"/>
          <w:szCs w:val="21"/>
        </w:rPr>
        <w:t xml:space="preserve"> </w:t>
      </w:r>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14.</w:t>
      </w:r>
      <w:r>
        <w:rPr>
          <w:rFonts w:ascii="宋体" w:hAnsi="宋体" w:cs="宋体"/>
          <w:kern w:val="0"/>
          <w:szCs w:val="21"/>
        </w:rPr>
        <w:t>本报告期持有的基金发生的重大影响事件</w:t>
      </w:r>
    </w:p>
    <w:tbl>
      <w:tblPr>
        <w:tblStyle w:val="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5E0" w:firstRow="1" w:lastRow="1" w:firstColumn="1" w:lastColumn="1" w:noHBand="0" w:noVBand="1"/>
      </w:tblPr>
      <w:tblGrid>
        <w:gridCol w:w="8287"/>
      </w:tblGrid>
      <w:tr w:rsidR="00796C66">
        <w:trPr>
          <w:jc w:val="center"/>
        </w:trPr>
        <w:tc>
          <w:tcPr>
            <w:tcW w:w="8527" w:type="dxa"/>
            <w:tcBorders>
              <w:top w:val="single" w:sz="8" w:space="0" w:color="000000"/>
              <w:left w:val="single" w:sz="8" w:space="0" w:color="000000"/>
              <w:bottom w:val="single" w:sz="8" w:space="0" w:color="000000"/>
              <w:right w:val="single" w:sz="8" w:space="0" w:color="000000"/>
            </w:tcBorders>
            <w:tcMar>
              <w:top w:w="96" w:type="dxa"/>
              <w:left w:w="111" w:type="dxa"/>
              <w:bottom w:w="96" w:type="dxa"/>
              <w:right w:w="111" w:type="dxa"/>
            </w:tcMar>
            <w:hideMark/>
          </w:tcPr>
          <w:p w:rsidR="00796C66" w:rsidRDefault="00FB6202">
            <w:pPr>
              <w:pStyle w:val="div"/>
              <w:spacing w:line="360" w:lineRule="auto"/>
              <w:jc w:val="left"/>
              <w:rPr>
                <w:rFonts w:ascii="宋体" w:hAnsi="宋体" w:cs="宋体"/>
                <w:color w:val="000000"/>
                <w:kern w:val="0"/>
                <w:szCs w:val="21"/>
              </w:rPr>
            </w:pPr>
            <w:r>
              <w:rPr>
                <w:rFonts w:ascii="宋体" w:hAnsi="宋体" w:cs="宋体"/>
                <w:color w:val="000000"/>
                <w:kern w:val="0"/>
                <w:szCs w:val="21"/>
              </w:rPr>
              <w:t>本报告期内，本基金所投资的子基金未发生包括转换运作方式、与其他基金合并、终止基金合同、召开基金份额持有人大会及大会表决意见等重大影响事件。</w:t>
            </w:r>
          </w:p>
        </w:tc>
      </w:tr>
    </w:tbl>
    <w:p w:rsidR="00796C66" w:rsidRDefault="00FB6202">
      <w:pPr>
        <w:widowControl/>
        <w:jc w:val="center"/>
        <w:rPr>
          <w:rFonts w:ascii="宋体" w:hAnsi="宋体"/>
          <w:sz w:val="24"/>
        </w:rPr>
      </w:pPr>
      <w:r>
        <w:rPr>
          <w:rFonts w:ascii="宋体" w:hAnsi="宋体"/>
          <w:sz w:val="24"/>
        </w:rPr>
        <w:br w:type="page"/>
      </w:r>
    </w:p>
    <w:p w:rsidR="00796C66" w:rsidRDefault="00FB6202">
      <w:pPr>
        <w:pStyle w:val="ae"/>
        <w:outlineLvl w:val="0"/>
      </w:pPr>
      <w:bookmarkStart w:id="11" w:name="_Toc256000010"/>
      <w:r>
        <w:rPr>
          <w:noProof/>
        </w:rPr>
        <w:lastRenderedPageBreak/>
        <w:t>十</w:t>
      </w:r>
      <w:r>
        <w:rPr>
          <w:rStyle w:val="Char5"/>
          <w:b/>
          <w:bCs/>
          <w:noProof/>
        </w:rPr>
        <w:t>、</w:t>
      </w:r>
      <w:r>
        <w:rPr>
          <w:noProof/>
        </w:rPr>
        <w:t>基金的业绩</w:t>
      </w:r>
      <w:bookmarkEnd w:id="11"/>
    </w:p>
    <w:p w:rsidR="00796C66" w:rsidRDefault="00FB6202">
      <w:pPr>
        <w:pStyle w:val="div"/>
        <w:spacing w:line="360" w:lineRule="auto"/>
        <w:ind w:firstLine="480"/>
        <w:rPr>
          <w:rFonts w:ascii="宋体" w:hAnsi="宋体" w:cs="宋体"/>
          <w:kern w:val="0"/>
          <w:szCs w:val="21"/>
        </w:rPr>
      </w:pPr>
      <w:r>
        <w:rPr>
          <w:rFonts w:ascii="宋体" w:hAnsi="宋体" w:cs="宋体"/>
          <w:kern w:val="0"/>
          <w:szCs w:val="21"/>
        </w:rPr>
        <w:t>基金管理人依照恪尽职守、诚实信用、谨慎勤勉的原则管理和运用基金财产，但不保证基金一定盈利，也不保证最低收益。基金的过往业绩并不代表其未来表现。投资有风险，投资者在作出投资决策前应仔细阅读本基金的招募说明书。</w:t>
      </w:r>
    </w:p>
    <w:p w:rsidR="00796C66" w:rsidRDefault="00FB6202">
      <w:pPr>
        <w:pStyle w:val="div"/>
        <w:spacing w:line="360" w:lineRule="auto"/>
        <w:jc w:val="center"/>
        <w:rPr>
          <w:rFonts w:ascii="宋体" w:hAnsi="宋体" w:cs="宋体"/>
          <w:kern w:val="0"/>
          <w:szCs w:val="21"/>
        </w:rPr>
      </w:pPr>
      <w:r>
        <w:rPr>
          <w:rFonts w:ascii="宋体" w:hAnsi="宋体" w:cs="宋体"/>
          <w:kern w:val="0"/>
          <w:szCs w:val="21"/>
        </w:rPr>
        <w:t>本报告期基金份额净值增长率及其与同期业绩比较基准收益率的比较</w:t>
      </w:r>
    </w:p>
    <w:p w:rsidR="00796C66" w:rsidRDefault="00FB6202">
      <w:pPr>
        <w:pStyle w:val="div"/>
        <w:spacing w:line="360" w:lineRule="auto"/>
        <w:jc w:val="center"/>
        <w:rPr>
          <w:rFonts w:ascii="宋体" w:hAnsi="宋体" w:cs="宋体"/>
          <w:kern w:val="0"/>
          <w:szCs w:val="21"/>
        </w:rPr>
      </w:pPr>
      <w:r>
        <w:rPr>
          <w:rFonts w:ascii="宋体" w:hAnsi="宋体" w:cs="宋体"/>
          <w:kern w:val="0"/>
          <w:szCs w:val="21"/>
        </w:rPr>
        <w:t>华商安远稳进一年持有混合（</w:t>
      </w:r>
      <w:r>
        <w:rPr>
          <w:rFonts w:ascii="宋体" w:hAnsi="宋体" w:cs="宋体"/>
          <w:kern w:val="0"/>
          <w:szCs w:val="21"/>
        </w:rPr>
        <w:t>FOF</w:t>
      </w:r>
      <w:r>
        <w:rPr>
          <w:rFonts w:ascii="宋体" w:hAnsi="宋体" w:cs="宋体"/>
          <w:kern w:val="0"/>
          <w:szCs w:val="21"/>
        </w:rPr>
        <w:t>）</w:t>
      </w:r>
      <w:r>
        <w:rPr>
          <w:rFonts w:ascii="宋体" w:hAnsi="宋体" w:cs="宋体"/>
          <w:kern w:val="0"/>
          <w:szCs w:val="21"/>
        </w:rPr>
        <w:t>A</w:t>
      </w:r>
    </w:p>
    <w:tbl>
      <w:tblPr>
        <w:tblStyle w:val="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5E0" w:firstRow="1" w:lastRow="1" w:firstColumn="1" w:lastColumn="1" w:noHBand="0" w:noVBand="1"/>
      </w:tblPr>
      <w:tblGrid>
        <w:gridCol w:w="2081"/>
        <w:gridCol w:w="1058"/>
        <w:gridCol w:w="1003"/>
        <w:gridCol w:w="1064"/>
        <w:gridCol w:w="1037"/>
        <w:gridCol w:w="983"/>
        <w:gridCol w:w="1061"/>
      </w:tblGrid>
      <w:tr w:rsidR="00796C66">
        <w:trPr>
          <w:trHeight w:val="951"/>
          <w:jc w:val="center"/>
        </w:trPr>
        <w:tc>
          <w:tcPr>
            <w:tcW w:w="2685" w:type="dxa"/>
            <w:tcBorders>
              <w:top w:val="single" w:sz="8" w:space="0" w:color="000000"/>
              <w:left w:val="single" w:sz="8" w:space="0" w:color="000000"/>
              <w:bottom w:val="single" w:sz="4" w:space="0" w:color="000000"/>
              <w:right w:val="single" w:sz="4" w:space="0" w:color="000000"/>
            </w:tcBorders>
            <w:shd w:val="clear" w:color="auto" w:fill="D9D9D9"/>
            <w:tcMar>
              <w:top w:w="96" w:type="dxa"/>
              <w:left w:w="111"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阶段</w:t>
            </w:r>
          </w:p>
        </w:tc>
        <w:tc>
          <w:tcPr>
            <w:tcW w:w="1240"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净值增长率</w:t>
            </w:r>
            <w:r>
              <w:rPr>
                <w:rFonts w:ascii="宋体" w:hAnsi="宋体" w:cs="宋体"/>
                <w:color w:val="000000"/>
                <w:kern w:val="0"/>
                <w:szCs w:val="21"/>
              </w:rPr>
              <w:t>①</w:t>
            </w:r>
          </w:p>
        </w:tc>
        <w:tc>
          <w:tcPr>
            <w:tcW w:w="1228"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净值增长率标准差</w:t>
            </w:r>
            <w:r>
              <w:rPr>
                <w:rFonts w:ascii="宋体" w:hAnsi="宋体" w:cs="宋体"/>
                <w:color w:val="000000"/>
                <w:kern w:val="0"/>
                <w:szCs w:val="21"/>
              </w:rPr>
              <w:t>②</w:t>
            </w:r>
          </w:p>
        </w:tc>
        <w:tc>
          <w:tcPr>
            <w:tcW w:w="1250"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业绩比较基准收益率</w:t>
            </w:r>
            <w:r>
              <w:rPr>
                <w:rFonts w:ascii="宋体" w:hAnsi="宋体" w:cs="宋体"/>
                <w:color w:val="000000"/>
                <w:kern w:val="0"/>
                <w:szCs w:val="21"/>
              </w:rPr>
              <w:t>③</w:t>
            </w:r>
          </w:p>
        </w:tc>
        <w:tc>
          <w:tcPr>
            <w:tcW w:w="1290"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业绩比较基准收益率标准差</w:t>
            </w:r>
            <w:r>
              <w:rPr>
                <w:rFonts w:ascii="宋体" w:hAnsi="宋体" w:cs="宋体"/>
                <w:color w:val="000000"/>
                <w:kern w:val="0"/>
                <w:szCs w:val="21"/>
              </w:rPr>
              <w:t>④</w:t>
            </w:r>
          </w:p>
        </w:tc>
        <w:tc>
          <w:tcPr>
            <w:tcW w:w="1190"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①</w:t>
            </w:r>
            <w:r>
              <w:rPr>
                <w:rFonts w:ascii="宋体" w:hAnsi="宋体" w:cs="宋体"/>
                <w:color w:val="000000"/>
                <w:kern w:val="0"/>
                <w:szCs w:val="21"/>
              </w:rPr>
              <w:t>－</w:t>
            </w:r>
            <w:r>
              <w:rPr>
                <w:rFonts w:ascii="宋体" w:hAnsi="宋体" w:cs="宋体"/>
                <w:color w:val="000000"/>
                <w:kern w:val="0"/>
                <w:szCs w:val="21"/>
              </w:rPr>
              <w:t>③</w:t>
            </w:r>
          </w:p>
        </w:tc>
        <w:tc>
          <w:tcPr>
            <w:tcW w:w="1333" w:type="dxa"/>
            <w:tcBorders>
              <w:top w:val="single" w:sz="8" w:space="0" w:color="000000"/>
              <w:left w:val="single" w:sz="4" w:space="0" w:color="000000"/>
              <w:bottom w:val="single" w:sz="4" w:space="0" w:color="000000"/>
              <w:right w:val="single" w:sz="8" w:space="0" w:color="000000"/>
            </w:tcBorders>
            <w:shd w:val="clear" w:color="auto" w:fill="D9D9D9"/>
            <w:tcMar>
              <w:top w:w="96" w:type="dxa"/>
              <w:left w:w="108" w:type="dxa"/>
              <w:bottom w:w="96" w:type="dxa"/>
              <w:right w:w="111"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②</w:t>
            </w:r>
            <w:r>
              <w:rPr>
                <w:rFonts w:ascii="宋体" w:hAnsi="宋体" w:cs="宋体"/>
                <w:color w:val="000000"/>
                <w:kern w:val="0"/>
                <w:szCs w:val="21"/>
              </w:rPr>
              <w:t>－</w:t>
            </w:r>
            <w:r>
              <w:rPr>
                <w:rFonts w:ascii="宋体" w:hAnsi="宋体" w:cs="宋体"/>
                <w:color w:val="000000"/>
                <w:kern w:val="0"/>
                <w:szCs w:val="21"/>
              </w:rPr>
              <w:t>④</w:t>
            </w:r>
          </w:p>
        </w:tc>
      </w:tr>
      <w:tr w:rsidR="00796C66">
        <w:trPr>
          <w:trHeight w:val="524"/>
          <w:jc w:val="center"/>
        </w:trPr>
        <w:tc>
          <w:tcPr>
            <w:tcW w:w="2685"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基金成立日至</w:t>
            </w:r>
            <w:r>
              <w:rPr>
                <w:rFonts w:ascii="宋体" w:hAnsi="宋体" w:cs="宋体"/>
                <w:color w:val="000000"/>
                <w:kern w:val="0"/>
                <w:szCs w:val="21"/>
              </w:rPr>
              <w:t>2023/12/31</w:t>
            </w:r>
          </w:p>
        </w:tc>
        <w:tc>
          <w:tcPr>
            <w:tcW w:w="124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-6.82%</w:t>
            </w:r>
          </w:p>
        </w:tc>
        <w:tc>
          <w:tcPr>
            <w:tcW w:w="1228"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0.44%</w:t>
            </w:r>
          </w:p>
        </w:tc>
        <w:tc>
          <w:tcPr>
            <w:tcW w:w="125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-1.63%</w:t>
            </w:r>
          </w:p>
        </w:tc>
        <w:tc>
          <w:tcPr>
            <w:tcW w:w="12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0.24%</w:t>
            </w:r>
          </w:p>
        </w:tc>
        <w:tc>
          <w:tcPr>
            <w:tcW w:w="11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-5.19%</w:t>
            </w:r>
          </w:p>
        </w:tc>
        <w:tc>
          <w:tcPr>
            <w:tcW w:w="133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0.20%</w:t>
            </w:r>
          </w:p>
        </w:tc>
      </w:tr>
      <w:tr w:rsidR="00796C66">
        <w:trPr>
          <w:trHeight w:val="524"/>
          <w:jc w:val="center"/>
        </w:trPr>
        <w:tc>
          <w:tcPr>
            <w:tcW w:w="2685"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2023/01/01--2023/12/31</w:t>
            </w:r>
          </w:p>
        </w:tc>
        <w:tc>
          <w:tcPr>
            <w:tcW w:w="124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-6.57%</w:t>
            </w:r>
          </w:p>
        </w:tc>
        <w:tc>
          <w:tcPr>
            <w:tcW w:w="1228"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0.46%</w:t>
            </w:r>
          </w:p>
        </w:tc>
        <w:tc>
          <w:tcPr>
            <w:tcW w:w="125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-1.75%</w:t>
            </w:r>
          </w:p>
        </w:tc>
        <w:tc>
          <w:tcPr>
            <w:tcW w:w="12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0.24%</w:t>
            </w:r>
          </w:p>
        </w:tc>
        <w:tc>
          <w:tcPr>
            <w:tcW w:w="11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-4.82%</w:t>
            </w:r>
          </w:p>
        </w:tc>
        <w:tc>
          <w:tcPr>
            <w:tcW w:w="133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0.22%</w:t>
            </w:r>
          </w:p>
        </w:tc>
      </w:tr>
      <w:tr w:rsidR="00796C66">
        <w:trPr>
          <w:trHeight w:val="524"/>
          <w:jc w:val="center"/>
        </w:trPr>
        <w:tc>
          <w:tcPr>
            <w:tcW w:w="2685"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2024/01/01--2024/12/31</w:t>
            </w:r>
          </w:p>
        </w:tc>
        <w:tc>
          <w:tcPr>
            <w:tcW w:w="124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3.27%</w:t>
            </w:r>
          </w:p>
        </w:tc>
        <w:tc>
          <w:tcPr>
            <w:tcW w:w="1228"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0.83%</w:t>
            </w:r>
          </w:p>
        </w:tc>
        <w:tc>
          <w:tcPr>
            <w:tcW w:w="125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7.43%</w:t>
            </w:r>
          </w:p>
        </w:tc>
        <w:tc>
          <w:tcPr>
            <w:tcW w:w="12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0.41%</w:t>
            </w:r>
          </w:p>
        </w:tc>
        <w:tc>
          <w:tcPr>
            <w:tcW w:w="11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-4.16%</w:t>
            </w:r>
          </w:p>
        </w:tc>
        <w:tc>
          <w:tcPr>
            <w:tcW w:w="133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0.42%</w:t>
            </w:r>
          </w:p>
        </w:tc>
      </w:tr>
      <w:tr w:rsidR="00796C66">
        <w:trPr>
          <w:trHeight w:val="524"/>
          <w:jc w:val="center"/>
        </w:trPr>
        <w:tc>
          <w:tcPr>
            <w:tcW w:w="2685"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2025/01/01--2025/12/31</w:t>
            </w:r>
          </w:p>
        </w:tc>
        <w:tc>
          <w:tcPr>
            <w:tcW w:w="124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13.02%</w:t>
            </w:r>
          </w:p>
        </w:tc>
        <w:tc>
          <w:tcPr>
            <w:tcW w:w="1228"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0.62%</w:t>
            </w:r>
          </w:p>
        </w:tc>
        <w:tc>
          <w:tcPr>
            <w:tcW w:w="125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5.08%</w:t>
            </w:r>
          </w:p>
        </w:tc>
        <w:tc>
          <w:tcPr>
            <w:tcW w:w="12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0.29%</w:t>
            </w:r>
          </w:p>
        </w:tc>
        <w:tc>
          <w:tcPr>
            <w:tcW w:w="11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7.94%</w:t>
            </w:r>
          </w:p>
        </w:tc>
        <w:tc>
          <w:tcPr>
            <w:tcW w:w="133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0.33%</w:t>
            </w:r>
          </w:p>
        </w:tc>
      </w:tr>
      <w:tr w:rsidR="00796C66">
        <w:trPr>
          <w:trHeight w:val="524"/>
          <w:jc w:val="center"/>
        </w:trPr>
        <w:tc>
          <w:tcPr>
            <w:tcW w:w="2685" w:type="dxa"/>
            <w:tcBorders>
              <w:top w:val="single" w:sz="4" w:space="0" w:color="000000"/>
              <w:left w:val="single" w:sz="8" w:space="0" w:color="000000"/>
              <w:bottom w:val="single" w:sz="8"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基金成立日至</w:t>
            </w:r>
            <w:r>
              <w:rPr>
                <w:rFonts w:ascii="宋体" w:hAnsi="宋体" w:cs="宋体"/>
                <w:color w:val="000000"/>
                <w:kern w:val="0"/>
                <w:szCs w:val="21"/>
              </w:rPr>
              <w:t>2026/06/30</w:t>
            </w:r>
          </w:p>
        </w:tc>
        <w:tc>
          <w:tcPr>
            <w:tcW w:w="1240"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7.85%</w:t>
            </w:r>
          </w:p>
        </w:tc>
        <w:tc>
          <w:tcPr>
            <w:tcW w:w="1228"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0.61%</w:t>
            </w:r>
          </w:p>
        </w:tc>
        <w:tc>
          <w:tcPr>
            <w:tcW w:w="1250"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15.52%</w:t>
            </w:r>
          </w:p>
        </w:tc>
        <w:tc>
          <w:tcPr>
            <w:tcW w:w="1290"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0.33%</w:t>
            </w:r>
          </w:p>
        </w:tc>
        <w:tc>
          <w:tcPr>
            <w:tcW w:w="1190"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-7.67%</w:t>
            </w:r>
          </w:p>
        </w:tc>
        <w:tc>
          <w:tcPr>
            <w:tcW w:w="1333" w:type="dxa"/>
            <w:tcBorders>
              <w:top w:val="single" w:sz="4" w:space="0" w:color="000000"/>
              <w:left w:val="single" w:sz="4" w:space="0" w:color="000000"/>
              <w:bottom w:val="single" w:sz="8"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0.28%</w:t>
            </w:r>
          </w:p>
        </w:tc>
      </w:tr>
    </w:tbl>
    <w:p w:rsidR="00796C66" w:rsidRDefault="00796C66">
      <w:pPr>
        <w:pStyle w:val="p"/>
        <w:spacing w:line="360" w:lineRule="auto"/>
        <w:jc w:val="center"/>
        <w:rPr>
          <w:rFonts w:ascii="宋体" w:hAnsi="宋体" w:cs="宋体"/>
          <w:kern w:val="0"/>
          <w:szCs w:val="21"/>
        </w:rPr>
      </w:pPr>
    </w:p>
    <w:p w:rsidR="00796C66" w:rsidRDefault="00FB6202">
      <w:pPr>
        <w:pStyle w:val="div"/>
        <w:spacing w:line="360" w:lineRule="auto"/>
        <w:jc w:val="center"/>
        <w:rPr>
          <w:rFonts w:ascii="宋体" w:hAnsi="宋体" w:cs="宋体"/>
          <w:kern w:val="0"/>
          <w:szCs w:val="21"/>
        </w:rPr>
      </w:pPr>
      <w:r>
        <w:rPr>
          <w:rFonts w:ascii="宋体" w:hAnsi="宋体" w:cs="宋体"/>
          <w:kern w:val="0"/>
          <w:szCs w:val="21"/>
        </w:rPr>
        <w:t>华商安远稳进一年持有混合（</w:t>
      </w:r>
      <w:r>
        <w:rPr>
          <w:rFonts w:ascii="宋体" w:hAnsi="宋体" w:cs="宋体"/>
          <w:kern w:val="0"/>
          <w:szCs w:val="21"/>
        </w:rPr>
        <w:t>FOF</w:t>
      </w:r>
      <w:r>
        <w:rPr>
          <w:rFonts w:ascii="宋体" w:hAnsi="宋体" w:cs="宋体"/>
          <w:kern w:val="0"/>
          <w:szCs w:val="21"/>
        </w:rPr>
        <w:t>）</w:t>
      </w:r>
      <w:r>
        <w:rPr>
          <w:rFonts w:ascii="宋体" w:hAnsi="宋体" w:cs="宋体"/>
          <w:kern w:val="0"/>
          <w:szCs w:val="21"/>
        </w:rPr>
        <w:t>C</w:t>
      </w:r>
    </w:p>
    <w:tbl>
      <w:tblPr>
        <w:tblStyle w:val="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5E0" w:firstRow="1" w:lastRow="1" w:firstColumn="1" w:lastColumn="1" w:noHBand="0" w:noVBand="1"/>
      </w:tblPr>
      <w:tblGrid>
        <w:gridCol w:w="2081"/>
        <w:gridCol w:w="1058"/>
        <w:gridCol w:w="1003"/>
        <w:gridCol w:w="1064"/>
        <w:gridCol w:w="1037"/>
        <w:gridCol w:w="983"/>
        <w:gridCol w:w="1061"/>
      </w:tblGrid>
      <w:tr w:rsidR="00796C66">
        <w:trPr>
          <w:trHeight w:val="951"/>
          <w:jc w:val="center"/>
        </w:trPr>
        <w:tc>
          <w:tcPr>
            <w:tcW w:w="2685" w:type="dxa"/>
            <w:tcBorders>
              <w:top w:val="single" w:sz="8" w:space="0" w:color="000000"/>
              <w:left w:val="single" w:sz="8" w:space="0" w:color="000000"/>
              <w:bottom w:val="single" w:sz="4" w:space="0" w:color="000000"/>
              <w:right w:val="single" w:sz="4" w:space="0" w:color="000000"/>
            </w:tcBorders>
            <w:shd w:val="clear" w:color="auto" w:fill="D9D9D9"/>
            <w:tcMar>
              <w:top w:w="96" w:type="dxa"/>
              <w:left w:w="111"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阶段</w:t>
            </w:r>
          </w:p>
        </w:tc>
        <w:tc>
          <w:tcPr>
            <w:tcW w:w="1240"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净值增长率</w:t>
            </w:r>
            <w:r>
              <w:rPr>
                <w:rFonts w:ascii="宋体" w:hAnsi="宋体" w:cs="宋体"/>
                <w:color w:val="000000"/>
                <w:kern w:val="0"/>
                <w:szCs w:val="21"/>
              </w:rPr>
              <w:t>①</w:t>
            </w:r>
          </w:p>
        </w:tc>
        <w:tc>
          <w:tcPr>
            <w:tcW w:w="1228"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净值增长率标准差</w:t>
            </w:r>
            <w:r>
              <w:rPr>
                <w:rFonts w:ascii="宋体" w:hAnsi="宋体" w:cs="宋体"/>
                <w:color w:val="000000"/>
                <w:kern w:val="0"/>
                <w:szCs w:val="21"/>
              </w:rPr>
              <w:t>②</w:t>
            </w:r>
          </w:p>
        </w:tc>
        <w:tc>
          <w:tcPr>
            <w:tcW w:w="1250"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业绩比较基准收益率</w:t>
            </w:r>
            <w:r>
              <w:rPr>
                <w:rFonts w:ascii="宋体" w:hAnsi="宋体" w:cs="宋体"/>
                <w:color w:val="000000"/>
                <w:kern w:val="0"/>
                <w:szCs w:val="21"/>
              </w:rPr>
              <w:t>③</w:t>
            </w:r>
          </w:p>
        </w:tc>
        <w:tc>
          <w:tcPr>
            <w:tcW w:w="1290"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业绩比较基准收益率标准差</w:t>
            </w:r>
            <w:r>
              <w:rPr>
                <w:rFonts w:ascii="宋体" w:hAnsi="宋体" w:cs="宋体"/>
                <w:color w:val="000000"/>
                <w:kern w:val="0"/>
                <w:szCs w:val="21"/>
              </w:rPr>
              <w:t>④</w:t>
            </w:r>
          </w:p>
        </w:tc>
        <w:tc>
          <w:tcPr>
            <w:tcW w:w="1190" w:type="dxa"/>
            <w:tcBorders>
              <w:top w:val="single" w:sz="8" w:space="0" w:color="000000"/>
              <w:left w:val="single" w:sz="4" w:space="0" w:color="000000"/>
              <w:bottom w:val="single" w:sz="4" w:space="0" w:color="000000"/>
              <w:right w:val="single" w:sz="4" w:space="0" w:color="000000"/>
            </w:tcBorders>
            <w:shd w:val="clear" w:color="auto" w:fill="D9D9D9"/>
            <w:tcMar>
              <w:top w:w="96" w:type="dxa"/>
              <w:left w:w="108" w:type="dxa"/>
              <w:bottom w:w="96" w:type="dxa"/>
              <w:right w:w="108"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①</w:t>
            </w:r>
            <w:r>
              <w:rPr>
                <w:rFonts w:ascii="宋体" w:hAnsi="宋体" w:cs="宋体"/>
                <w:color w:val="000000"/>
                <w:kern w:val="0"/>
                <w:szCs w:val="21"/>
              </w:rPr>
              <w:t>－</w:t>
            </w:r>
            <w:r>
              <w:rPr>
                <w:rFonts w:ascii="宋体" w:hAnsi="宋体" w:cs="宋体"/>
                <w:color w:val="000000"/>
                <w:kern w:val="0"/>
                <w:szCs w:val="21"/>
              </w:rPr>
              <w:t>③</w:t>
            </w:r>
          </w:p>
        </w:tc>
        <w:tc>
          <w:tcPr>
            <w:tcW w:w="1333" w:type="dxa"/>
            <w:tcBorders>
              <w:top w:val="single" w:sz="8" w:space="0" w:color="000000"/>
              <w:left w:val="single" w:sz="4" w:space="0" w:color="000000"/>
              <w:bottom w:val="single" w:sz="4" w:space="0" w:color="000000"/>
              <w:right w:val="single" w:sz="8" w:space="0" w:color="000000"/>
            </w:tcBorders>
            <w:shd w:val="clear" w:color="auto" w:fill="D9D9D9"/>
            <w:tcMar>
              <w:top w:w="96" w:type="dxa"/>
              <w:left w:w="108" w:type="dxa"/>
              <w:bottom w:w="96" w:type="dxa"/>
              <w:right w:w="111" w:type="dxa"/>
            </w:tcMar>
            <w:vAlign w:val="center"/>
            <w:hideMark/>
          </w:tcPr>
          <w:p w:rsidR="00796C66" w:rsidRDefault="00FB6202">
            <w:pPr>
              <w:pStyle w:val="div"/>
              <w:rPr>
                <w:rFonts w:ascii="宋体" w:hAnsi="宋体" w:cs="宋体"/>
                <w:color w:val="000000"/>
                <w:kern w:val="0"/>
                <w:szCs w:val="21"/>
              </w:rPr>
            </w:pPr>
            <w:r>
              <w:rPr>
                <w:rFonts w:ascii="宋体" w:hAnsi="宋体" w:cs="宋体"/>
                <w:color w:val="000000"/>
                <w:kern w:val="0"/>
                <w:szCs w:val="21"/>
              </w:rPr>
              <w:t>②</w:t>
            </w:r>
            <w:r>
              <w:rPr>
                <w:rFonts w:ascii="宋体" w:hAnsi="宋体" w:cs="宋体"/>
                <w:color w:val="000000"/>
                <w:kern w:val="0"/>
                <w:szCs w:val="21"/>
              </w:rPr>
              <w:t>－</w:t>
            </w:r>
            <w:r>
              <w:rPr>
                <w:rFonts w:ascii="宋体" w:hAnsi="宋体" w:cs="宋体"/>
                <w:color w:val="000000"/>
                <w:kern w:val="0"/>
                <w:szCs w:val="21"/>
              </w:rPr>
              <w:t>④</w:t>
            </w:r>
          </w:p>
        </w:tc>
      </w:tr>
      <w:tr w:rsidR="00796C66">
        <w:trPr>
          <w:trHeight w:val="524"/>
          <w:jc w:val="center"/>
        </w:trPr>
        <w:tc>
          <w:tcPr>
            <w:tcW w:w="2685"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基金成立日至</w:t>
            </w:r>
            <w:r>
              <w:rPr>
                <w:rFonts w:ascii="宋体" w:hAnsi="宋体" w:cs="宋体"/>
                <w:color w:val="000000"/>
                <w:kern w:val="0"/>
                <w:szCs w:val="21"/>
              </w:rPr>
              <w:t>2023/12/31</w:t>
            </w:r>
          </w:p>
        </w:tc>
        <w:tc>
          <w:tcPr>
            <w:tcW w:w="124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-7.23%</w:t>
            </w:r>
          </w:p>
        </w:tc>
        <w:tc>
          <w:tcPr>
            <w:tcW w:w="1228"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0.44%</w:t>
            </w:r>
          </w:p>
        </w:tc>
        <w:tc>
          <w:tcPr>
            <w:tcW w:w="125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-1.63%</w:t>
            </w:r>
          </w:p>
        </w:tc>
        <w:tc>
          <w:tcPr>
            <w:tcW w:w="12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0.24%</w:t>
            </w:r>
          </w:p>
        </w:tc>
        <w:tc>
          <w:tcPr>
            <w:tcW w:w="11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-5.60%</w:t>
            </w:r>
          </w:p>
        </w:tc>
        <w:tc>
          <w:tcPr>
            <w:tcW w:w="133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0.20%</w:t>
            </w:r>
          </w:p>
        </w:tc>
      </w:tr>
      <w:tr w:rsidR="00796C66">
        <w:trPr>
          <w:trHeight w:val="524"/>
          <w:jc w:val="center"/>
        </w:trPr>
        <w:tc>
          <w:tcPr>
            <w:tcW w:w="2685"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2023/01/01--2023/12/31</w:t>
            </w:r>
          </w:p>
        </w:tc>
        <w:tc>
          <w:tcPr>
            <w:tcW w:w="124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-6.94%</w:t>
            </w:r>
          </w:p>
        </w:tc>
        <w:tc>
          <w:tcPr>
            <w:tcW w:w="1228"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0.46%</w:t>
            </w:r>
          </w:p>
        </w:tc>
        <w:tc>
          <w:tcPr>
            <w:tcW w:w="125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-1.75%</w:t>
            </w:r>
          </w:p>
        </w:tc>
        <w:tc>
          <w:tcPr>
            <w:tcW w:w="12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0.24%</w:t>
            </w:r>
          </w:p>
        </w:tc>
        <w:tc>
          <w:tcPr>
            <w:tcW w:w="11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-5.19%</w:t>
            </w:r>
          </w:p>
        </w:tc>
        <w:tc>
          <w:tcPr>
            <w:tcW w:w="133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0.22%</w:t>
            </w:r>
          </w:p>
        </w:tc>
      </w:tr>
      <w:tr w:rsidR="00796C66">
        <w:trPr>
          <w:trHeight w:val="524"/>
          <w:jc w:val="center"/>
        </w:trPr>
        <w:tc>
          <w:tcPr>
            <w:tcW w:w="2685"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2024/01/01--2024/12/31</w:t>
            </w:r>
          </w:p>
        </w:tc>
        <w:tc>
          <w:tcPr>
            <w:tcW w:w="124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2.87%</w:t>
            </w:r>
          </w:p>
        </w:tc>
        <w:tc>
          <w:tcPr>
            <w:tcW w:w="1228"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0.83%</w:t>
            </w:r>
          </w:p>
        </w:tc>
        <w:tc>
          <w:tcPr>
            <w:tcW w:w="125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7.43%</w:t>
            </w:r>
          </w:p>
        </w:tc>
        <w:tc>
          <w:tcPr>
            <w:tcW w:w="12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0.41%</w:t>
            </w:r>
          </w:p>
        </w:tc>
        <w:tc>
          <w:tcPr>
            <w:tcW w:w="11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-4.56%</w:t>
            </w:r>
          </w:p>
        </w:tc>
        <w:tc>
          <w:tcPr>
            <w:tcW w:w="133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0.42%</w:t>
            </w:r>
          </w:p>
        </w:tc>
      </w:tr>
      <w:tr w:rsidR="00796C66">
        <w:trPr>
          <w:trHeight w:val="524"/>
          <w:jc w:val="center"/>
        </w:trPr>
        <w:tc>
          <w:tcPr>
            <w:tcW w:w="2685"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2025/01/01--2025/12/31</w:t>
            </w:r>
          </w:p>
        </w:tc>
        <w:tc>
          <w:tcPr>
            <w:tcW w:w="124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12.55%</w:t>
            </w:r>
          </w:p>
        </w:tc>
        <w:tc>
          <w:tcPr>
            <w:tcW w:w="1228"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0.62%</w:t>
            </w:r>
          </w:p>
        </w:tc>
        <w:tc>
          <w:tcPr>
            <w:tcW w:w="125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5.08%</w:t>
            </w:r>
          </w:p>
        </w:tc>
        <w:tc>
          <w:tcPr>
            <w:tcW w:w="12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0.29%</w:t>
            </w:r>
          </w:p>
        </w:tc>
        <w:tc>
          <w:tcPr>
            <w:tcW w:w="1190"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7.47%</w:t>
            </w:r>
          </w:p>
        </w:tc>
        <w:tc>
          <w:tcPr>
            <w:tcW w:w="1333" w:type="dxa"/>
            <w:tcBorders>
              <w:top w:val="single" w:sz="4" w:space="0" w:color="000000"/>
              <w:left w:val="single" w:sz="4" w:space="0" w:color="000000"/>
              <w:bottom w:val="single" w:sz="4"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0.33%</w:t>
            </w:r>
          </w:p>
        </w:tc>
      </w:tr>
      <w:tr w:rsidR="00796C66">
        <w:trPr>
          <w:trHeight w:val="524"/>
          <w:jc w:val="center"/>
        </w:trPr>
        <w:tc>
          <w:tcPr>
            <w:tcW w:w="2685" w:type="dxa"/>
            <w:tcBorders>
              <w:top w:val="single" w:sz="4" w:space="0" w:color="000000"/>
              <w:left w:val="single" w:sz="8" w:space="0" w:color="000000"/>
              <w:bottom w:val="single" w:sz="8"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lastRenderedPageBreak/>
              <w:t>基金成立日至</w:t>
            </w:r>
            <w:r>
              <w:rPr>
                <w:rFonts w:ascii="宋体" w:hAnsi="宋体" w:cs="宋体"/>
                <w:color w:val="000000"/>
                <w:kern w:val="0"/>
                <w:szCs w:val="21"/>
              </w:rPr>
              <w:t>2026/06/30</w:t>
            </w:r>
          </w:p>
        </w:tc>
        <w:tc>
          <w:tcPr>
            <w:tcW w:w="1240"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6.30%</w:t>
            </w:r>
          </w:p>
        </w:tc>
        <w:tc>
          <w:tcPr>
            <w:tcW w:w="1228"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0.61%</w:t>
            </w:r>
          </w:p>
        </w:tc>
        <w:tc>
          <w:tcPr>
            <w:tcW w:w="1250"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15.52%</w:t>
            </w:r>
          </w:p>
        </w:tc>
        <w:tc>
          <w:tcPr>
            <w:tcW w:w="1290"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0.33%</w:t>
            </w:r>
          </w:p>
        </w:tc>
        <w:tc>
          <w:tcPr>
            <w:tcW w:w="1190" w:type="dxa"/>
            <w:tcBorders>
              <w:top w:val="single" w:sz="4" w:space="0" w:color="000000"/>
              <w:left w:val="single" w:sz="4" w:space="0" w:color="000000"/>
              <w:bottom w:val="single" w:sz="8" w:space="0" w:color="000000"/>
              <w:right w:val="single" w:sz="4" w:space="0" w:color="000000"/>
            </w:tcBorders>
            <w:tcMar>
              <w:top w:w="96" w:type="dxa"/>
              <w:left w:w="108" w:type="dxa"/>
              <w:bottom w:w="96" w:type="dxa"/>
              <w:right w:w="108"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-9.22%</w:t>
            </w:r>
          </w:p>
        </w:tc>
        <w:tc>
          <w:tcPr>
            <w:tcW w:w="1333" w:type="dxa"/>
            <w:tcBorders>
              <w:top w:val="single" w:sz="4" w:space="0" w:color="000000"/>
              <w:left w:val="single" w:sz="4" w:space="0" w:color="000000"/>
              <w:bottom w:val="single" w:sz="8" w:space="0" w:color="000000"/>
              <w:right w:val="single" w:sz="8" w:space="0" w:color="000000"/>
            </w:tcBorders>
            <w:tcMar>
              <w:top w:w="96" w:type="dxa"/>
              <w:left w:w="108" w:type="dxa"/>
              <w:bottom w:w="96" w:type="dxa"/>
              <w:right w:w="111" w:type="dxa"/>
            </w:tcMar>
            <w:vAlign w:val="center"/>
            <w:hideMark/>
          </w:tcPr>
          <w:p w:rsidR="00796C66" w:rsidRDefault="00FB6202">
            <w:pPr>
              <w:pStyle w:val="div"/>
              <w:jc w:val="center"/>
              <w:rPr>
                <w:rFonts w:ascii="宋体" w:hAnsi="宋体" w:cs="宋体"/>
                <w:color w:val="000000"/>
                <w:kern w:val="0"/>
                <w:szCs w:val="21"/>
              </w:rPr>
            </w:pPr>
            <w:r>
              <w:rPr>
                <w:rFonts w:ascii="宋体" w:hAnsi="宋体" w:cs="宋体"/>
                <w:color w:val="000000"/>
                <w:kern w:val="0"/>
                <w:szCs w:val="21"/>
              </w:rPr>
              <w:t>0.28%</w:t>
            </w:r>
          </w:p>
        </w:tc>
      </w:tr>
    </w:tbl>
    <w:p w:rsidR="00796C66" w:rsidRDefault="00796C66">
      <w:pPr>
        <w:pStyle w:val="p"/>
        <w:spacing w:line="360" w:lineRule="auto"/>
        <w:rPr>
          <w:rFonts w:ascii="宋体" w:hAnsi="宋体" w:cs="宋体"/>
          <w:kern w:val="0"/>
          <w:szCs w:val="21"/>
        </w:rPr>
      </w:pPr>
    </w:p>
    <w:p w:rsidR="00796C66" w:rsidRDefault="00FB6202">
      <w:pPr>
        <w:pStyle w:val="div"/>
        <w:rPr>
          <w:rFonts w:ascii="宋体" w:hAnsi="宋体" w:cs="宋体"/>
          <w:kern w:val="0"/>
          <w:szCs w:val="21"/>
        </w:rPr>
      </w:pPr>
      <w:r>
        <w:rPr>
          <w:rFonts w:ascii="宋体" w:hAnsi="宋体" w:cs="宋体"/>
          <w:kern w:val="0"/>
          <w:szCs w:val="21"/>
        </w:rPr>
        <w:t>注：（</w:t>
      </w:r>
      <w:r>
        <w:rPr>
          <w:rFonts w:ascii="宋体" w:hAnsi="宋体" w:cs="宋体"/>
          <w:kern w:val="0"/>
          <w:szCs w:val="21"/>
        </w:rPr>
        <w:t>1</w:t>
      </w:r>
      <w:r>
        <w:rPr>
          <w:rFonts w:ascii="宋体" w:hAnsi="宋体" w:cs="宋体"/>
          <w:kern w:val="0"/>
          <w:szCs w:val="21"/>
        </w:rPr>
        <w:t>）本章业绩按照《公开募集证券投资基金宣传推介材料管理暂行规定》第四条的规定列示。</w:t>
      </w:r>
    </w:p>
    <w:p w:rsidR="00796C66" w:rsidRDefault="00FB6202">
      <w:pPr>
        <w:pStyle w:val="div"/>
        <w:rPr>
          <w:rFonts w:ascii="宋体" w:hAnsi="宋体" w:cs="宋体"/>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）本基金历任基金经理情况详见</w:t>
      </w:r>
      <w:r>
        <w:rPr>
          <w:rFonts w:ascii="宋体" w:hAnsi="宋体" w:cs="宋体"/>
          <w:kern w:val="0"/>
          <w:szCs w:val="21"/>
        </w:rPr>
        <w:t>“</w:t>
      </w:r>
      <w:r>
        <w:rPr>
          <w:rFonts w:ascii="宋体" w:hAnsi="宋体" w:cs="宋体"/>
          <w:kern w:val="0"/>
          <w:szCs w:val="21"/>
        </w:rPr>
        <w:t>三、基金管理人</w:t>
      </w:r>
      <w:r>
        <w:rPr>
          <w:rFonts w:ascii="宋体" w:hAnsi="宋体" w:cs="宋体"/>
          <w:kern w:val="0"/>
          <w:szCs w:val="21"/>
        </w:rPr>
        <w:t>”</w:t>
      </w:r>
      <w:r>
        <w:rPr>
          <w:rFonts w:ascii="宋体" w:hAnsi="宋体" w:cs="宋体"/>
          <w:kern w:val="0"/>
          <w:szCs w:val="21"/>
        </w:rPr>
        <w:t>。</w:t>
      </w:r>
      <w:r>
        <w:rPr>
          <w:rFonts w:ascii="宋体" w:hAnsi="宋体" w:cs="宋体"/>
          <w:kern w:val="0"/>
          <w:szCs w:val="21"/>
        </w:rPr>
        <w:br w:type="page"/>
      </w:r>
    </w:p>
    <w:p w:rsidR="00796C66" w:rsidRDefault="00FB6202">
      <w:pPr>
        <w:pStyle w:val="ae"/>
        <w:outlineLvl w:val="0"/>
      </w:pPr>
      <w:bookmarkStart w:id="12" w:name="_Toc256000011"/>
      <w:r>
        <w:rPr>
          <w:noProof/>
        </w:rPr>
        <w:lastRenderedPageBreak/>
        <w:t>十一</w:t>
      </w:r>
      <w:r>
        <w:rPr>
          <w:rStyle w:val="Char5"/>
          <w:b/>
          <w:bCs/>
          <w:noProof/>
        </w:rPr>
        <w:t>、</w:t>
      </w:r>
      <w:r>
        <w:rPr>
          <w:noProof/>
        </w:rPr>
        <w:t>基金的财产</w:t>
      </w:r>
      <w:bookmarkEnd w:id="12"/>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（一）基金资产总值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基金资产总值是指基金拥有的各类证券投资基金、有价证券、银行存款本息、基金应收款项及其他资产的价值总和。</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（二）基金资产净值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基金资产净值是指基金资产总值减去基金负债后的价值。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（三）基金财产的账户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（四）基金财产的保管和处分</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本基金财产独立于基金管理人、基金托管人和基金销售机构的财产，并由基金托管人保</w:t>
      </w:r>
      <w:r>
        <w:rPr>
          <w:rFonts w:ascii="宋体" w:hAnsi="宋体" w:cs="宋体"/>
          <w:kern w:val="0"/>
          <w:szCs w:val="21"/>
        </w:rPr>
        <w:t>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r>
        <w:rPr>
          <w:rFonts w:ascii="宋体" w:hAnsi="宋体" w:cs="宋体"/>
          <w:kern w:val="0"/>
          <w:szCs w:val="21"/>
        </w:rPr>
        <w:br w:type="page"/>
      </w:r>
    </w:p>
    <w:p w:rsidR="00796C66" w:rsidRDefault="00FB6202">
      <w:pPr>
        <w:pStyle w:val="ae"/>
        <w:outlineLvl w:val="0"/>
      </w:pPr>
      <w:bookmarkStart w:id="13" w:name="_Toc256000012"/>
      <w:r>
        <w:rPr>
          <w:noProof/>
        </w:rPr>
        <w:lastRenderedPageBreak/>
        <w:t>十</w:t>
      </w:r>
      <w:r>
        <w:rPr>
          <w:noProof/>
        </w:rPr>
        <w:t>二</w:t>
      </w:r>
      <w:r>
        <w:rPr>
          <w:rStyle w:val="Char5"/>
          <w:b/>
          <w:bCs/>
          <w:noProof/>
        </w:rPr>
        <w:t>、</w:t>
      </w:r>
      <w:r>
        <w:rPr>
          <w:noProof/>
        </w:rPr>
        <w:t>基金资产的估值</w:t>
      </w:r>
      <w:bookmarkEnd w:id="13"/>
    </w:p>
    <w:p w:rsidR="00796C66" w:rsidRDefault="00FB6202">
      <w:pPr>
        <w:pStyle w:val="div"/>
        <w:spacing w:line="360" w:lineRule="auto"/>
        <w:ind w:firstLine="480"/>
        <w:rPr>
          <w:rFonts w:eastAsia="Times New Roman"/>
          <w:kern w:val="0"/>
          <w:szCs w:val="21"/>
        </w:rPr>
      </w:pPr>
      <w:r>
        <w:rPr>
          <w:rFonts w:ascii="宋体" w:hAnsi="宋体" w:cs="宋体"/>
          <w:kern w:val="0"/>
          <w:szCs w:val="21"/>
        </w:rPr>
        <w:t>（一）估值日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本基金的估值日为本基金相关的证券交易场所的交易日以及国家法律法规规定需要对外披露基金净值的非交易日，即本基金的各类基金份额净值和基金份额累计净值的归属日。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（二）估值对象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基金所拥有的证券投资基金、股票、存托凭证、债券、资产支持证券和银行存款本息、应收款项、其它投资等资产及负债。</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（三）估值原则</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基金管理人在确定相关金融资产和金融负债的公允价值时，应符合《企业会计准则》、监管部门有关规定。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、对存在活跃市场且能够获取相同资产或负债报价的投资品种，在估值日有报价的，除会计准</w:t>
      </w:r>
      <w:r>
        <w:rPr>
          <w:rFonts w:ascii="宋体" w:hAnsi="宋体" w:cs="宋体"/>
          <w:kern w:val="0"/>
          <w:szCs w:val="21"/>
        </w:rPr>
        <w:t>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w:t>
      </w:r>
      <w:r>
        <w:rPr>
          <w:rFonts w:ascii="宋体" w:hAnsi="宋体" w:cs="宋体"/>
          <w:kern w:val="0"/>
          <w:szCs w:val="21"/>
        </w:rPr>
        <w:t>其大量持有相关资产或负债所产生的溢价或折价。</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、如经济环境发生重大变化或证券发行人发生影响证券价格的重大事件，使潜在估值调整对前一估值日的基金资产净值的影响在</w:t>
      </w:r>
      <w:r>
        <w:rPr>
          <w:rFonts w:ascii="宋体" w:hAnsi="宋体" w:cs="宋体"/>
          <w:kern w:val="0"/>
          <w:szCs w:val="21"/>
        </w:rPr>
        <w:t>0.25%</w:t>
      </w:r>
      <w:r>
        <w:rPr>
          <w:rFonts w:ascii="宋体" w:hAnsi="宋体" w:cs="宋体"/>
          <w:kern w:val="0"/>
          <w:szCs w:val="21"/>
        </w:rPr>
        <w:t>以上的，应对估值进行调整并确定公允价值。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（四）估值方法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、证券交易所上市的金融工具的估值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交易所上市的有价证券（包括股票等），以其估值日在证券交易所挂牌的市价（收盘价）估值；估值日无交易的，且最近交易日后经济环境未发生重大变化以及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）交易所上市交易或挂牌转让的不含权固定收益品种，选取估值日第三方估值机</w:t>
      </w:r>
      <w:r>
        <w:rPr>
          <w:rFonts w:ascii="宋体" w:hAnsi="宋体" w:cs="宋体"/>
          <w:kern w:val="0"/>
          <w:szCs w:val="21"/>
        </w:rPr>
        <w:lastRenderedPageBreak/>
        <w:t>构提供的相应品种当日</w:t>
      </w:r>
      <w:r>
        <w:rPr>
          <w:rFonts w:ascii="宋体" w:hAnsi="宋体" w:cs="宋体"/>
          <w:kern w:val="0"/>
          <w:szCs w:val="21"/>
        </w:rPr>
        <w:t>的估值净价进行估值；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）交易所上市交易或挂牌转让的含权固定收益品种，选取估值日第三方估值机构提供的相应品种当日的唯一估值净价或推荐估值净价进行估值；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）交易所上市交易的可转换债券以每日收盘价作为估值全价；</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）交易所上市不存在活跃市场的有价证券，采用估值技术确定公允价值。交易所市场挂牌转让的资产支持证券，采用估值技术确定公允价值；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）对在交易所市场发行未上市或未挂牌转让的债券，对存在活跃市场的情况下，应以活跃市场上未经调整的报价作为估值日的公允价值；对于活跃市场报价未能代表估值日公允价值的情况</w:t>
      </w:r>
      <w:r>
        <w:rPr>
          <w:rFonts w:ascii="宋体" w:hAnsi="宋体" w:cs="宋体"/>
          <w:kern w:val="0"/>
          <w:szCs w:val="21"/>
        </w:rPr>
        <w:t>下，应对市场报价进行调整以确认估值日的公允价值；对于不存在市场活动或市场活动很少的情况下，应采用估值技术确定其公允价值；</w:t>
      </w:r>
    </w:p>
    <w:p w:rsidR="00796C66" w:rsidRDefault="00FB6202">
      <w:pPr>
        <w:pStyle w:val="div"/>
        <w:spacing w:line="352" w:lineRule="auto"/>
        <w:ind w:firstLine="479"/>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w:t>
      </w:r>
      <w:r>
        <w:rPr>
          <w:rFonts w:ascii="宋体" w:hAnsi="宋体" w:cs="宋体"/>
          <w:kern w:val="0"/>
          <w:szCs w:val="21"/>
        </w:rPr>
        <w:t>ETF</w:t>
      </w:r>
      <w:r>
        <w:rPr>
          <w:rFonts w:ascii="宋体" w:hAnsi="宋体" w:cs="宋体"/>
          <w:kern w:val="0"/>
          <w:szCs w:val="21"/>
        </w:rPr>
        <w:t>基金、境内上市定期开放式基金、封闭式基金，按估值日的收盘价估值；若估值日无交易，且最近交易日后市场环境未发生重大变化，按最近交</w:t>
      </w:r>
      <w:r>
        <w:rPr>
          <w:rFonts w:ascii="宋体" w:hAnsi="宋体" w:cs="宋体"/>
          <w:kern w:val="0"/>
          <w:szCs w:val="21"/>
        </w:rPr>
        <w:t xml:space="preserve"> </w:t>
      </w:r>
      <w:r>
        <w:rPr>
          <w:rFonts w:ascii="宋体" w:hAnsi="宋体" w:cs="宋体"/>
          <w:kern w:val="0"/>
          <w:szCs w:val="21"/>
        </w:rPr>
        <w:t>易日的收盘价估值；如最近交易日后市场环境发生了重大变化的，可使用最新的</w:t>
      </w:r>
      <w:r>
        <w:rPr>
          <w:rFonts w:ascii="宋体" w:hAnsi="宋体" w:cs="宋体"/>
          <w:kern w:val="0"/>
          <w:szCs w:val="21"/>
        </w:rPr>
        <w:t xml:space="preserve"> </w:t>
      </w:r>
      <w:r>
        <w:rPr>
          <w:rFonts w:ascii="宋体" w:hAnsi="宋体" w:cs="宋体"/>
          <w:kern w:val="0"/>
          <w:szCs w:val="21"/>
        </w:rPr>
        <w:t>基金份额净值为基础或参考类似投资品种的现行市价及重大变化因素调整最近</w:t>
      </w:r>
      <w:r>
        <w:rPr>
          <w:rFonts w:ascii="宋体" w:hAnsi="宋体" w:cs="宋体"/>
          <w:kern w:val="0"/>
          <w:szCs w:val="21"/>
        </w:rPr>
        <w:t xml:space="preserve"> </w:t>
      </w:r>
      <w:r>
        <w:rPr>
          <w:rFonts w:ascii="宋体" w:hAnsi="宋体" w:cs="宋体"/>
          <w:kern w:val="0"/>
          <w:szCs w:val="21"/>
        </w:rPr>
        <w:t>交易市价，确定公允价值；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）境内上市开放式基金（</w:t>
      </w:r>
      <w:r>
        <w:rPr>
          <w:rFonts w:ascii="宋体" w:hAnsi="宋体" w:cs="宋体"/>
          <w:kern w:val="0"/>
          <w:szCs w:val="21"/>
        </w:rPr>
        <w:t>LOF</w:t>
      </w:r>
      <w:r>
        <w:rPr>
          <w:rFonts w:ascii="宋体" w:hAnsi="宋体" w:cs="宋体"/>
          <w:kern w:val="0"/>
          <w:szCs w:val="21"/>
        </w:rPr>
        <w:t>），按估值日的份额净值估值；境内上市交易型货币市场基金，如披露份额净值，则按估值日的份额净值估值；如披露万份（百份）收益，则按前一估值日后至估值日期间（含节假日）的万份（百份）收</w:t>
      </w:r>
      <w:r>
        <w:rPr>
          <w:rFonts w:ascii="宋体" w:hAnsi="宋体" w:cs="宋体"/>
          <w:kern w:val="0"/>
          <w:szCs w:val="21"/>
        </w:rPr>
        <w:t xml:space="preserve"> </w:t>
      </w:r>
      <w:r>
        <w:rPr>
          <w:rFonts w:ascii="宋体" w:hAnsi="宋体" w:cs="宋体"/>
          <w:kern w:val="0"/>
          <w:szCs w:val="21"/>
        </w:rPr>
        <w:t>益计提估值日基金收益；以基金份额净值估值的，若与本基金估值频率一致但未公布估值日基金份额净值，按其最近公布的基金份额净值为基础估值。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）本基金投资存托凭证的估值核算，依照境内上市交易的股票执行。</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、处于未上市期间的金融工具应区分如下情况处理：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）送股、转增股、配股和公开增发的新股，按估值日</w:t>
      </w:r>
      <w:r>
        <w:rPr>
          <w:rFonts w:ascii="宋体" w:hAnsi="宋体" w:cs="宋体"/>
          <w:kern w:val="0"/>
          <w:szCs w:val="21"/>
        </w:rPr>
        <w:t>在证券交易所挂牌的同一股票的估值方法估值；该日无交易的，以最近一日的市价（收盘价）估值；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）首次公开发行未上市的股票和债券，采用估值技术确定公允价值，在估值技术难以可靠计量公允价值的情况下，按成本估值；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、对全国银行间市场上不含权的固定收益品种，按照第三方估</w:t>
      </w:r>
      <w:r>
        <w:rPr>
          <w:rFonts w:ascii="宋体" w:hAnsi="宋体" w:cs="宋体"/>
          <w:kern w:val="0"/>
          <w:szCs w:val="21"/>
        </w:rPr>
        <w:t>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w:t>
      </w:r>
      <w:r>
        <w:rPr>
          <w:rFonts w:ascii="宋体" w:hAnsi="宋体" w:cs="宋体"/>
          <w:kern w:val="0"/>
          <w:szCs w:val="21"/>
        </w:rPr>
        <w:lastRenderedPageBreak/>
        <w:t>利率不存在明显差异，未上市期间市场利率没有发生大的变动的情况下，按成本估值。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、本基金投资同业存单，按估值日第三方估值机构提供的估值净价估值；选定的第三方估值机构未提供估值价格的</w:t>
      </w:r>
      <w:r>
        <w:rPr>
          <w:rFonts w:ascii="宋体" w:hAnsi="宋体" w:cs="宋体"/>
          <w:kern w:val="0"/>
          <w:szCs w:val="21"/>
        </w:rPr>
        <w:t>，按监管机构或行业协会有关规定确定</w:t>
      </w:r>
      <w:r>
        <w:rPr>
          <w:rFonts w:ascii="宋体" w:hAnsi="宋体" w:cs="宋体"/>
          <w:kern w:val="0"/>
          <w:szCs w:val="21"/>
        </w:rPr>
        <w:t xml:space="preserve"> </w:t>
      </w:r>
      <w:r>
        <w:rPr>
          <w:rFonts w:ascii="宋体" w:hAnsi="宋体" w:cs="宋体"/>
          <w:kern w:val="0"/>
          <w:szCs w:val="21"/>
        </w:rPr>
        <w:t>公允价值。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非上市基金的估值：境内非货币市场基金，按估值日的份额净值估值；若与本基金估值频率一致但未公布估值日基金份额净值，按其最近公布的基金份额净值为基础估值。境内货币市场基金，按前一估值日后至估值日期间（含节假日）的万份收益计提估值日基金收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、估值计算中涉及港币对人民币汇率的，将依据下列信息提供机构所提供的汇率为基准：当日中国人民银行公布的人民币与港币的中间价。</w:t>
      </w:r>
    </w:p>
    <w:p w:rsidR="00796C66" w:rsidRDefault="00FB6202">
      <w:pPr>
        <w:pStyle w:val="div"/>
        <w:spacing w:line="360" w:lineRule="auto"/>
        <w:ind w:firstLine="480"/>
        <w:rPr>
          <w:rFonts w:eastAsia="Times New Roman"/>
          <w:kern w:val="0"/>
          <w:szCs w:val="21"/>
        </w:rPr>
      </w:pPr>
      <w:r>
        <w:rPr>
          <w:rFonts w:ascii="宋体" w:hAnsi="宋体" w:cs="宋体"/>
          <w:kern w:val="0"/>
          <w:szCs w:val="21"/>
        </w:rPr>
        <w:t>税收：对于按照中国法律法规和基金投资境内外股票市场交易互联互通机制涉及的境外交易场所所在地的法律</w:t>
      </w:r>
      <w:r>
        <w:rPr>
          <w:rFonts w:ascii="宋体" w:hAnsi="宋体" w:cs="宋体"/>
          <w:kern w:val="0"/>
          <w:szCs w:val="21"/>
        </w:rPr>
        <w:t>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rsidR="00796C66" w:rsidRDefault="00FB6202">
      <w:pPr>
        <w:pStyle w:val="div"/>
        <w:spacing w:line="360" w:lineRule="auto"/>
        <w:ind w:firstLine="480"/>
        <w:rPr>
          <w:rFonts w:eastAsia="Times New Roman"/>
          <w:kern w:val="0"/>
          <w:szCs w:val="21"/>
        </w:rPr>
      </w:pPr>
      <w:r>
        <w:rPr>
          <w:rFonts w:ascii="宋体" w:hAnsi="宋体" w:cs="宋体"/>
          <w:kern w:val="0"/>
          <w:szCs w:val="21"/>
        </w:rPr>
        <w:t>7</w:t>
      </w:r>
      <w:r>
        <w:rPr>
          <w:rFonts w:ascii="宋体" w:hAnsi="宋体" w:cs="宋体"/>
          <w:kern w:val="0"/>
          <w:szCs w:val="21"/>
        </w:rPr>
        <w:t>、同一证券同时在两个或两个以上市场交易的，按证券所处的市场分别估值。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8</w:t>
      </w:r>
      <w:r>
        <w:rPr>
          <w:rFonts w:ascii="宋体" w:hAnsi="宋体" w:cs="宋体"/>
          <w:kern w:val="0"/>
          <w:szCs w:val="21"/>
        </w:rPr>
        <w:t>、本基金可以采用第三方估值机构按照上述公允价值确定原则提供的估值价格数据。</w:t>
      </w:r>
    </w:p>
    <w:p w:rsidR="00796C66" w:rsidRDefault="00FB6202">
      <w:pPr>
        <w:pStyle w:val="div"/>
        <w:spacing w:line="360" w:lineRule="auto"/>
        <w:ind w:firstLine="480"/>
        <w:rPr>
          <w:rFonts w:eastAsia="Times New Roman"/>
          <w:kern w:val="0"/>
          <w:szCs w:val="21"/>
        </w:rPr>
      </w:pPr>
      <w:r>
        <w:rPr>
          <w:rFonts w:ascii="宋体" w:hAnsi="宋体" w:cs="宋体"/>
          <w:kern w:val="0"/>
          <w:szCs w:val="21"/>
        </w:rPr>
        <w:t>9</w:t>
      </w:r>
      <w:r>
        <w:rPr>
          <w:rFonts w:ascii="宋体" w:hAnsi="宋体" w:cs="宋体"/>
          <w:kern w:val="0"/>
          <w:szCs w:val="21"/>
        </w:rPr>
        <w:t>、如有确凿证据表明按上述方法进行估值不能客观反映其公允价值的，基金管理人可根据具体情况与基金托管人商定后，按最能反映公允价值的价格估值。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10</w:t>
      </w:r>
      <w:r>
        <w:rPr>
          <w:rFonts w:ascii="宋体" w:hAnsi="宋体" w:cs="宋体"/>
          <w:kern w:val="0"/>
          <w:szCs w:val="21"/>
        </w:rPr>
        <w:t>、当发生大额申购或赎回情形时</w:t>
      </w:r>
      <w:r>
        <w:rPr>
          <w:rFonts w:ascii="宋体" w:hAnsi="宋体" w:cs="宋体"/>
          <w:kern w:val="0"/>
          <w:szCs w:val="21"/>
        </w:rPr>
        <w:t>，基金管理人可以采用摆动定价机制，以确保基金估值的公平性。具体处理原则与操作规范遵循相关法律法规以及监管部门、自律规则的规定。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11</w:t>
      </w:r>
      <w:r>
        <w:rPr>
          <w:rFonts w:ascii="宋体" w:hAnsi="宋体" w:cs="宋体"/>
          <w:kern w:val="0"/>
          <w:szCs w:val="21"/>
        </w:rPr>
        <w:t>、相关法律法规以及监管部门有强制规定的，从其规定。如有新增事项，按国家最新规定估值。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如基金管理人或基金托管人发现基金估值违反基金合同订明的估值方法、程序及相关法律法规的规定或者未能充分维护基金份额持有人利益时，应立即通知对方，共同查明原因，双方协商解决。</w:t>
      </w:r>
    </w:p>
    <w:p w:rsidR="00796C66" w:rsidRDefault="00FB6202">
      <w:pPr>
        <w:pStyle w:val="div"/>
        <w:spacing w:line="360" w:lineRule="auto"/>
        <w:ind w:firstLine="480"/>
        <w:rPr>
          <w:rFonts w:eastAsia="Times New Roman"/>
          <w:kern w:val="0"/>
          <w:szCs w:val="21"/>
        </w:rPr>
      </w:pPr>
      <w:r>
        <w:rPr>
          <w:rFonts w:ascii="宋体" w:hAnsi="宋体" w:cs="宋体"/>
          <w:kern w:val="0"/>
          <w:szCs w:val="21"/>
        </w:rPr>
        <w:t>根据有关法律法规，基金资产净值计算和基金会计核算的义务由基金管理人承担。本基金的基金会计责任方由基金管理人担任，因此，就与</w:t>
      </w:r>
      <w:r>
        <w:rPr>
          <w:rFonts w:ascii="宋体" w:hAnsi="宋体" w:cs="宋体"/>
          <w:kern w:val="0"/>
          <w:szCs w:val="21"/>
        </w:rPr>
        <w:t>本基金有关的会计问题，如经相关各方在平等基础上充分讨论后，仍无法达成一致的意见，按照基金管理人对基金净值的计算结果按规定对外予以公布。</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（五）估值程序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、基金份额净值（含各类基金份额的基金份额净值，下同）是按照每个估值日相应类别的基金资产净值除以当日该类基金份额的余额数量计算，精确到</w:t>
      </w:r>
      <w:r>
        <w:rPr>
          <w:rFonts w:ascii="宋体" w:hAnsi="宋体" w:cs="宋体"/>
          <w:kern w:val="0"/>
          <w:szCs w:val="21"/>
        </w:rPr>
        <w:t>0.0001</w:t>
      </w:r>
      <w:r>
        <w:rPr>
          <w:rFonts w:ascii="宋体" w:hAnsi="宋体" w:cs="宋体"/>
          <w:kern w:val="0"/>
          <w:szCs w:val="21"/>
        </w:rPr>
        <w:t>元，小数点后第</w:t>
      </w:r>
      <w:r>
        <w:rPr>
          <w:rFonts w:ascii="宋体" w:hAnsi="宋体" w:cs="宋体"/>
          <w:kern w:val="0"/>
          <w:szCs w:val="21"/>
        </w:rPr>
        <w:t>5</w:t>
      </w:r>
      <w:r>
        <w:rPr>
          <w:rFonts w:ascii="宋体" w:hAnsi="宋体" w:cs="宋体"/>
          <w:kern w:val="0"/>
          <w:szCs w:val="21"/>
        </w:rPr>
        <w:t>位四舍五入，由此产生的误差计入基金财产。基金管理人可以设立大额赎回情形下的净值精度应急调整机制。国家另有规定的，从其规定。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每个估值日计算基金资产净值及基金份额净值，并按规定公告。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、基金管理人应</w:t>
      </w:r>
      <w:r>
        <w:rPr>
          <w:rFonts w:ascii="宋体" w:hAnsi="宋体" w:cs="宋体"/>
          <w:kern w:val="0"/>
          <w:szCs w:val="21"/>
        </w:rPr>
        <w:t>每个估值日对基金资产估值。但基金管理人根据法律法规或基金合同的规定暂停估值时除外。基金管理人每个估值日对基金资产估值后，将基金份额净值结果发送基金托管人，经基金托管人复核无误后，由基金管理人按规定对外公布。</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（六）估值错误的处理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基金管理人和基金托管人将采取必要、适当、合理的措施确保基金资产估值的准确性、及时性。当任一类基金份额净值小数点后</w:t>
      </w:r>
      <w:r>
        <w:rPr>
          <w:rFonts w:ascii="宋体" w:hAnsi="宋体" w:cs="宋体"/>
          <w:kern w:val="0"/>
          <w:szCs w:val="21"/>
        </w:rPr>
        <w:t>4</w:t>
      </w:r>
      <w:r>
        <w:rPr>
          <w:rFonts w:ascii="宋体" w:hAnsi="宋体" w:cs="宋体"/>
          <w:kern w:val="0"/>
          <w:szCs w:val="21"/>
        </w:rPr>
        <w:t>位以内</w:t>
      </w:r>
      <w:r>
        <w:rPr>
          <w:rFonts w:ascii="宋体" w:hAnsi="宋体" w:cs="宋体"/>
          <w:kern w:val="0"/>
          <w:szCs w:val="21"/>
        </w:rPr>
        <w:t>(</w:t>
      </w:r>
      <w:r>
        <w:rPr>
          <w:rFonts w:ascii="宋体" w:hAnsi="宋体" w:cs="宋体"/>
          <w:kern w:val="0"/>
          <w:szCs w:val="21"/>
        </w:rPr>
        <w:t>含第</w:t>
      </w:r>
      <w:r>
        <w:rPr>
          <w:rFonts w:ascii="宋体" w:hAnsi="宋体" w:cs="宋体"/>
          <w:kern w:val="0"/>
          <w:szCs w:val="21"/>
        </w:rPr>
        <w:t>4</w:t>
      </w:r>
      <w:r>
        <w:rPr>
          <w:rFonts w:ascii="宋体" w:hAnsi="宋体" w:cs="宋体"/>
          <w:kern w:val="0"/>
          <w:szCs w:val="21"/>
        </w:rPr>
        <w:t>位</w:t>
      </w:r>
      <w:r>
        <w:rPr>
          <w:rFonts w:ascii="宋体" w:hAnsi="宋体" w:cs="宋体"/>
          <w:kern w:val="0"/>
          <w:szCs w:val="21"/>
        </w:rPr>
        <w:t>)</w:t>
      </w:r>
      <w:r>
        <w:rPr>
          <w:rFonts w:ascii="宋体" w:hAnsi="宋体" w:cs="宋体"/>
          <w:kern w:val="0"/>
          <w:szCs w:val="21"/>
        </w:rPr>
        <w:t>发生估值错误时，视为基金份额净值错误。</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基金合同的当事人应按照以下约定处理：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、估值错误类型</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ascii="宋体" w:hAnsi="宋体" w:cs="宋体"/>
          <w:kern w:val="0"/>
          <w:szCs w:val="21"/>
        </w:rPr>
        <w:t>( “</w:t>
      </w:r>
      <w:r>
        <w:rPr>
          <w:rFonts w:ascii="宋体" w:hAnsi="宋体" w:cs="宋体"/>
          <w:kern w:val="0"/>
          <w:szCs w:val="21"/>
        </w:rPr>
        <w:t>受损方</w:t>
      </w:r>
      <w:r>
        <w:rPr>
          <w:rFonts w:ascii="宋体" w:hAnsi="宋体" w:cs="宋体"/>
          <w:kern w:val="0"/>
          <w:szCs w:val="21"/>
        </w:rPr>
        <w:t>”)</w:t>
      </w:r>
      <w:r>
        <w:rPr>
          <w:rFonts w:ascii="宋体" w:hAnsi="宋体" w:cs="宋体"/>
          <w:kern w:val="0"/>
          <w:szCs w:val="21"/>
        </w:rPr>
        <w:t>的直接损失按下述</w:t>
      </w:r>
      <w:r>
        <w:rPr>
          <w:rFonts w:ascii="宋体" w:hAnsi="宋体" w:cs="宋体"/>
          <w:kern w:val="0"/>
          <w:szCs w:val="21"/>
        </w:rPr>
        <w:t>“</w:t>
      </w:r>
      <w:r>
        <w:rPr>
          <w:rFonts w:ascii="宋体" w:hAnsi="宋体" w:cs="宋体"/>
          <w:kern w:val="0"/>
          <w:szCs w:val="21"/>
        </w:rPr>
        <w:t>估值错误处理原则</w:t>
      </w:r>
      <w:r>
        <w:rPr>
          <w:rFonts w:ascii="宋体" w:hAnsi="宋体" w:cs="宋体"/>
          <w:kern w:val="0"/>
          <w:szCs w:val="21"/>
        </w:rPr>
        <w:t>”</w:t>
      </w:r>
      <w:r>
        <w:rPr>
          <w:rFonts w:ascii="宋体" w:hAnsi="宋体" w:cs="宋体"/>
          <w:kern w:val="0"/>
          <w:szCs w:val="21"/>
        </w:rPr>
        <w:t>给予赔偿，承担赔偿责任。</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上述估值错误的主要类型包括但不限于：资料申报差错、数据传输差错、数据计算差错、系统故障差错、下达指令差错等。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、估值错误处理原则</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）估值错误已发生，但尚未给当事人造成损失时，估值错误责任方应及时协调各方，及时进行更正，因更正估值错误发生的费用由估值错</w:t>
      </w:r>
      <w:r>
        <w:rPr>
          <w:rFonts w:ascii="宋体" w:hAnsi="宋体" w:cs="宋体"/>
          <w:kern w:val="0"/>
          <w:szCs w:val="21"/>
        </w:rPr>
        <w:t>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）估值错误的责任方对有关当事人的直接损失负责，不对间接损失负责，并且仅对估值错误的有关直接当事人负责，不对第三方负责。</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）因估值错误而获得不当得利的当事人负有及时返还不当得利的义务。但估值错误责任方仍</w:t>
      </w:r>
      <w:r>
        <w:rPr>
          <w:rFonts w:ascii="宋体" w:hAnsi="宋体" w:cs="宋体"/>
          <w:kern w:val="0"/>
          <w:szCs w:val="21"/>
        </w:rPr>
        <w:t>应对估值错误负责。如果由于获得不当得利的当事人不返还或不全部返还不当得利造成其他当事人的利益损失</w:t>
      </w:r>
      <w:r>
        <w:rPr>
          <w:rFonts w:ascii="宋体" w:hAnsi="宋体" w:cs="宋体"/>
          <w:kern w:val="0"/>
          <w:szCs w:val="21"/>
        </w:rPr>
        <w:t>(“</w:t>
      </w:r>
      <w:r>
        <w:rPr>
          <w:rFonts w:ascii="宋体" w:hAnsi="宋体" w:cs="宋体"/>
          <w:kern w:val="0"/>
          <w:szCs w:val="21"/>
        </w:rPr>
        <w:t>受损方</w:t>
      </w:r>
      <w:r>
        <w:rPr>
          <w:rFonts w:ascii="宋体" w:hAnsi="宋体" w:cs="宋体"/>
          <w:kern w:val="0"/>
          <w:szCs w:val="21"/>
        </w:rPr>
        <w:t>”)</w:t>
      </w:r>
      <w:r>
        <w:rPr>
          <w:rFonts w:ascii="宋体" w:hAnsi="宋体" w:cs="宋体"/>
          <w:kern w:val="0"/>
          <w:szCs w:val="21"/>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）估值错误调整采用尽量恢复至假设未发生估值错误的正确情形的方式。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、估值错误处理程序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估值错误被发现后，有关的</w:t>
      </w:r>
      <w:r>
        <w:rPr>
          <w:rFonts w:ascii="宋体" w:hAnsi="宋体" w:cs="宋体"/>
          <w:kern w:val="0"/>
          <w:szCs w:val="21"/>
        </w:rPr>
        <w:t>当事人应当及时进行处理，处理的程序如下：</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）查明估值错误发生的原因，列明所有的当事人，并根据估值错误发生的原因确定估值错误的责任方；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）根据估值错误处理原则或当事人协商的方法对因估值错误造成的损失进行评估；</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）根据估值错误处理原则或当事人协商的方法由估值错误的责任方进行更正和赔偿损失；</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）根据估值错误处理的方法，需要修改基金登记机构交易数据的，由基金登记机构进行更正，并就估值错误的更正向有关当事人进行确认。</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、基金份额净值估值错误处理的方法如下：</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）基金份额净值计算出现错误时，基金管理人应当立即予以纠正，通报基金托管人，并采取合理的措施防止损失进一步扩大。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）错误偏差达到该类基金份额净值的</w:t>
      </w:r>
      <w:r>
        <w:rPr>
          <w:rFonts w:ascii="宋体" w:hAnsi="宋体" w:cs="宋体"/>
          <w:kern w:val="0"/>
          <w:szCs w:val="21"/>
        </w:rPr>
        <w:t>0.25%</w:t>
      </w:r>
      <w:r>
        <w:rPr>
          <w:rFonts w:ascii="宋体" w:hAnsi="宋体" w:cs="宋体"/>
          <w:kern w:val="0"/>
          <w:szCs w:val="21"/>
        </w:rPr>
        <w:t>时，基金管理人应当通报基金托管人并报中国证监会备案；错误偏差达到该类基金份额净值的</w:t>
      </w:r>
      <w:r>
        <w:rPr>
          <w:rFonts w:ascii="宋体" w:hAnsi="宋体" w:cs="宋体"/>
          <w:kern w:val="0"/>
          <w:szCs w:val="21"/>
        </w:rPr>
        <w:t>0.5%</w:t>
      </w:r>
      <w:r>
        <w:rPr>
          <w:rFonts w:ascii="宋体" w:hAnsi="宋体" w:cs="宋体"/>
          <w:kern w:val="0"/>
          <w:szCs w:val="21"/>
        </w:rPr>
        <w:t>时，基金管理人应当公告，并报中国证监会备案。</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）前述内容如法律法规或监管机关另有规定的，从其规定处理。如果行业另有通行做法，基金管理人及基金托管人应本着平等和保护基金份额持有人利益的原则进行协商。</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（七）暂停估值的情形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、基金投资所涉及的证券交易市场或外</w:t>
      </w:r>
      <w:r>
        <w:rPr>
          <w:rFonts w:ascii="宋体" w:hAnsi="宋体" w:cs="宋体"/>
          <w:kern w:val="0"/>
          <w:szCs w:val="21"/>
        </w:rPr>
        <w:t>汇市场遇法定节假日或因其他原因暂停营业或港股通临时停市时；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、因不可抗力或其他情形致使基金管理人、基金托管人无法准确评估基金资产价值时；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、当特定资产占前一估值日基金资产净值</w:t>
      </w:r>
      <w:r>
        <w:rPr>
          <w:rFonts w:ascii="宋体" w:hAnsi="宋体" w:cs="宋体"/>
          <w:kern w:val="0"/>
          <w:szCs w:val="21"/>
        </w:rPr>
        <w:t>50%</w:t>
      </w:r>
      <w:r>
        <w:rPr>
          <w:rFonts w:ascii="宋体" w:hAnsi="宋体" w:cs="宋体"/>
          <w:kern w:val="0"/>
          <w:szCs w:val="21"/>
        </w:rPr>
        <w:t>以上的，经与基金托管人协商确认后，基金管理人应当暂停估值；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、占相当比例的被投资基金暂停估值时；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、法律法规规定、中国证监会和基金合同认定的其它情形。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（八）基金净值的确认</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基金资产净值和基金份额净值由基金管理人负责计算，基金托管人负责进行复核。基金管理人应于每个估值日计算基金资产净值和基金份额净值并发送给基金托管人。基金</w:t>
      </w:r>
      <w:r>
        <w:rPr>
          <w:rFonts w:ascii="宋体" w:hAnsi="宋体" w:cs="宋体"/>
          <w:kern w:val="0"/>
          <w:szCs w:val="21"/>
        </w:rPr>
        <w:t>托管人对净值计算结果复核确认后发送给基金管理人，由基金管理人按规定对基金净值予以公布。</w:t>
      </w:r>
    </w:p>
    <w:p w:rsidR="00796C66" w:rsidRDefault="00FB6202">
      <w:pPr>
        <w:pStyle w:val="div"/>
        <w:spacing w:line="360" w:lineRule="auto"/>
        <w:ind w:firstLine="480"/>
        <w:rPr>
          <w:rFonts w:eastAsia="Times New Roman"/>
          <w:kern w:val="0"/>
          <w:szCs w:val="21"/>
        </w:rPr>
      </w:pPr>
      <w:r>
        <w:rPr>
          <w:rFonts w:ascii="宋体" w:hAnsi="宋体" w:cs="宋体"/>
          <w:kern w:val="0"/>
          <w:szCs w:val="21"/>
        </w:rPr>
        <w:t>（九）特殊情况的处理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、基金管理人或基金托管人按估值方法的第</w:t>
      </w:r>
      <w:r>
        <w:rPr>
          <w:rFonts w:ascii="宋体" w:hAnsi="宋体" w:cs="宋体"/>
          <w:kern w:val="0"/>
          <w:szCs w:val="21"/>
        </w:rPr>
        <w:t>9</w:t>
      </w:r>
      <w:r>
        <w:rPr>
          <w:rFonts w:ascii="宋体" w:hAnsi="宋体" w:cs="宋体"/>
          <w:kern w:val="0"/>
          <w:szCs w:val="21"/>
        </w:rPr>
        <w:t>项进行估值时，所造成的误差不作为基金资产估值错误处理。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、由于证券交易场所、基金管理公司、登记结算公司、存款银行、第三方估值机构</w:t>
      </w:r>
      <w:r>
        <w:rPr>
          <w:rFonts w:ascii="宋体" w:hAnsi="宋体" w:cs="宋体"/>
          <w:kern w:val="0"/>
          <w:szCs w:val="21"/>
        </w:rPr>
        <w:lastRenderedPageBreak/>
        <w:t>等发送的数据错误，有关会计制度变化、市场规则变更或由于不可抗力等非基金管理人与基金托管人原因，基金管理人和基金托管人虽然已经采取必要、适当、合理的措施进行检查，但是未能发现该错误的，由此造成的基金资产估值错误，基金管理人和基金托管</w:t>
      </w:r>
      <w:r>
        <w:rPr>
          <w:rFonts w:ascii="宋体" w:hAnsi="宋体" w:cs="宋体"/>
          <w:kern w:val="0"/>
          <w:szCs w:val="21"/>
        </w:rPr>
        <w:t>人免除赔偿责任。但基金管理人和基金托管人应当积极采取必要的措施减轻或消除由此造成的影响。</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（十）实施侧袋机制期间的基金资产估值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本基金实施侧袋机制的，应根据本部分的约定对主袋账户资产进行估值并披露主袋账户的基金净值信息，暂停披露侧袋账户份额净值。</w:t>
      </w:r>
      <w:r>
        <w:rPr>
          <w:rFonts w:ascii="宋体" w:hAnsi="宋体" w:cs="宋体"/>
          <w:kern w:val="0"/>
          <w:szCs w:val="21"/>
        </w:rPr>
        <w:br w:type="page"/>
      </w:r>
    </w:p>
    <w:p w:rsidR="00796C66" w:rsidRDefault="00FB6202">
      <w:pPr>
        <w:pStyle w:val="ae"/>
        <w:outlineLvl w:val="0"/>
      </w:pPr>
      <w:bookmarkStart w:id="14" w:name="_Toc256000013"/>
      <w:r>
        <w:rPr>
          <w:noProof/>
        </w:rPr>
        <w:lastRenderedPageBreak/>
        <w:t>十三</w:t>
      </w:r>
      <w:r>
        <w:rPr>
          <w:rStyle w:val="Char5"/>
          <w:b/>
          <w:bCs/>
          <w:noProof/>
        </w:rPr>
        <w:t>、</w:t>
      </w:r>
      <w:r>
        <w:rPr>
          <w:noProof/>
        </w:rPr>
        <w:t>基金的收益与分配</w:t>
      </w:r>
      <w:bookmarkEnd w:id="14"/>
    </w:p>
    <w:p w:rsidR="00796C66" w:rsidRDefault="00FB6202">
      <w:pPr>
        <w:pStyle w:val="div"/>
        <w:spacing w:line="360" w:lineRule="auto"/>
        <w:ind w:firstLine="540"/>
        <w:rPr>
          <w:rFonts w:eastAsia="Times New Roman"/>
          <w:kern w:val="0"/>
          <w:szCs w:val="21"/>
        </w:rPr>
      </w:pPr>
      <w:r>
        <w:rPr>
          <w:rFonts w:ascii="宋体" w:hAnsi="宋体" w:cs="宋体"/>
          <w:kern w:val="0"/>
          <w:szCs w:val="21"/>
        </w:rPr>
        <w:t>（一）基金利润的构成</w:t>
      </w:r>
    </w:p>
    <w:p w:rsidR="00796C66" w:rsidRDefault="00FB6202">
      <w:pPr>
        <w:pStyle w:val="div"/>
        <w:spacing w:line="360" w:lineRule="auto"/>
        <w:ind w:firstLine="540"/>
        <w:rPr>
          <w:rFonts w:eastAsia="Times New Roman"/>
          <w:kern w:val="0"/>
          <w:szCs w:val="21"/>
        </w:rPr>
      </w:pPr>
      <w:r>
        <w:rPr>
          <w:rFonts w:ascii="宋体" w:hAnsi="宋体" w:cs="宋体"/>
          <w:kern w:val="0"/>
          <w:szCs w:val="21"/>
        </w:rPr>
        <w:t>基金利润指基金利息收入、投资收益、公允价值变动收益和其他收入扣除相关费用后的余额，基金已实现收益指基金利润减去公允价值变动收益后的余额。</w:t>
      </w:r>
    </w:p>
    <w:p w:rsidR="00796C66" w:rsidRDefault="00FB6202">
      <w:pPr>
        <w:pStyle w:val="div"/>
        <w:spacing w:line="360" w:lineRule="auto"/>
        <w:ind w:firstLine="540"/>
        <w:rPr>
          <w:rFonts w:eastAsia="Times New Roman"/>
          <w:kern w:val="0"/>
          <w:szCs w:val="21"/>
        </w:rPr>
      </w:pPr>
      <w:r>
        <w:rPr>
          <w:rFonts w:ascii="宋体" w:hAnsi="宋体" w:cs="宋体"/>
          <w:kern w:val="0"/>
          <w:szCs w:val="21"/>
        </w:rPr>
        <w:t>（二）基金可供分配利润</w:t>
      </w:r>
    </w:p>
    <w:p w:rsidR="00796C66" w:rsidRDefault="00FB6202">
      <w:pPr>
        <w:pStyle w:val="div"/>
        <w:spacing w:line="360" w:lineRule="auto"/>
        <w:ind w:firstLine="540"/>
        <w:rPr>
          <w:rFonts w:eastAsia="Times New Roman"/>
          <w:kern w:val="0"/>
          <w:szCs w:val="21"/>
        </w:rPr>
      </w:pPr>
      <w:r>
        <w:rPr>
          <w:rFonts w:ascii="宋体" w:hAnsi="宋体" w:cs="宋体"/>
          <w:kern w:val="0"/>
          <w:szCs w:val="21"/>
        </w:rPr>
        <w:t>基金可供分配利润指截至收益分配基准日基金未分配利润与未分配利润中已实现收益的孰低数。</w:t>
      </w:r>
    </w:p>
    <w:p w:rsidR="00796C66" w:rsidRDefault="00FB6202">
      <w:pPr>
        <w:pStyle w:val="div"/>
        <w:spacing w:line="360" w:lineRule="auto"/>
        <w:ind w:firstLine="540"/>
        <w:rPr>
          <w:rFonts w:eastAsia="Times New Roman"/>
          <w:kern w:val="0"/>
          <w:szCs w:val="21"/>
        </w:rPr>
      </w:pPr>
      <w:r>
        <w:rPr>
          <w:rFonts w:ascii="宋体" w:hAnsi="宋体" w:cs="宋体"/>
          <w:kern w:val="0"/>
          <w:szCs w:val="21"/>
        </w:rPr>
        <w:t>（三）基金收益分配原则</w:t>
      </w:r>
    </w:p>
    <w:p w:rsidR="00796C66" w:rsidRDefault="00FB6202">
      <w:pPr>
        <w:pStyle w:val="div"/>
        <w:spacing w:line="360" w:lineRule="auto"/>
        <w:ind w:firstLine="540"/>
        <w:rPr>
          <w:rFonts w:eastAsia="Times New Roman"/>
          <w:kern w:val="0"/>
          <w:szCs w:val="21"/>
        </w:rPr>
      </w:pPr>
      <w:r>
        <w:rPr>
          <w:rFonts w:ascii="宋体" w:hAnsi="宋体" w:cs="宋体"/>
          <w:kern w:val="0"/>
          <w:szCs w:val="21"/>
        </w:rPr>
        <w:t>1</w:t>
      </w:r>
      <w:r>
        <w:rPr>
          <w:rFonts w:ascii="宋体" w:hAnsi="宋体" w:cs="宋体"/>
          <w:kern w:val="0"/>
          <w:szCs w:val="21"/>
        </w:rPr>
        <w:t>、由于本基金</w:t>
      </w:r>
      <w:r>
        <w:rPr>
          <w:rFonts w:ascii="宋体" w:hAnsi="宋体" w:cs="宋体"/>
          <w:kern w:val="0"/>
          <w:szCs w:val="21"/>
        </w:rPr>
        <w:t>A</w:t>
      </w:r>
      <w:r>
        <w:rPr>
          <w:rFonts w:ascii="宋体" w:hAnsi="宋体" w:cs="宋体"/>
          <w:kern w:val="0"/>
          <w:szCs w:val="21"/>
        </w:rPr>
        <w:t>类基金份额不收取销售服务费，</w:t>
      </w:r>
      <w:r>
        <w:rPr>
          <w:rFonts w:ascii="宋体" w:hAnsi="宋体" w:cs="宋体"/>
          <w:kern w:val="0"/>
          <w:szCs w:val="21"/>
        </w:rPr>
        <w:t>C</w:t>
      </w:r>
      <w:r>
        <w:rPr>
          <w:rFonts w:ascii="宋体" w:hAnsi="宋体" w:cs="宋体"/>
          <w:kern w:val="0"/>
          <w:szCs w:val="21"/>
        </w:rPr>
        <w:t>类基金份额收取销售服务费，各基金份额类别对应的可供分配利润将有所不同，本基金同一类别每一基金份额享有同等分配权；</w:t>
      </w:r>
    </w:p>
    <w:p w:rsidR="00796C66" w:rsidRDefault="00FB6202">
      <w:pPr>
        <w:pStyle w:val="div"/>
        <w:spacing w:line="360" w:lineRule="auto"/>
        <w:ind w:firstLine="540"/>
        <w:rPr>
          <w:rFonts w:eastAsia="Times New Roman"/>
          <w:kern w:val="0"/>
          <w:szCs w:val="21"/>
        </w:rPr>
      </w:pPr>
      <w:r>
        <w:rPr>
          <w:rFonts w:ascii="宋体" w:hAnsi="宋体" w:cs="宋体"/>
          <w:kern w:val="0"/>
          <w:szCs w:val="21"/>
        </w:rPr>
        <w:t>2</w:t>
      </w:r>
      <w:r>
        <w:rPr>
          <w:rFonts w:ascii="宋体" w:hAnsi="宋体" w:cs="宋体"/>
          <w:kern w:val="0"/>
          <w:szCs w:val="21"/>
        </w:rPr>
        <w:t>、在符合有关基金分红条件的前提下，本基金每年收益分配次数最多为</w:t>
      </w:r>
      <w:r>
        <w:rPr>
          <w:rFonts w:ascii="宋体" w:hAnsi="宋体" w:cs="宋体"/>
          <w:kern w:val="0"/>
          <w:szCs w:val="21"/>
        </w:rPr>
        <w:t>12</w:t>
      </w:r>
      <w:r>
        <w:rPr>
          <w:rFonts w:ascii="宋体" w:hAnsi="宋体" w:cs="宋体"/>
          <w:kern w:val="0"/>
          <w:szCs w:val="21"/>
        </w:rPr>
        <w:t>次，每次收益分配比例不得低于该次可供分配利润的</w:t>
      </w:r>
      <w:r>
        <w:rPr>
          <w:rFonts w:ascii="宋体" w:hAnsi="宋体" w:cs="宋体"/>
          <w:kern w:val="0"/>
          <w:szCs w:val="21"/>
        </w:rPr>
        <w:t>10%</w:t>
      </w:r>
      <w:r>
        <w:rPr>
          <w:rFonts w:ascii="宋体" w:hAnsi="宋体" w:cs="宋体"/>
          <w:kern w:val="0"/>
          <w:szCs w:val="21"/>
        </w:rPr>
        <w:t>，若《基金合同》生效不满</w:t>
      </w:r>
      <w:r>
        <w:rPr>
          <w:rFonts w:ascii="宋体" w:hAnsi="宋体" w:cs="宋体"/>
          <w:kern w:val="0"/>
          <w:szCs w:val="21"/>
        </w:rPr>
        <w:t>3</w:t>
      </w:r>
      <w:r>
        <w:rPr>
          <w:rFonts w:ascii="宋体" w:hAnsi="宋体" w:cs="宋体"/>
          <w:kern w:val="0"/>
          <w:szCs w:val="21"/>
        </w:rPr>
        <w:t>个月可不进行收益分配；</w:t>
      </w:r>
    </w:p>
    <w:p w:rsidR="00796C66" w:rsidRDefault="00FB6202">
      <w:pPr>
        <w:pStyle w:val="div"/>
        <w:spacing w:line="360" w:lineRule="auto"/>
        <w:ind w:firstLine="540"/>
        <w:rPr>
          <w:rFonts w:eastAsia="Times New Roman"/>
          <w:kern w:val="0"/>
          <w:szCs w:val="21"/>
        </w:rPr>
      </w:pPr>
      <w:r>
        <w:rPr>
          <w:rFonts w:ascii="宋体" w:hAnsi="宋体" w:cs="宋体"/>
          <w:kern w:val="0"/>
          <w:szCs w:val="21"/>
        </w:rPr>
        <w:t>3</w:t>
      </w:r>
      <w:r>
        <w:rPr>
          <w:rFonts w:ascii="宋体" w:hAnsi="宋体" w:cs="宋体"/>
          <w:kern w:val="0"/>
          <w:szCs w:val="21"/>
        </w:rPr>
        <w:t>、本基金收益分配方式分两种：现金分红与红利再投资，投资者可选择现金红利</w:t>
      </w:r>
      <w:r>
        <w:rPr>
          <w:rFonts w:ascii="宋体" w:hAnsi="宋体" w:cs="宋体"/>
          <w:kern w:val="0"/>
          <w:szCs w:val="21"/>
        </w:rPr>
        <w:t>或将现金红利自动转为相应类别的基金份额进行再投资；若投资者不选择，本基金默认的收益分配方式是现金分红；</w:t>
      </w:r>
    </w:p>
    <w:p w:rsidR="00796C66" w:rsidRDefault="00FB6202">
      <w:pPr>
        <w:pStyle w:val="div"/>
        <w:spacing w:line="360" w:lineRule="auto"/>
        <w:ind w:firstLine="540"/>
        <w:rPr>
          <w:rFonts w:eastAsia="Times New Roman"/>
          <w:kern w:val="0"/>
          <w:szCs w:val="21"/>
        </w:rPr>
      </w:pPr>
      <w:r>
        <w:rPr>
          <w:rFonts w:ascii="宋体" w:hAnsi="宋体" w:cs="宋体"/>
          <w:kern w:val="0"/>
          <w:szCs w:val="21"/>
        </w:rPr>
        <w:t>4</w:t>
      </w:r>
      <w:r>
        <w:rPr>
          <w:rFonts w:ascii="宋体" w:hAnsi="宋体" w:cs="宋体"/>
          <w:kern w:val="0"/>
          <w:szCs w:val="21"/>
        </w:rPr>
        <w:t>、基金收益分配后任一类基金份额净值不能低于面值；即基金收益分配基准日的任一类基金份额净值减去每单位该类基金份额收益分配金额后不能低于面值；</w:t>
      </w:r>
    </w:p>
    <w:p w:rsidR="00796C66" w:rsidRDefault="00FB6202">
      <w:pPr>
        <w:pStyle w:val="div"/>
        <w:spacing w:line="360" w:lineRule="auto"/>
        <w:ind w:firstLine="540"/>
        <w:rPr>
          <w:rFonts w:eastAsia="Times New Roman"/>
          <w:kern w:val="0"/>
          <w:szCs w:val="21"/>
        </w:rPr>
      </w:pPr>
      <w:r>
        <w:rPr>
          <w:rFonts w:ascii="宋体" w:hAnsi="宋体" w:cs="宋体"/>
          <w:kern w:val="0"/>
          <w:szCs w:val="21"/>
        </w:rPr>
        <w:t>5</w:t>
      </w:r>
      <w:r>
        <w:rPr>
          <w:rFonts w:ascii="宋体" w:hAnsi="宋体" w:cs="宋体"/>
          <w:kern w:val="0"/>
          <w:szCs w:val="21"/>
        </w:rPr>
        <w:t>、因红利再投资所得的份额与原份额适用相同的锁定期；</w:t>
      </w:r>
    </w:p>
    <w:p w:rsidR="00796C66" w:rsidRDefault="00FB6202">
      <w:pPr>
        <w:pStyle w:val="div"/>
        <w:spacing w:line="360" w:lineRule="auto"/>
        <w:ind w:firstLine="540"/>
        <w:rPr>
          <w:rFonts w:eastAsia="Times New Roman"/>
          <w:kern w:val="0"/>
          <w:szCs w:val="21"/>
        </w:rPr>
      </w:pPr>
      <w:r>
        <w:rPr>
          <w:rFonts w:ascii="宋体" w:hAnsi="宋体" w:cs="宋体"/>
          <w:kern w:val="0"/>
          <w:szCs w:val="21"/>
        </w:rPr>
        <w:t>6</w:t>
      </w:r>
      <w:r>
        <w:rPr>
          <w:rFonts w:ascii="宋体" w:hAnsi="宋体" w:cs="宋体"/>
          <w:kern w:val="0"/>
          <w:szCs w:val="21"/>
        </w:rPr>
        <w:t>、法律法规或监管机关另有规定的，从其规定。</w:t>
      </w:r>
    </w:p>
    <w:p w:rsidR="00796C66" w:rsidRDefault="00FB6202">
      <w:pPr>
        <w:pStyle w:val="div"/>
        <w:spacing w:line="360" w:lineRule="auto"/>
        <w:ind w:firstLine="540"/>
        <w:rPr>
          <w:rFonts w:eastAsia="Times New Roman"/>
          <w:kern w:val="0"/>
          <w:szCs w:val="21"/>
        </w:rPr>
      </w:pPr>
      <w:r>
        <w:rPr>
          <w:rFonts w:ascii="宋体" w:hAnsi="宋体" w:cs="宋体"/>
          <w:kern w:val="0"/>
          <w:szCs w:val="21"/>
        </w:rPr>
        <w:t>在不违背法律法规及基金合同的规定、且对基金份额持有人利益无实质性不利影响的前提下，基金管理人经与基金托管人协商一致，可调整基金收益的分配原则，不需召开基金份额持有人大</w:t>
      </w:r>
      <w:r>
        <w:rPr>
          <w:rFonts w:ascii="宋体" w:hAnsi="宋体" w:cs="宋体"/>
          <w:kern w:val="0"/>
          <w:szCs w:val="21"/>
        </w:rPr>
        <w:t>会。</w:t>
      </w:r>
    </w:p>
    <w:p w:rsidR="00796C66" w:rsidRDefault="00FB6202">
      <w:pPr>
        <w:pStyle w:val="div"/>
        <w:spacing w:line="360" w:lineRule="auto"/>
        <w:ind w:firstLine="540"/>
        <w:rPr>
          <w:rFonts w:eastAsia="Times New Roman"/>
          <w:kern w:val="0"/>
          <w:szCs w:val="21"/>
        </w:rPr>
      </w:pPr>
      <w:r>
        <w:rPr>
          <w:rFonts w:ascii="宋体" w:hAnsi="宋体" w:cs="宋体"/>
          <w:kern w:val="0"/>
          <w:szCs w:val="21"/>
        </w:rPr>
        <w:t>（四）收益分配方案</w:t>
      </w:r>
    </w:p>
    <w:p w:rsidR="00796C66" w:rsidRDefault="00FB6202">
      <w:pPr>
        <w:pStyle w:val="div"/>
        <w:spacing w:line="360" w:lineRule="auto"/>
        <w:ind w:firstLine="540"/>
        <w:rPr>
          <w:rFonts w:eastAsia="Times New Roman"/>
          <w:kern w:val="0"/>
          <w:szCs w:val="21"/>
        </w:rPr>
      </w:pPr>
      <w:r>
        <w:rPr>
          <w:rFonts w:ascii="宋体" w:hAnsi="宋体" w:cs="宋体"/>
          <w:kern w:val="0"/>
          <w:szCs w:val="21"/>
        </w:rPr>
        <w:t>基金收益分配方案中应载明截止收益分配基准日的可供分配利润、基金收益分配对象、分配时间、分配数额及比例、分配方式等内容。</w:t>
      </w:r>
    </w:p>
    <w:p w:rsidR="00796C66" w:rsidRDefault="00FB6202">
      <w:pPr>
        <w:pStyle w:val="div"/>
        <w:spacing w:line="360" w:lineRule="auto"/>
        <w:ind w:firstLine="540"/>
        <w:rPr>
          <w:rFonts w:eastAsia="Times New Roman"/>
          <w:kern w:val="0"/>
          <w:szCs w:val="21"/>
        </w:rPr>
      </w:pPr>
      <w:r>
        <w:rPr>
          <w:rFonts w:ascii="宋体" w:hAnsi="宋体" w:cs="宋体"/>
          <w:kern w:val="0"/>
          <w:szCs w:val="21"/>
        </w:rPr>
        <w:t>（五）收益分配方案的确定、公告与实施</w:t>
      </w:r>
    </w:p>
    <w:p w:rsidR="00796C66" w:rsidRDefault="00FB6202">
      <w:pPr>
        <w:pStyle w:val="div"/>
        <w:spacing w:line="360" w:lineRule="auto"/>
        <w:ind w:firstLine="540"/>
        <w:rPr>
          <w:rFonts w:eastAsia="Times New Roman"/>
          <w:kern w:val="0"/>
          <w:szCs w:val="21"/>
        </w:rPr>
      </w:pPr>
      <w:r>
        <w:rPr>
          <w:rFonts w:ascii="宋体" w:hAnsi="宋体" w:cs="宋体"/>
          <w:kern w:val="0"/>
          <w:szCs w:val="21"/>
        </w:rPr>
        <w:t>本基金收益分配方案由基金管理人拟定，并由基金托管人复核，按规定在规定媒介公告。</w:t>
      </w:r>
    </w:p>
    <w:p w:rsidR="00796C66" w:rsidRDefault="00FB6202">
      <w:pPr>
        <w:pStyle w:val="div"/>
        <w:spacing w:line="360" w:lineRule="auto"/>
        <w:ind w:firstLine="540"/>
        <w:rPr>
          <w:rFonts w:eastAsia="Times New Roman"/>
          <w:kern w:val="0"/>
          <w:szCs w:val="21"/>
        </w:rPr>
      </w:pPr>
      <w:r>
        <w:rPr>
          <w:rFonts w:ascii="宋体" w:hAnsi="宋体" w:cs="宋体"/>
          <w:kern w:val="0"/>
          <w:szCs w:val="21"/>
        </w:rPr>
        <w:t>（六）基金收益分配中发生的费用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w:t>
      </w:r>
      <w:r>
        <w:rPr>
          <w:rFonts w:ascii="宋体" w:hAnsi="宋体" w:cs="宋体"/>
          <w:kern w:val="0"/>
          <w:szCs w:val="21"/>
        </w:rPr>
        <w:t>法，依照《业务</w:t>
      </w:r>
      <w:r>
        <w:rPr>
          <w:rFonts w:ascii="宋体" w:hAnsi="宋体" w:cs="宋体"/>
          <w:kern w:val="0"/>
          <w:szCs w:val="21"/>
        </w:rPr>
        <w:lastRenderedPageBreak/>
        <w:t>规则》执行。</w:t>
      </w:r>
    </w:p>
    <w:p w:rsidR="00796C66" w:rsidRDefault="00FB6202">
      <w:pPr>
        <w:pStyle w:val="div"/>
        <w:spacing w:line="360" w:lineRule="auto"/>
        <w:ind w:firstLine="540"/>
        <w:rPr>
          <w:rFonts w:eastAsia="Times New Roman"/>
          <w:kern w:val="0"/>
          <w:szCs w:val="21"/>
        </w:rPr>
      </w:pPr>
      <w:r>
        <w:rPr>
          <w:rFonts w:ascii="宋体" w:hAnsi="宋体" w:cs="宋体"/>
          <w:kern w:val="0"/>
          <w:szCs w:val="21"/>
        </w:rPr>
        <w:t>（七）实施侧袋机制期间的收益分配</w:t>
      </w:r>
    </w:p>
    <w:p w:rsidR="00796C66" w:rsidRDefault="00FB6202">
      <w:pPr>
        <w:pStyle w:val="div"/>
        <w:spacing w:line="360" w:lineRule="auto"/>
        <w:ind w:firstLine="540"/>
        <w:rPr>
          <w:rFonts w:eastAsia="Times New Roman"/>
          <w:kern w:val="0"/>
          <w:szCs w:val="21"/>
        </w:rPr>
      </w:pPr>
      <w:r>
        <w:rPr>
          <w:rFonts w:ascii="宋体" w:hAnsi="宋体" w:cs="宋体"/>
          <w:kern w:val="0"/>
          <w:szCs w:val="21"/>
        </w:rPr>
        <w:t>本基金实施侧袋机制的，侧袋账户不进行收益分配，详见本招募说明书</w:t>
      </w:r>
      <w:r>
        <w:rPr>
          <w:rFonts w:ascii="宋体" w:hAnsi="宋体" w:cs="宋体"/>
          <w:kern w:val="0"/>
          <w:szCs w:val="21"/>
        </w:rPr>
        <w:t>“</w:t>
      </w:r>
      <w:r>
        <w:rPr>
          <w:rFonts w:ascii="宋体" w:hAnsi="宋体" w:cs="宋体"/>
          <w:kern w:val="0"/>
          <w:szCs w:val="21"/>
        </w:rPr>
        <w:t>侧袋机制</w:t>
      </w:r>
      <w:r>
        <w:rPr>
          <w:rFonts w:ascii="宋体" w:hAnsi="宋体" w:cs="宋体"/>
          <w:kern w:val="0"/>
          <w:szCs w:val="21"/>
        </w:rPr>
        <w:t>”</w:t>
      </w:r>
      <w:r>
        <w:rPr>
          <w:rFonts w:ascii="宋体" w:hAnsi="宋体" w:cs="宋体"/>
          <w:kern w:val="0"/>
          <w:szCs w:val="21"/>
        </w:rPr>
        <w:t>章节的规定或相关公告。</w:t>
      </w:r>
      <w:r>
        <w:rPr>
          <w:rFonts w:ascii="宋体" w:hAnsi="宋体" w:cs="宋体"/>
          <w:kern w:val="0"/>
          <w:szCs w:val="21"/>
        </w:rPr>
        <w:br w:type="page"/>
      </w:r>
    </w:p>
    <w:p w:rsidR="00796C66" w:rsidRDefault="00FB6202">
      <w:pPr>
        <w:pStyle w:val="ae"/>
        <w:outlineLvl w:val="0"/>
      </w:pPr>
      <w:bookmarkStart w:id="15" w:name="_Toc256000014"/>
      <w:r>
        <w:rPr>
          <w:noProof/>
        </w:rPr>
        <w:lastRenderedPageBreak/>
        <w:t>十四</w:t>
      </w:r>
      <w:r>
        <w:rPr>
          <w:rStyle w:val="Char5"/>
          <w:b/>
          <w:bCs/>
          <w:noProof/>
        </w:rPr>
        <w:t>、</w:t>
      </w:r>
      <w:r>
        <w:rPr>
          <w:noProof/>
        </w:rPr>
        <w:t>基金费用与税收</w:t>
      </w:r>
      <w:bookmarkEnd w:id="15"/>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、基金费用的种类</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）基金管理人的管理费。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）基金托管人的托管费。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）销售服务费。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）《基金合同》生效后与基金相关的信息披露费用，但法律法规或中国证监会另有规定的除外。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）《基金合同》生效后与基金相关的会计师费、律师费、诉讼费和仲裁费。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）基金份额持有人大会费用。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）基金的证券交易费用、基金投资其他基金产生的相关费用，但法律法规禁止从基金财产中列支的除外。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）基金的银行汇划费用。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）基金的账户开户费用，账户维护费用。</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）因投资港股通标的股票而产生的各项合理费用。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11</w:t>
      </w:r>
      <w:r>
        <w:rPr>
          <w:rFonts w:ascii="宋体" w:hAnsi="宋体" w:cs="宋体"/>
          <w:kern w:val="0"/>
          <w:szCs w:val="21"/>
        </w:rPr>
        <w:t>）按照国家有关规定和《基金合同》约定，可以在基金财产中列支的其他费用。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、基金费用计提方法、计提标准和支付方式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）基金管理人的管理费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本基金基金财产中持有的基金管理人自身管理的其他基金部分不收取管理费。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本基金的管理费按前一日基金资产净值扣除基金财产中持有的基金管理人自身管理的</w:t>
      </w:r>
      <w:r>
        <w:rPr>
          <w:rFonts w:ascii="宋体" w:hAnsi="宋体" w:cs="宋体"/>
          <w:kern w:val="0"/>
          <w:szCs w:val="21"/>
        </w:rPr>
        <w:t>其他基金部分所对应资产净值后剩余部分的</w:t>
      </w:r>
      <w:r>
        <w:rPr>
          <w:rFonts w:ascii="宋体" w:hAnsi="宋体" w:cs="宋体"/>
          <w:kern w:val="0"/>
          <w:szCs w:val="21"/>
        </w:rPr>
        <w:t>1.0%</w:t>
      </w:r>
      <w:r>
        <w:rPr>
          <w:rFonts w:ascii="宋体" w:hAnsi="宋体" w:cs="宋体"/>
          <w:kern w:val="0"/>
          <w:szCs w:val="21"/>
        </w:rPr>
        <w:t>年费率计提。管理费的计算方法如下：</w:t>
      </w:r>
    </w:p>
    <w:p w:rsidR="00796C66" w:rsidRDefault="00FB6202">
      <w:pPr>
        <w:pStyle w:val="div"/>
        <w:spacing w:line="360" w:lineRule="auto"/>
        <w:ind w:firstLine="480"/>
        <w:rPr>
          <w:rFonts w:eastAsia="Times New Roman"/>
          <w:kern w:val="0"/>
          <w:szCs w:val="21"/>
        </w:rPr>
      </w:pPr>
      <w:r>
        <w:rPr>
          <w:rFonts w:ascii="宋体" w:hAnsi="宋体" w:cs="宋体"/>
          <w:kern w:val="0"/>
          <w:szCs w:val="21"/>
        </w:rPr>
        <w:t>H</w:t>
      </w:r>
      <w:r>
        <w:rPr>
          <w:rFonts w:ascii="宋体" w:hAnsi="宋体" w:cs="宋体"/>
          <w:kern w:val="0"/>
          <w:szCs w:val="21"/>
        </w:rPr>
        <w:t>＝</w:t>
      </w:r>
      <w:r>
        <w:rPr>
          <w:rFonts w:ascii="宋体" w:hAnsi="宋体" w:cs="宋体"/>
          <w:kern w:val="0"/>
          <w:szCs w:val="21"/>
        </w:rPr>
        <w:t>E×1.0%÷</w:t>
      </w:r>
      <w:r>
        <w:rPr>
          <w:rFonts w:ascii="宋体" w:hAnsi="宋体" w:cs="宋体"/>
          <w:kern w:val="0"/>
          <w:szCs w:val="21"/>
        </w:rPr>
        <w:t>当年天数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H</w:t>
      </w:r>
      <w:r>
        <w:rPr>
          <w:rFonts w:ascii="宋体" w:hAnsi="宋体" w:cs="宋体"/>
          <w:kern w:val="0"/>
          <w:szCs w:val="21"/>
        </w:rPr>
        <w:t>为每日应计提的基金管理费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E</w:t>
      </w:r>
      <w:r>
        <w:rPr>
          <w:rFonts w:ascii="宋体" w:hAnsi="宋体" w:cs="宋体"/>
          <w:kern w:val="0"/>
          <w:szCs w:val="21"/>
        </w:rPr>
        <w:t>为前一日的基金资产净值扣除基金财产中持有的基金管理人自身管理的其他基金部分所对应资产净值后剩余部分，若为负数，则</w:t>
      </w:r>
      <w:r>
        <w:rPr>
          <w:rFonts w:ascii="宋体" w:hAnsi="宋体" w:cs="宋体"/>
          <w:kern w:val="0"/>
          <w:szCs w:val="21"/>
        </w:rPr>
        <w:t>E</w:t>
      </w:r>
      <w:r>
        <w:rPr>
          <w:rFonts w:ascii="宋体" w:hAnsi="宋体" w:cs="宋体"/>
          <w:kern w:val="0"/>
          <w:szCs w:val="21"/>
        </w:rPr>
        <w:t>取</w:t>
      </w:r>
      <w:r>
        <w:rPr>
          <w:rFonts w:ascii="宋体" w:hAnsi="宋体" w:cs="宋体"/>
          <w:kern w:val="0"/>
          <w:szCs w:val="21"/>
        </w:rPr>
        <w:t>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费每日计提，逐日累计至每个月月末，按月支付。由基金托管人根据与基金管理人核对一致的财务数据，自动在次月初五个工作日内、按照指定的账户路径进行资金支付，基金管理人无需再出具资金划拨指令。若遇法定节假日、公休日或不可抗力致使无法按时支付等，支付日</w:t>
      </w:r>
      <w:r>
        <w:rPr>
          <w:rFonts w:ascii="宋体" w:hAnsi="宋体" w:cs="宋体"/>
          <w:kern w:val="0"/>
          <w:szCs w:val="21"/>
        </w:rPr>
        <w:t>期顺延。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）基金托管人的托管费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本基金基金财产中持有的基金托管人自身托管的其他基金部分不收取托管费。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本基金的托管费按前一日基金资产净值扣除基金财产中持有的基金托管人自身托管的其他基金部分所对应资产净值后剩余部分的</w:t>
      </w:r>
      <w:r>
        <w:rPr>
          <w:rFonts w:ascii="宋体" w:hAnsi="宋体" w:cs="宋体"/>
          <w:kern w:val="0"/>
          <w:szCs w:val="21"/>
        </w:rPr>
        <w:t>0.15%</w:t>
      </w:r>
      <w:r>
        <w:rPr>
          <w:rFonts w:ascii="宋体" w:hAnsi="宋体" w:cs="宋体"/>
          <w:kern w:val="0"/>
          <w:szCs w:val="21"/>
        </w:rPr>
        <w:t>的年费率计提。托管费的计算方法如下：</w:t>
      </w:r>
    </w:p>
    <w:p w:rsidR="00796C66" w:rsidRDefault="00FB6202">
      <w:pPr>
        <w:pStyle w:val="div"/>
        <w:spacing w:line="360" w:lineRule="auto"/>
        <w:ind w:firstLine="480"/>
        <w:rPr>
          <w:rFonts w:eastAsia="Times New Roman"/>
          <w:kern w:val="0"/>
          <w:szCs w:val="21"/>
        </w:rPr>
      </w:pPr>
      <w:r>
        <w:rPr>
          <w:rFonts w:ascii="宋体" w:hAnsi="宋体" w:cs="宋体"/>
          <w:kern w:val="0"/>
          <w:szCs w:val="21"/>
        </w:rPr>
        <w:t>H</w:t>
      </w:r>
      <w:r>
        <w:rPr>
          <w:rFonts w:ascii="宋体" w:hAnsi="宋体" w:cs="宋体"/>
          <w:kern w:val="0"/>
          <w:szCs w:val="21"/>
        </w:rPr>
        <w:t>＝</w:t>
      </w:r>
      <w:r>
        <w:rPr>
          <w:rFonts w:ascii="宋体" w:hAnsi="宋体" w:cs="宋体"/>
          <w:kern w:val="0"/>
          <w:szCs w:val="21"/>
        </w:rPr>
        <w:t>E×0.15%÷</w:t>
      </w:r>
      <w:r>
        <w:rPr>
          <w:rFonts w:ascii="宋体" w:hAnsi="宋体" w:cs="宋体"/>
          <w:kern w:val="0"/>
          <w:szCs w:val="21"/>
        </w:rPr>
        <w:t>当年天数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H</w:t>
      </w:r>
      <w:r>
        <w:rPr>
          <w:rFonts w:ascii="宋体" w:hAnsi="宋体" w:cs="宋体"/>
          <w:kern w:val="0"/>
          <w:szCs w:val="21"/>
        </w:rPr>
        <w:t>为每日应计提的基金托管费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E</w:t>
      </w:r>
      <w:r>
        <w:rPr>
          <w:rFonts w:ascii="宋体" w:hAnsi="宋体" w:cs="宋体"/>
          <w:kern w:val="0"/>
          <w:szCs w:val="21"/>
        </w:rPr>
        <w:t>为前一日的基金资产净值扣除基金财产中持有的基金托管人自身托管的其他基金部分所对应资产净值后剩余部分，若为负数，则</w:t>
      </w:r>
      <w:r>
        <w:rPr>
          <w:rFonts w:ascii="宋体" w:hAnsi="宋体" w:cs="宋体"/>
          <w:kern w:val="0"/>
          <w:szCs w:val="21"/>
        </w:rPr>
        <w:t>E</w:t>
      </w:r>
      <w:r>
        <w:rPr>
          <w:rFonts w:ascii="宋体" w:hAnsi="宋体" w:cs="宋体"/>
          <w:kern w:val="0"/>
          <w:szCs w:val="21"/>
        </w:rPr>
        <w:t>取</w:t>
      </w:r>
      <w:r>
        <w:rPr>
          <w:rFonts w:ascii="宋体" w:hAnsi="宋体" w:cs="宋体"/>
          <w:kern w:val="0"/>
          <w:szCs w:val="21"/>
        </w:rPr>
        <w:t>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基金托管费每日计提，逐日累计至每个月月末，按月支付。由基金托管人</w:t>
      </w:r>
      <w:r>
        <w:rPr>
          <w:rFonts w:ascii="宋体" w:hAnsi="宋体" w:cs="宋体"/>
          <w:kern w:val="0"/>
          <w:szCs w:val="21"/>
        </w:rPr>
        <w:t>根据与基金管理人核对一致的财务数据，自动在次月初五个工作日内、按照指定的账户路径进行资金支付，基金管理人无需再出具资金划拨指令。若遇法定节假日、公休日或不可抗力致使无法按时支付等，支付日期顺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）销售服务费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w:t>
      </w:r>
      <w:r>
        <w:rPr>
          <w:rFonts w:ascii="宋体" w:hAnsi="宋体" w:cs="宋体"/>
          <w:kern w:val="0"/>
          <w:szCs w:val="21"/>
        </w:rPr>
        <w:t>A</w:t>
      </w:r>
      <w:r>
        <w:rPr>
          <w:rFonts w:ascii="宋体" w:hAnsi="宋体" w:cs="宋体"/>
          <w:kern w:val="0"/>
          <w:szCs w:val="21"/>
        </w:rPr>
        <w:t>类基金份额不收取销售服务费，</w:t>
      </w:r>
      <w:r>
        <w:rPr>
          <w:rFonts w:ascii="宋体" w:hAnsi="宋体" w:cs="宋体"/>
          <w:kern w:val="0"/>
          <w:szCs w:val="21"/>
        </w:rPr>
        <w:t>C</w:t>
      </w:r>
      <w:r>
        <w:rPr>
          <w:rFonts w:ascii="宋体" w:hAnsi="宋体" w:cs="宋体"/>
          <w:kern w:val="0"/>
          <w:szCs w:val="21"/>
        </w:rPr>
        <w:t>类基金份额的销售服务费年费率为</w:t>
      </w:r>
      <w:r>
        <w:rPr>
          <w:rFonts w:ascii="宋体" w:hAnsi="宋体" w:cs="宋体"/>
          <w:kern w:val="0"/>
          <w:szCs w:val="21"/>
        </w:rPr>
        <w:t>0.40%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C</w:t>
      </w:r>
      <w:r>
        <w:rPr>
          <w:rFonts w:ascii="宋体" w:hAnsi="宋体" w:cs="宋体"/>
          <w:kern w:val="0"/>
          <w:szCs w:val="21"/>
        </w:rPr>
        <w:t>类基金份额的销售服务费按前一日</w:t>
      </w:r>
      <w:r>
        <w:rPr>
          <w:rFonts w:ascii="宋体" w:hAnsi="宋体" w:cs="宋体"/>
          <w:kern w:val="0"/>
          <w:szCs w:val="21"/>
        </w:rPr>
        <w:t>C</w:t>
      </w:r>
      <w:r>
        <w:rPr>
          <w:rFonts w:ascii="宋体" w:hAnsi="宋体" w:cs="宋体"/>
          <w:kern w:val="0"/>
          <w:szCs w:val="21"/>
        </w:rPr>
        <w:t>类基金份额资产净值的</w:t>
      </w:r>
      <w:r>
        <w:rPr>
          <w:rFonts w:ascii="宋体" w:hAnsi="宋体" w:cs="宋体"/>
          <w:kern w:val="0"/>
          <w:szCs w:val="21"/>
        </w:rPr>
        <w:t>0.40%</w:t>
      </w:r>
      <w:r>
        <w:rPr>
          <w:rFonts w:ascii="宋体" w:hAnsi="宋体" w:cs="宋体"/>
          <w:kern w:val="0"/>
          <w:szCs w:val="21"/>
        </w:rPr>
        <w:t>年费率计提，计算方法如下：</w:t>
      </w:r>
    </w:p>
    <w:p w:rsidR="00796C66" w:rsidRDefault="00FB6202">
      <w:pPr>
        <w:pStyle w:val="div"/>
        <w:spacing w:line="360" w:lineRule="auto"/>
        <w:ind w:firstLine="480"/>
        <w:rPr>
          <w:rFonts w:eastAsia="Times New Roman"/>
          <w:kern w:val="0"/>
          <w:szCs w:val="21"/>
        </w:rPr>
      </w:pPr>
      <w:r>
        <w:rPr>
          <w:rFonts w:ascii="宋体" w:hAnsi="宋体" w:cs="宋体"/>
          <w:kern w:val="0"/>
          <w:szCs w:val="21"/>
        </w:rPr>
        <w:t>H</w:t>
      </w:r>
      <w:r>
        <w:rPr>
          <w:rFonts w:ascii="宋体" w:hAnsi="宋体" w:cs="宋体"/>
          <w:kern w:val="0"/>
          <w:szCs w:val="21"/>
        </w:rPr>
        <w:t>＝</w:t>
      </w:r>
      <w:r>
        <w:rPr>
          <w:rFonts w:ascii="宋体" w:hAnsi="宋体" w:cs="宋体"/>
          <w:kern w:val="0"/>
          <w:szCs w:val="21"/>
        </w:rPr>
        <w:t>E×0.40%÷</w:t>
      </w:r>
      <w:r>
        <w:rPr>
          <w:rFonts w:ascii="宋体" w:hAnsi="宋体" w:cs="宋体"/>
          <w:kern w:val="0"/>
          <w:szCs w:val="21"/>
        </w:rPr>
        <w:t>当年天数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H</w:t>
      </w:r>
      <w:r>
        <w:rPr>
          <w:rFonts w:ascii="宋体" w:hAnsi="宋体" w:cs="宋体"/>
          <w:kern w:val="0"/>
          <w:szCs w:val="21"/>
        </w:rPr>
        <w:t>为</w:t>
      </w:r>
      <w:r>
        <w:rPr>
          <w:rFonts w:ascii="宋体" w:hAnsi="宋体" w:cs="宋体"/>
          <w:kern w:val="0"/>
          <w:szCs w:val="21"/>
        </w:rPr>
        <w:t>C</w:t>
      </w:r>
      <w:r>
        <w:rPr>
          <w:rFonts w:ascii="宋体" w:hAnsi="宋体" w:cs="宋体"/>
          <w:kern w:val="0"/>
          <w:szCs w:val="21"/>
        </w:rPr>
        <w:t>类基金份额每日应计提的销售服务费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E</w:t>
      </w:r>
      <w:r>
        <w:rPr>
          <w:rFonts w:ascii="宋体" w:hAnsi="宋体" w:cs="宋体"/>
          <w:kern w:val="0"/>
          <w:szCs w:val="21"/>
        </w:rPr>
        <w:t>为</w:t>
      </w:r>
      <w:r>
        <w:rPr>
          <w:rFonts w:ascii="宋体" w:hAnsi="宋体" w:cs="宋体"/>
          <w:kern w:val="0"/>
          <w:szCs w:val="21"/>
        </w:rPr>
        <w:t>C</w:t>
      </w:r>
      <w:r>
        <w:rPr>
          <w:rFonts w:ascii="宋体" w:hAnsi="宋体" w:cs="宋体"/>
          <w:kern w:val="0"/>
          <w:szCs w:val="21"/>
        </w:rPr>
        <w:t>类基金份额前一日基金资产净值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销售服务费每日计提，逐日累计至每月月末，按月支付。由基金托管人根据与基金管理人核对一致的财务数据，自动在次月初五个工作日内、按照指定的账户路径进行资金支付，基金管理人无需再出具资金划拨指令，经登记机构分别支付给各个基金销售机构。若遇法定节假日、公休日或不可抗力致使无法按时支付等，支付日期顺延。费用自动扣划后，基金管理人应进行核对，如发现数据不符，及时联系基金托管人协商解决。</w:t>
      </w:r>
    </w:p>
    <w:p w:rsidR="00796C66" w:rsidRDefault="00FB6202">
      <w:pPr>
        <w:pStyle w:val="div"/>
        <w:spacing w:line="360" w:lineRule="auto"/>
        <w:ind w:firstLine="480"/>
        <w:rPr>
          <w:rFonts w:eastAsia="Times New Roman"/>
          <w:kern w:val="0"/>
          <w:szCs w:val="21"/>
        </w:rPr>
      </w:pPr>
      <w:r>
        <w:rPr>
          <w:rFonts w:ascii="宋体" w:hAnsi="宋体" w:cs="宋体"/>
          <w:kern w:val="0"/>
          <w:szCs w:val="21"/>
        </w:rPr>
        <w:t>销售服务费主要用于支付销售机构佣金、以及基金管理人的基金行销广告费、促销活动费、基金份额持有人服务费等。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销售服务费不包括基金募集</w:t>
      </w:r>
      <w:r>
        <w:rPr>
          <w:rFonts w:ascii="宋体" w:hAnsi="宋体" w:cs="宋体"/>
          <w:kern w:val="0"/>
          <w:szCs w:val="21"/>
        </w:rPr>
        <w:t>期间的上述费用。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上述</w:t>
      </w:r>
      <w:r>
        <w:rPr>
          <w:rFonts w:ascii="宋体" w:hAnsi="宋体" w:cs="宋体"/>
          <w:kern w:val="0"/>
          <w:szCs w:val="21"/>
        </w:rPr>
        <w:t>“1</w:t>
      </w:r>
      <w:r>
        <w:rPr>
          <w:rFonts w:ascii="宋体" w:hAnsi="宋体" w:cs="宋体"/>
          <w:kern w:val="0"/>
          <w:szCs w:val="21"/>
        </w:rPr>
        <w:t>、基金费用的种类</w:t>
      </w:r>
      <w:r>
        <w:rPr>
          <w:rFonts w:ascii="宋体" w:hAnsi="宋体" w:cs="宋体"/>
          <w:kern w:val="0"/>
          <w:szCs w:val="21"/>
        </w:rPr>
        <w:t>”</w:t>
      </w:r>
      <w:r>
        <w:rPr>
          <w:rFonts w:ascii="宋体" w:hAnsi="宋体" w:cs="宋体"/>
          <w:kern w:val="0"/>
          <w:szCs w:val="21"/>
        </w:rPr>
        <w:t>中第（</w:t>
      </w:r>
      <w:r>
        <w:rPr>
          <w:rFonts w:ascii="宋体" w:hAnsi="宋体" w:cs="宋体"/>
          <w:kern w:val="0"/>
          <w:szCs w:val="21"/>
        </w:rPr>
        <w:t>4</w:t>
      </w:r>
      <w:r>
        <w:rPr>
          <w:rFonts w:ascii="宋体" w:hAnsi="宋体" w:cs="宋体"/>
          <w:kern w:val="0"/>
          <w:szCs w:val="21"/>
        </w:rPr>
        <w:t>）－（</w:t>
      </w:r>
      <w:r>
        <w:rPr>
          <w:rFonts w:ascii="宋体" w:hAnsi="宋体" w:cs="宋体"/>
          <w:kern w:val="0"/>
          <w:szCs w:val="21"/>
        </w:rPr>
        <w:t>11</w:t>
      </w:r>
      <w:r>
        <w:rPr>
          <w:rFonts w:ascii="宋体" w:hAnsi="宋体" w:cs="宋体"/>
          <w:kern w:val="0"/>
          <w:szCs w:val="21"/>
        </w:rPr>
        <w:t>）项费用，根据有关法规及相应协议规定，按费用实际支出金额列入当期费用，由基金托管人从基金财产中支付。</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、不列入基金费用的项目</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下列费用不列入基金费用：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）基金管理人和基金托管人因未履行或未完全履行义务导致的费用支出或基金财产的损失。</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）基金管理人和基金托管人处理与基金运作无关的事项发生的费用。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）《基金合同》生效前的相关费用。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）其他根据相关法律法规及中国证监会的有关规定不得列入基金费用的项目。</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基金管理人运用本基金财产申购自身</w:t>
      </w:r>
      <w:r>
        <w:rPr>
          <w:rFonts w:ascii="宋体" w:hAnsi="宋体" w:cs="宋体"/>
          <w:kern w:val="0"/>
          <w:szCs w:val="21"/>
        </w:rPr>
        <w:t>管理的基金的（</w:t>
      </w:r>
      <w:r>
        <w:rPr>
          <w:rFonts w:ascii="宋体" w:hAnsi="宋体" w:cs="宋体"/>
          <w:kern w:val="0"/>
          <w:szCs w:val="21"/>
        </w:rPr>
        <w:t>ETF</w:t>
      </w:r>
      <w:r>
        <w:rPr>
          <w:rFonts w:ascii="宋体" w:hAnsi="宋体" w:cs="宋体"/>
          <w:kern w:val="0"/>
          <w:szCs w:val="21"/>
        </w:rPr>
        <w:t>除外），应当通过直销渠道申购且不得收取申购费、赎回费（按照相关法律法规、被投资基金招募说明书约定应当收取，并记入基金资产的赎回费用除外）、销售服务费等销售费用。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（二）实施侧袋机制期间的基金费用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本基金实施侧袋机制的，与侧袋账户有关的费用可以从侧袋账户中列支，但应待侧袋账户资产变现后方可列支，有关费用可酌情收取或减免，但不得收取管理费，详见本招募说明书</w:t>
      </w:r>
      <w:r>
        <w:rPr>
          <w:rFonts w:ascii="宋体" w:hAnsi="宋体" w:cs="宋体"/>
          <w:kern w:val="0"/>
          <w:szCs w:val="21"/>
        </w:rPr>
        <w:t>“</w:t>
      </w:r>
      <w:r>
        <w:rPr>
          <w:rFonts w:ascii="宋体" w:hAnsi="宋体" w:cs="宋体"/>
          <w:kern w:val="0"/>
          <w:szCs w:val="21"/>
        </w:rPr>
        <w:t>侧袋机制</w:t>
      </w:r>
      <w:r>
        <w:rPr>
          <w:rFonts w:ascii="宋体" w:hAnsi="宋体" w:cs="宋体"/>
          <w:kern w:val="0"/>
          <w:szCs w:val="21"/>
        </w:rPr>
        <w:t>”</w:t>
      </w:r>
      <w:r>
        <w:rPr>
          <w:rFonts w:ascii="宋体" w:hAnsi="宋体" w:cs="宋体"/>
          <w:kern w:val="0"/>
          <w:szCs w:val="21"/>
        </w:rPr>
        <w:t>章节的规定或相关公告。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（三）基金税收</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本基金运作过程中涉及的各纳税主体，其纳税义务按国家税收法律、法规执行。基金财产投资的相关税收，由基金份额持有人承担，基金管理人或者其他扣缴义务人按照国家有关税收征收的规定代扣代缴。</w:t>
      </w:r>
      <w:r>
        <w:rPr>
          <w:rFonts w:ascii="宋体" w:hAnsi="宋体" w:cs="宋体"/>
          <w:kern w:val="0"/>
          <w:szCs w:val="21"/>
        </w:rPr>
        <w:br w:type="page"/>
      </w:r>
    </w:p>
    <w:p w:rsidR="00796C66" w:rsidRDefault="00FB6202">
      <w:pPr>
        <w:pStyle w:val="ae"/>
        <w:outlineLvl w:val="0"/>
      </w:pPr>
      <w:bookmarkStart w:id="16" w:name="_Toc256000015"/>
      <w:r>
        <w:rPr>
          <w:noProof/>
        </w:rPr>
        <w:lastRenderedPageBreak/>
        <w:t>十五</w:t>
      </w:r>
      <w:r>
        <w:rPr>
          <w:rStyle w:val="Char5"/>
          <w:b/>
          <w:bCs/>
          <w:noProof/>
        </w:rPr>
        <w:t>、</w:t>
      </w:r>
      <w:r>
        <w:rPr>
          <w:noProof/>
        </w:rPr>
        <w:t>基金的会计与审计</w:t>
      </w:r>
      <w:bookmarkEnd w:id="16"/>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（一）基金会计政策</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、基金管理人为本基金的基金会计责任方；</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、基金的会计年度为公历年度的</w:t>
      </w:r>
      <w:r>
        <w:rPr>
          <w:rFonts w:ascii="宋体" w:hAnsi="宋体" w:cs="宋体"/>
          <w:kern w:val="0"/>
          <w:szCs w:val="21"/>
        </w:rPr>
        <w:t>1</w:t>
      </w:r>
      <w:r>
        <w:rPr>
          <w:rFonts w:ascii="宋体" w:hAnsi="宋体" w:cs="宋体"/>
          <w:kern w:val="0"/>
          <w:szCs w:val="21"/>
        </w:rPr>
        <w:t>月</w:t>
      </w:r>
      <w:r>
        <w:rPr>
          <w:rFonts w:ascii="宋体" w:hAnsi="宋体" w:cs="宋体"/>
          <w:kern w:val="0"/>
          <w:szCs w:val="21"/>
        </w:rPr>
        <w:t>1</w:t>
      </w:r>
      <w:r>
        <w:rPr>
          <w:rFonts w:ascii="宋体" w:hAnsi="宋体" w:cs="宋体"/>
          <w:kern w:val="0"/>
          <w:szCs w:val="21"/>
        </w:rPr>
        <w:t>日至</w:t>
      </w:r>
      <w:r>
        <w:rPr>
          <w:rFonts w:ascii="宋体" w:hAnsi="宋体" w:cs="宋体"/>
          <w:kern w:val="0"/>
          <w:szCs w:val="21"/>
        </w:rPr>
        <w:t>12</w:t>
      </w:r>
      <w:r>
        <w:rPr>
          <w:rFonts w:ascii="宋体" w:hAnsi="宋体" w:cs="宋体"/>
          <w:kern w:val="0"/>
          <w:szCs w:val="21"/>
        </w:rPr>
        <w:t>月</w:t>
      </w:r>
      <w:r>
        <w:rPr>
          <w:rFonts w:ascii="宋体" w:hAnsi="宋体" w:cs="宋体"/>
          <w:kern w:val="0"/>
          <w:szCs w:val="21"/>
        </w:rPr>
        <w:t>31</w:t>
      </w:r>
      <w:r>
        <w:rPr>
          <w:rFonts w:ascii="宋体" w:hAnsi="宋体" w:cs="宋体"/>
          <w:kern w:val="0"/>
          <w:szCs w:val="21"/>
        </w:rPr>
        <w:t>日；基金首次募集的会计年度按如下原则：如果《基金合同》生效少于</w:t>
      </w:r>
      <w:r>
        <w:rPr>
          <w:rFonts w:ascii="宋体" w:hAnsi="宋体" w:cs="宋体"/>
          <w:kern w:val="0"/>
          <w:szCs w:val="21"/>
        </w:rPr>
        <w:t>2</w:t>
      </w:r>
      <w:r>
        <w:rPr>
          <w:rFonts w:ascii="宋体" w:hAnsi="宋体" w:cs="宋体"/>
          <w:kern w:val="0"/>
          <w:szCs w:val="21"/>
        </w:rPr>
        <w:t>个月，可以并入下一个会计年度；</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、基金核算以人民币为记账本位币，以人民币元为记账单位；</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、会计制度执行国家有关会计制度；</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、本基金独立建账、独立核算；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、基金管理人及基金托管人各自保留完整的会计账目、凭证并进行日常的会计核算，按照有关规定编制基金会计报表；</w:t>
      </w:r>
    </w:p>
    <w:p w:rsidR="00796C66" w:rsidRDefault="00FB6202">
      <w:pPr>
        <w:pStyle w:val="div"/>
        <w:spacing w:line="360" w:lineRule="auto"/>
        <w:ind w:firstLine="480"/>
        <w:rPr>
          <w:rFonts w:eastAsia="Times New Roman"/>
          <w:kern w:val="0"/>
          <w:szCs w:val="21"/>
        </w:rPr>
      </w:pPr>
      <w:r>
        <w:rPr>
          <w:rFonts w:ascii="宋体" w:hAnsi="宋体" w:cs="宋体"/>
          <w:kern w:val="0"/>
          <w:szCs w:val="21"/>
        </w:rPr>
        <w:t>7</w:t>
      </w:r>
      <w:r>
        <w:rPr>
          <w:rFonts w:ascii="宋体" w:hAnsi="宋体" w:cs="宋体"/>
          <w:kern w:val="0"/>
          <w:szCs w:val="21"/>
        </w:rPr>
        <w:t>、基金托管人每月与基金管理人就基金的会计核算、报表编制等进行核对并以书面方式确认。</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（二）基金的年度审计</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、基金管理人聘请与基金管理人、基金托管人相互独立的符合《证券法》规定的会计师事务所及其注册会计师对本基金的年度财务报表进行审计。</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、会计师事务所更换经办注册会计师，应事先征得基金管理人同意。</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、基金管理人认为有充足理由更换会计师事务所，须通报基金托管人。更换会计师事务所需按规定在规定媒介公告。</w:t>
      </w:r>
      <w:r>
        <w:rPr>
          <w:rFonts w:ascii="宋体" w:hAnsi="宋体" w:cs="宋体"/>
          <w:kern w:val="0"/>
          <w:szCs w:val="21"/>
        </w:rPr>
        <w:br w:type="page"/>
      </w:r>
    </w:p>
    <w:p w:rsidR="00796C66" w:rsidRDefault="00FB6202">
      <w:pPr>
        <w:pStyle w:val="ae"/>
        <w:outlineLvl w:val="0"/>
      </w:pPr>
      <w:bookmarkStart w:id="17" w:name="_Toc256000016"/>
      <w:r>
        <w:rPr>
          <w:noProof/>
        </w:rPr>
        <w:lastRenderedPageBreak/>
        <w:t>十六</w:t>
      </w:r>
      <w:r>
        <w:rPr>
          <w:rStyle w:val="Char5"/>
          <w:b/>
          <w:bCs/>
          <w:noProof/>
        </w:rPr>
        <w:t>、</w:t>
      </w:r>
      <w:r>
        <w:rPr>
          <w:noProof/>
        </w:rPr>
        <w:t>基金的信息披露</w:t>
      </w:r>
      <w:bookmarkEnd w:id="17"/>
    </w:p>
    <w:p w:rsidR="00796C66" w:rsidRDefault="00FB6202">
      <w:pPr>
        <w:pStyle w:val="div"/>
        <w:spacing w:line="360" w:lineRule="auto"/>
        <w:ind w:firstLine="480"/>
        <w:rPr>
          <w:rFonts w:eastAsia="Times New Roman"/>
          <w:kern w:val="0"/>
          <w:szCs w:val="21"/>
        </w:rPr>
      </w:pPr>
      <w:r>
        <w:rPr>
          <w:rFonts w:ascii="宋体" w:hAnsi="宋体" w:cs="宋体"/>
          <w:kern w:val="0"/>
          <w:szCs w:val="21"/>
        </w:rPr>
        <w:t>（一）本基金的信息披露应符合《基金法》、《运作办法》、《信息披露办法》、《流动性风险管理规定》、《基金合同》及其他有关规定。相关法律法规关于信息披露的规定发生变化时，本基金从其最新规定。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（二）信息披露义务人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本基金信息披露义务人包括基金管理人、基金托管人、召集基金份额持有人大会的基金份额持有人及其日常机构（如有）等法律、行政法规和中国证监会规定的自然人、法人和非法人组织。</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w:t>
      </w:r>
      <w:r>
        <w:rPr>
          <w:rFonts w:ascii="宋体" w:hAnsi="宋体" w:cs="宋体"/>
          <w:kern w:val="0"/>
          <w:szCs w:val="21"/>
        </w:rPr>
        <w:t>金信息披露义务人以保护基金份额持有人利益为根本出发点，按照法律法规和中国证监会的规定披露基金信息，并保证所披露信息的真实性、准确性、完整性、及时性、简明性和易得性。</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本基金信息披露义务人应当在中国证监会规定时间内，将应予披露的基金信息通过符合中国证监会规定条件的全国性报刊（以下简称</w:t>
      </w:r>
      <w:r>
        <w:rPr>
          <w:rFonts w:ascii="宋体" w:hAnsi="宋体" w:cs="宋体"/>
          <w:kern w:val="0"/>
          <w:szCs w:val="21"/>
        </w:rPr>
        <w:t>“</w:t>
      </w:r>
      <w:r>
        <w:rPr>
          <w:rFonts w:ascii="宋体" w:hAnsi="宋体" w:cs="宋体"/>
          <w:kern w:val="0"/>
          <w:szCs w:val="21"/>
        </w:rPr>
        <w:t>规定报刊</w:t>
      </w:r>
      <w:r>
        <w:rPr>
          <w:rFonts w:ascii="宋体" w:hAnsi="宋体" w:cs="宋体"/>
          <w:kern w:val="0"/>
          <w:szCs w:val="21"/>
        </w:rPr>
        <w:t>”</w:t>
      </w:r>
      <w:r>
        <w:rPr>
          <w:rFonts w:ascii="宋体" w:hAnsi="宋体" w:cs="宋体"/>
          <w:kern w:val="0"/>
          <w:szCs w:val="21"/>
        </w:rPr>
        <w:t>）和符合《信息披露办法》规定的互联网网站（以下简称</w:t>
      </w:r>
      <w:r>
        <w:rPr>
          <w:rFonts w:ascii="宋体" w:hAnsi="宋体" w:cs="宋体"/>
          <w:kern w:val="0"/>
          <w:szCs w:val="21"/>
        </w:rPr>
        <w:t>“</w:t>
      </w:r>
      <w:r>
        <w:rPr>
          <w:rFonts w:ascii="宋体" w:hAnsi="宋体" w:cs="宋体"/>
          <w:kern w:val="0"/>
          <w:szCs w:val="21"/>
        </w:rPr>
        <w:t>规定网站</w:t>
      </w:r>
      <w:r>
        <w:rPr>
          <w:rFonts w:ascii="宋体" w:hAnsi="宋体" w:cs="宋体"/>
          <w:kern w:val="0"/>
          <w:szCs w:val="21"/>
        </w:rPr>
        <w:t>”</w:t>
      </w:r>
      <w:r>
        <w:rPr>
          <w:rFonts w:ascii="宋体" w:hAnsi="宋体" w:cs="宋体"/>
          <w:kern w:val="0"/>
          <w:szCs w:val="21"/>
        </w:rPr>
        <w:t>，包括基金管理人网站、基金托管人网站、中国证监会基金电子披露网站）等媒介披露，并保证基金投资者能够按照《基金合同》约定的时间和方式查阅或者复制公开披露的信息</w:t>
      </w:r>
      <w:r>
        <w:rPr>
          <w:rFonts w:ascii="宋体" w:hAnsi="宋体" w:cs="宋体"/>
          <w:kern w:val="0"/>
          <w:szCs w:val="21"/>
        </w:rPr>
        <w:t>资料。</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（三）本基金信息披露义务人承诺公开披露的基金信息，不得有下列行为：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、虚假记载、误导性陈述或者重大遗漏。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、对证券投资业绩进行预测。</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、违规承诺收益或者承担损失。</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、诋毁其他基金管理人、基金托管人或者基金销售机构。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、登载任何自然人、法人和非法人组织的祝贺性、恭维性或推荐性的文字。</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、中国证监会禁止的其他行为。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（四）本基金公开披露的信息应采用中文文本。如同时采用外文文本的，基金信息披露义务人应保证不同文本的内容一致。不同文本之间发生歧义的，以中文文本为准。</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本基金公开披露的信息采用阿拉</w:t>
      </w:r>
      <w:r>
        <w:rPr>
          <w:rFonts w:ascii="宋体" w:hAnsi="宋体" w:cs="宋体"/>
          <w:kern w:val="0"/>
          <w:szCs w:val="21"/>
        </w:rPr>
        <w:t>伯数字；除特别说明外，货币单位为人民币元。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（五）公开披露的基金信息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公开披露的基金信息包括：</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、基金招募说明书、《基金合同》、基金托管协议、基金产品资料概要</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）《基金合同》是界定《基金合同》当事人的各项权利、义务关系，明确基金份额持有人大会召开的规则及具体程序，说明基金产品的特性等涉及基金投资者重大利益的事项的法律文件。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）基金招募说明书应当最大限度地披露影响基金投资者决策的全部事项，说明基金认购、申购和赎回安排、基金投资、基金产品特性、风险揭示、信息披露及基金份额持</w:t>
      </w:r>
      <w:r>
        <w:rPr>
          <w:rFonts w:ascii="宋体" w:hAnsi="宋体" w:cs="宋体"/>
          <w:kern w:val="0"/>
          <w:szCs w:val="21"/>
        </w:rPr>
        <w:lastRenderedPageBreak/>
        <w:t>有人服务等内容。</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基金产品资</w:t>
      </w:r>
      <w:r>
        <w:rPr>
          <w:rFonts w:ascii="宋体" w:hAnsi="宋体" w:cs="宋体"/>
          <w:kern w:val="0"/>
          <w:szCs w:val="21"/>
        </w:rPr>
        <w:t>料概要是基金招募说明书的摘要文件，用于向投资者提供简明的基金概要信息。基金管理人应当依照法律法规和中国证监会的规定编制、披露与更新基金产品资料概要。</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生效后，基金招募说明书、基金产品资料概要的信息发生重大变更的，基金管理人应当在三个工作日内，更新基金招募说明书和基金产品资料概要，并登载在规定网站上，其中基金产品资料概要还应当登载在基金销售机构网站或营业网点。其他情况下，基金管理人至少每年更新一次基金招募说明书、基金产品资料概要。</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基金终止运作后，基金管理人可以不再更新基金招募说明书和基金产品资料</w:t>
      </w:r>
      <w:r>
        <w:rPr>
          <w:rFonts w:ascii="宋体" w:hAnsi="宋体" w:cs="宋体"/>
          <w:kern w:val="0"/>
          <w:szCs w:val="21"/>
        </w:rPr>
        <w:t>概要。</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）基金托管协议是界定基金托管人和基金管理人在基金财产保管及基金运作监督等活动中的权利、义务关系的法律文件。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基金募集申请经中国证监会注册后，基金管理人在基金份额发售的</w:t>
      </w:r>
      <w:r>
        <w:rPr>
          <w:rFonts w:ascii="宋体" w:hAnsi="宋体" w:cs="宋体"/>
          <w:kern w:val="0"/>
          <w:szCs w:val="21"/>
        </w:rPr>
        <w:t>3</w:t>
      </w:r>
      <w:r>
        <w:rPr>
          <w:rFonts w:ascii="宋体" w:hAnsi="宋体" w:cs="宋体"/>
          <w:kern w:val="0"/>
          <w:szCs w:val="21"/>
        </w:rPr>
        <w:t>日前，将基金招募说明书提示性公告和《基金合同》提示性公告登载在规定报刊上，将基金招募说明书、基金产品资料概要、《基金合同》和基金托管协议登载在规定网站上，其中基金产品资料概要还应当登载在基金销售机构网站或营业网点；基金托管人应当同时将《基金合同》、基金托管协议登载在规定网站上。</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、基金份额发售公告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基金管理人应当就基金份额发售的具体事宜编制基金份额发售公告，并在披露招募说明书的当日登载于规定媒介上。</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、《基金合同》生效公告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基金管理人应当在收到中国证监会确认文件的次日在规定媒介上登载《基金合同》生效公告。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、基金净值信息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《基金合同》生效后，在开始办理基金份额申购或者赎回前，基金管理人应当至少每周在规定网站披露一次各类基金份额净值和基金份额累计净值。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在开始办理基金份额申购或者赎回后，基金管理人应当在不晚于每个开放日后的三个工作日，通过规定网站、基金销售机构网站或者营业网点披露开放日的各类基金份额</w:t>
      </w:r>
      <w:r>
        <w:rPr>
          <w:rFonts w:ascii="宋体" w:hAnsi="宋体" w:cs="宋体"/>
          <w:kern w:val="0"/>
          <w:szCs w:val="21"/>
        </w:rPr>
        <w:t>净值和基金份额累计净值。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基金管理人应当在不晚于半年度和年度最后一日后的第三个工作日，在规定网站披露半年度和年度最后一日的各类基金份额净值和基金份额累计净值。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、基金份额申购、赎回价格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基金管理人应当在《基金合同》、招募说明书等信息披露文件上载明基金份额申购、赎回价格的计算方式及有关申购、赎回费率，并保证投资者能够在基金销售机构网站或营业网点查阅或者复制前述信息资料。</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6</w:t>
      </w:r>
      <w:r>
        <w:rPr>
          <w:rFonts w:ascii="宋体" w:hAnsi="宋体" w:cs="宋体"/>
          <w:kern w:val="0"/>
          <w:szCs w:val="21"/>
        </w:rPr>
        <w:t>、基金定期报告，包括基金年度报告、基金中期报告和基金季度报告（含资产组合季度报告）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基金管理人应当在每年结束之日起三个月内，编制完成基金</w:t>
      </w:r>
      <w:r>
        <w:rPr>
          <w:rFonts w:ascii="宋体" w:hAnsi="宋体" w:cs="宋体"/>
          <w:kern w:val="0"/>
          <w:szCs w:val="21"/>
        </w:rPr>
        <w:t>年度报告，将年度报告登载于规定网站上，并将年度报告提示性公告登载在规定报刊上。基金年度报告中的财务会计报告应当经过符合《证券法》规定的会计师事务所审计。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基金管理人应当在上半年结束之日起两个月内，编制完成基金中期报告，将中期报告登载在规定网站上，并将中期报告提示性公告登载在规定报刊上。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基金管理人应当在每个季度结束之日起</w:t>
      </w:r>
      <w:r>
        <w:rPr>
          <w:rFonts w:ascii="宋体" w:hAnsi="宋体" w:cs="宋体"/>
          <w:kern w:val="0"/>
          <w:szCs w:val="21"/>
        </w:rPr>
        <w:t>15</w:t>
      </w:r>
      <w:r>
        <w:rPr>
          <w:rFonts w:ascii="宋体" w:hAnsi="宋体" w:cs="宋体"/>
          <w:kern w:val="0"/>
          <w:szCs w:val="21"/>
        </w:rPr>
        <w:t>个工作日内，编制完成基金季度报告，将季度报告登载在规定网站上，并将季度报告提示性公告登载在规定报刊上。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《基金合同》生效不足</w:t>
      </w:r>
      <w:r>
        <w:rPr>
          <w:rFonts w:ascii="宋体" w:hAnsi="宋体" w:cs="宋体"/>
          <w:kern w:val="0"/>
          <w:szCs w:val="21"/>
        </w:rPr>
        <w:t>2</w:t>
      </w:r>
      <w:r>
        <w:rPr>
          <w:rFonts w:ascii="宋体" w:hAnsi="宋体" w:cs="宋体"/>
          <w:kern w:val="0"/>
          <w:szCs w:val="21"/>
        </w:rPr>
        <w:t>个月的，基金管理人可以不编制当期季度报告、中期报告或者年度报</w:t>
      </w:r>
      <w:r>
        <w:rPr>
          <w:rFonts w:ascii="宋体" w:hAnsi="宋体" w:cs="宋体"/>
          <w:kern w:val="0"/>
          <w:szCs w:val="21"/>
        </w:rPr>
        <w:t>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如报告期内出现单一投资者持有基金份额达到或超过基金总份额</w:t>
      </w:r>
      <w:r>
        <w:rPr>
          <w:rFonts w:ascii="宋体" w:hAnsi="宋体" w:cs="宋体"/>
          <w:kern w:val="0"/>
          <w:szCs w:val="21"/>
        </w:rPr>
        <w:t>20%</w:t>
      </w:r>
      <w:r>
        <w:rPr>
          <w:rFonts w:ascii="宋体" w:hAnsi="宋体" w:cs="宋体"/>
          <w:kern w:val="0"/>
          <w:szCs w:val="21"/>
        </w:rPr>
        <w:t>的情形，为保障其他投资者的权益，基金管理人至少应当在定期报告</w:t>
      </w:r>
      <w:r>
        <w:rPr>
          <w:rFonts w:ascii="宋体" w:hAnsi="宋体" w:cs="宋体"/>
          <w:kern w:val="0"/>
          <w:szCs w:val="21"/>
        </w:rPr>
        <w:t>“</w:t>
      </w:r>
      <w:r>
        <w:rPr>
          <w:rFonts w:ascii="宋体" w:hAnsi="宋体" w:cs="宋体"/>
          <w:kern w:val="0"/>
          <w:szCs w:val="21"/>
        </w:rPr>
        <w:t>影响投资者决策的其他重要信息</w:t>
      </w:r>
      <w:r>
        <w:rPr>
          <w:rFonts w:ascii="宋体" w:hAnsi="宋体" w:cs="宋体"/>
          <w:kern w:val="0"/>
          <w:szCs w:val="21"/>
        </w:rPr>
        <w:t>”</w:t>
      </w:r>
      <w:r>
        <w:rPr>
          <w:rFonts w:ascii="宋体" w:hAnsi="宋体" w:cs="宋体"/>
          <w:kern w:val="0"/>
          <w:szCs w:val="21"/>
        </w:rPr>
        <w:t>项下披露该投资者的类别、报告期末持有份额及占比、报告期内持有份额变化情况及本基金的特有风险，中国证监会认定的特殊情形除外。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本基金持续运作过程中，基金管理人应当在基金年度报告和中期报告中披露基金组合资产情况及其流动性风险分析等。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7</w:t>
      </w:r>
      <w:r>
        <w:rPr>
          <w:rFonts w:ascii="宋体" w:hAnsi="宋体" w:cs="宋体"/>
          <w:kern w:val="0"/>
          <w:szCs w:val="21"/>
        </w:rPr>
        <w:t>、临时报告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本基金发生重大事件，有关信息披露义务人应当按规定编制临时报告书，并登载在规定报刊和规定网站上。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前款所称重大</w:t>
      </w:r>
      <w:r>
        <w:rPr>
          <w:rFonts w:ascii="宋体" w:hAnsi="宋体" w:cs="宋体"/>
          <w:kern w:val="0"/>
          <w:szCs w:val="21"/>
        </w:rPr>
        <w:t>事件，是指可能对基金份额持有人权益或者基金份额的价格产生重大影响的下列事件：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）基金份额持有人大会的召开及决定的事项；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）《基金合同》终止、基金清算；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）转换基金运作方式、基金合并；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）更换基金管理人、基金托管人、基金份额登记机构，基金改聘会计师事务所；</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）基金管理人、基金托管人的法定名称、住所发生变更；</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）基金管理人委托基金服务机构代为办理基金的份额登记、核算、估值等事项，基金托管人委托基金服务机构代为办理基金的核算、估值、复核等事项；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）基金管理人变更持有百分之五以上股权的股</w:t>
      </w:r>
      <w:r>
        <w:rPr>
          <w:rFonts w:ascii="宋体" w:hAnsi="宋体" w:cs="宋体"/>
          <w:kern w:val="0"/>
          <w:szCs w:val="21"/>
        </w:rPr>
        <w:t>东、变更基金管理人的实际控制人；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）基金募集期延长或提前结束募集；</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）基金管理人高级管理人员、基金经理和基金托管人专门基金托管部门负责人发生变动；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）基金管理人的董事在最近</w:t>
      </w:r>
      <w:r>
        <w:rPr>
          <w:rFonts w:ascii="宋体" w:hAnsi="宋体" w:cs="宋体"/>
          <w:kern w:val="0"/>
          <w:szCs w:val="21"/>
        </w:rPr>
        <w:t>12</w:t>
      </w:r>
      <w:r>
        <w:rPr>
          <w:rFonts w:ascii="宋体" w:hAnsi="宋体" w:cs="宋体"/>
          <w:kern w:val="0"/>
          <w:szCs w:val="21"/>
        </w:rPr>
        <w:t>个月内变更超过百分之五十；</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w:t>
      </w:r>
      <w:r>
        <w:rPr>
          <w:rFonts w:ascii="宋体" w:hAnsi="宋体" w:cs="宋体"/>
          <w:kern w:val="0"/>
          <w:szCs w:val="21"/>
        </w:rPr>
        <w:t>11</w:t>
      </w:r>
      <w:r>
        <w:rPr>
          <w:rFonts w:ascii="宋体" w:hAnsi="宋体" w:cs="宋体"/>
          <w:kern w:val="0"/>
          <w:szCs w:val="21"/>
        </w:rPr>
        <w:t>）基金管理人、基金托管人专门基金托管部门的主要业务人员在最近</w:t>
      </w:r>
      <w:r>
        <w:rPr>
          <w:rFonts w:ascii="宋体" w:hAnsi="宋体" w:cs="宋体"/>
          <w:kern w:val="0"/>
          <w:szCs w:val="21"/>
        </w:rPr>
        <w:t>12</w:t>
      </w:r>
      <w:r>
        <w:rPr>
          <w:rFonts w:ascii="宋体" w:hAnsi="宋体" w:cs="宋体"/>
          <w:kern w:val="0"/>
          <w:szCs w:val="21"/>
        </w:rPr>
        <w:t>个月内变动超过百分之三十；</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12</w:t>
      </w:r>
      <w:r>
        <w:rPr>
          <w:rFonts w:ascii="宋体" w:hAnsi="宋体" w:cs="宋体"/>
          <w:kern w:val="0"/>
          <w:szCs w:val="21"/>
        </w:rPr>
        <w:t>）涉及基金管理业务、基金财产、基金托管业务的诉讼或仲裁；</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13</w:t>
      </w:r>
      <w:r>
        <w:rPr>
          <w:rFonts w:ascii="宋体" w:hAnsi="宋体" w:cs="宋体"/>
          <w:kern w:val="0"/>
          <w:szCs w:val="21"/>
        </w:rPr>
        <w:t>）基金管理人或其高级管理人员、基金经理因基金管理业务相关行为受到重大行政处罚、刑事处罚，基金托管人或其专门基金托管部门负责人因基金托管业务相关行为受到重大行政处罚、刑事处罚；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14</w:t>
      </w:r>
      <w:r>
        <w:rPr>
          <w:rFonts w:ascii="宋体" w:hAnsi="宋体" w:cs="宋体"/>
          <w:kern w:val="0"/>
          <w:szCs w:val="21"/>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15</w:t>
      </w:r>
      <w:r>
        <w:rPr>
          <w:rFonts w:ascii="宋体" w:hAnsi="宋体" w:cs="宋体"/>
          <w:kern w:val="0"/>
          <w:szCs w:val="21"/>
        </w:rPr>
        <w:t>）基金收益分配事项；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16</w:t>
      </w:r>
      <w:r>
        <w:rPr>
          <w:rFonts w:ascii="宋体" w:hAnsi="宋体" w:cs="宋体"/>
          <w:kern w:val="0"/>
          <w:szCs w:val="21"/>
        </w:rPr>
        <w:t>）管理费、托管费、销售服务费、申购费、赎回费等费用计提标准、计提方式和费率发生变更；</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17</w:t>
      </w:r>
      <w:r>
        <w:rPr>
          <w:rFonts w:ascii="宋体" w:hAnsi="宋体" w:cs="宋体"/>
          <w:kern w:val="0"/>
          <w:szCs w:val="21"/>
        </w:rPr>
        <w:t>）任一类基金份额净值计价错误达该类基金份额净值百分之零点五；</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18</w:t>
      </w:r>
      <w:r>
        <w:rPr>
          <w:rFonts w:ascii="宋体" w:hAnsi="宋体" w:cs="宋体"/>
          <w:kern w:val="0"/>
          <w:szCs w:val="21"/>
        </w:rPr>
        <w:t>）本基金开始办理申购、赎回；</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19</w:t>
      </w:r>
      <w:r>
        <w:rPr>
          <w:rFonts w:ascii="宋体" w:hAnsi="宋体" w:cs="宋体"/>
          <w:kern w:val="0"/>
          <w:szCs w:val="21"/>
        </w:rPr>
        <w:t>）本基金发生巨额赎回并延期办理；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20</w:t>
      </w:r>
      <w:r>
        <w:rPr>
          <w:rFonts w:ascii="宋体" w:hAnsi="宋体" w:cs="宋体"/>
          <w:kern w:val="0"/>
          <w:szCs w:val="21"/>
        </w:rPr>
        <w:t>）本基金连续发生巨额赎回并暂停接受赎回申请或延缓支付赎回款项；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21</w:t>
      </w:r>
      <w:r>
        <w:rPr>
          <w:rFonts w:ascii="宋体" w:hAnsi="宋体" w:cs="宋体"/>
          <w:kern w:val="0"/>
          <w:szCs w:val="21"/>
        </w:rPr>
        <w:t>）本基金暂停接受申购、赎回申请或重新接受申购、赎回申请；</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22</w:t>
      </w:r>
      <w:r>
        <w:rPr>
          <w:rFonts w:ascii="宋体" w:hAnsi="宋体" w:cs="宋体"/>
          <w:kern w:val="0"/>
          <w:szCs w:val="21"/>
        </w:rPr>
        <w:t>）发生涉及基金申购、赎回事项调整或潜在影响投资者赎回等重大事项时；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23</w:t>
      </w:r>
      <w:r>
        <w:rPr>
          <w:rFonts w:ascii="宋体" w:hAnsi="宋体" w:cs="宋体"/>
          <w:kern w:val="0"/>
          <w:szCs w:val="21"/>
        </w:rPr>
        <w:t>）基金管理人采用摆动定价机制进行估值；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24</w:t>
      </w:r>
      <w:r>
        <w:rPr>
          <w:rFonts w:ascii="宋体" w:hAnsi="宋体" w:cs="宋体"/>
          <w:kern w:val="0"/>
          <w:szCs w:val="21"/>
        </w:rPr>
        <w:t>）本基金推出新业务或服务；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25</w:t>
      </w:r>
      <w:r>
        <w:rPr>
          <w:rFonts w:ascii="宋体" w:hAnsi="宋体" w:cs="宋体"/>
          <w:kern w:val="0"/>
          <w:szCs w:val="21"/>
        </w:rPr>
        <w:t>）调整基金份额类别设置；</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26</w:t>
      </w:r>
      <w:r>
        <w:rPr>
          <w:rFonts w:ascii="宋体" w:hAnsi="宋体" w:cs="宋体"/>
          <w:kern w:val="0"/>
          <w:szCs w:val="21"/>
        </w:rPr>
        <w:t>）《基金合同》生效后，本基金出现连续</w:t>
      </w:r>
      <w:r>
        <w:rPr>
          <w:rFonts w:ascii="宋体" w:hAnsi="宋体" w:cs="宋体"/>
          <w:kern w:val="0"/>
          <w:szCs w:val="21"/>
        </w:rPr>
        <w:t>30</w:t>
      </w:r>
      <w:r>
        <w:rPr>
          <w:rFonts w:ascii="宋体" w:hAnsi="宋体" w:cs="宋体"/>
          <w:kern w:val="0"/>
          <w:szCs w:val="21"/>
        </w:rPr>
        <w:t>、</w:t>
      </w:r>
      <w:r>
        <w:rPr>
          <w:rFonts w:ascii="宋体" w:hAnsi="宋体" w:cs="宋体"/>
          <w:kern w:val="0"/>
          <w:szCs w:val="21"/>
        </w:rPr>
        <w:t>40</w:t>
      </w:r>
      <w:r>
        <w:rPr>
          <w:rFonts w:ascii="宋体" w:hAnsi="宋体" w:cs="宋体"/>
          <w:kern w:val="0"/>
          <w:szCs w:val="21"/>
        </w:rPr>
        <w:t>、</w:t>
      </w:r>
      <w:r>
        <w:rPr>
          <w:rFonts w:ascii="宋体" w:hAnsi="宋体" w:cs="宋体"/>
          <w:kern w:val="0"/>
          <w:szCs w:val="21"/>
        </w:rPr>
        <w:t>45</w:t>
      </w:r>
      <w:r>
        <w:rPr>
          <w:rFonts w:ascii="宋体" w:hAnsi="宋体" w:cs="宋体"/>
          <w:kern w:val="0"/>
          <w:szCs w:val="21"/>
        </w:rPr>
        <w:t>个工作日基金份额持有人数量不满</w:t>
      </w:r>
      <w:r>
        <w:rPr>
          <w:rFonts w:ascii="宋体" w:hAnsi="宋体" w:cs="宋体"/>
          <w:kern w:val="0"/>
          <w:szCs w:val="21"/>
        </w:rPr>
        <w:t>200</w:t>
      </w:r>
      <w:r>
        <w:rPr>
          <w:rFonts w:ascii="宋体" w:hAnsi="宋体" w:cs="宋体"/>
          <w:kern w:val="0"/>
          <w:szCs w:val="21"/>
        </w:rPr>
        <w:t>人或者基金资产净值低于</w:t>
      </w:r>
      <w:r>
        <w:rPr>
          <w:rFonts w:ascii="宋体" w:hAnsi="宋体" w:cs="宋体"/>
          <w:kern w:val="0"/>
          <w:szCs w:val="21"/>
        </w:rPr>
        <w:t>5000</w:t>
      </w:r>
      <w:r>
        <w:rPr>
          <w:rFonts w:ascii="宋体" w:hAnsi="宋体" w:cs="宋体"/>
          <w:kern w:val="0"/>
          <w:szCs w:val="21"/>
        </w:rPr>
        <w:t>万元情形时；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27</w:t>
      </w:r>
      <w:r>
        <w:rPr>
          <w:rFonts w:ascii="宋体" w:hAnsi="宋体" w:cs="宋体"/>
          <w:kern w:val="0"/>
          <w:szCs w:val="21"/>
        </w:rPr>
        <w:t>）基金信息披露义务人认为可能对基金份额持有人权益或者基金份额的价格产生重大影响的其他事项或中国证监会规定的其他事项。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8</w:t>
      </w:r>
      <w:r>
        <w:rPr>
          <w:rFonts w:ascii="宋体" w:hAnsi="宋体" w:cs="宋体"/>
          <w:kern w:val="0"/>
          <w:szCs w:val="21"/>
        </w:rPr>
        <w:t>、澄清公告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基金合同》存续期限内，任何公共媒介中出现的或者在市场上流传的消息可能对基金份额价格产生误导性影响或者引起较大波动的，以及可能损害基金份额持有人权益的，相关信息披露义务人知悉后应当立即对该消息进行公开澄清。</w:t>
      </w:r>
    </w:p>
    <w:p w:rsidR="00796C66" w:rsidRDefault="00FB6202">
      <w:pPr>
        <w:pStyle w:val="div"/>
        <w:spacing w:line="360" w:lineRule="auto"/>
        <w:ind w:firstLine="480"/>
        <w:rPr>
          <w:rFonts w:eastAsia="Times New Roman"/>
          <w:kern w:val="0"/>
          <w:szCs w:val="21"/>
        </w:rPr>
      </w:pPr>
      <w:r>
        <w:rPr>
          <w:rFonts w:ascii="宋体" w:hAnsi="宋体" w:cs="宋体"/>
          <w:kern w:val="0"/>
          <w:szCs w:val="21"/>
        </w:rPr>
        <w:t>9</w:t>
      </w:r>
      <w:r>
        <w:rPr>
          <w:rFonts w:ascii="宋体" w:hAnsi="宋体" w:cs="宋体"/>
          <w:kern w:val="0"/>
          <w:szCs w:val="21"/>
        </w:rPr>
        <w:t>、基金份额持有人大会决议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基金份额持有人大会决定的事项，应当依法报中国证监会备案，并予以公告。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10</w:t>
      </w:r>
      <w:r>
        <w:rPr>
          <w:rFonts w:ascii="宋体" w:hAnsi="宋体" w:cs="宋体"/>
          <w:kern w:val="0"/>
          <w:szCs w:val="21"/>
        </w:rPr>
        <w:t>、清算报告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《基金合同》出现终止情形的，基金管理人应当依法组织基金财产清算小组对基金财产进行清算并作出清算报告。基金财产清算小组应当将清算报告登载在规定网站上，并将</w:t>
      </w:r>
      <w:r>
        <w:rPr>
          <w:rFonts w:ascii="宋体" w:hAnsi="宋体" w:cs="宋体"/>
          <w:kern w:val="0"/>
          <w:szCs w:val="21"/>
        </w:rPr>
        <w:lastRenderedPageBreak/>
        <w:t>清算报告提示性公告登载在规定报刊上。</w:t>
      </w:r>
    </w:p>
    <w:p w:rsidR="00796C66" w:rsidRDefault="00FB6202">
      <w:pPr>
        <w:pStyle w:val="div"/>
        <w:spacing w:line="360" w:lineRule="auto"/>
        <w:ind w:firstLine="480"/>
        <w:rPr>
          <w:rFonts w:eastAsia="Times New Roman"/>
          <w:kern w:val="0"/>
          <w:szCs w:val="21"/>
        </w:rPr>
      </w:pPr>
      <w:r>
        <w:rPr>
          <w:rFonts w:ascii="宋体" w:hAnsi="宋体" w:cs="宋体"/>
          <w:kern w:val="0"/>
          <w:szCs w:val="21"/>
        </w:rPr>
        <w:t>11</w:t>
      </w:r>
      <w:r>
        <w:rPr>
          <w:rFonts w:ascii="宋体" w:hAnsi="宋体" w:cs="宋体"/>
          <w:kern w:val="0"/>
          <w:szCs w:val="21"/>
        </w:rPr>
        <w:t>、投资资产支持证券的信息披露</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在基金年报及中期报告中披露其持有的资产支持证券总额、资产支持证券市值占基金净资产的比例和报告期内所有的资产支持证券明细。基金管理人在基金季度报告中披露其持有的资产支持证券总额、资产支持证券市值</w:t>
      </w:r>
      <w:r>
        <w:rPr>
          <w:rFonts w:ascii="宋体" w:hAnsi="宋体" w:cs="宋体"/>
          <w:kern w:val="0"/>
          <w:szCs w:val="21"/>
        </w:rPr>
        <w:t>占基金净资产的比例和报告期末按市值占基金净资产比例大小排序的前</w:t>
      </w:r>
      <w:r>
        <w:rPr>
          <w:rFonts w:ascii="宋体" w:hAnsi="宋体" w:cs="宋体"/>
          <w:kern w:val="0"/>
          <w:szCs w:val="21"/>
        </w:rPr>
        <w:t>10</w:t>
      </w:r>
      <w:r>
        <w:rPr>
          <w:rFonts w:ascii="宋体" w:hAnsi="宋体" w:cs="宋体"/>
          <w:kern w:val="0"/>
          <w:szCs w:val="21"/>
        </w:rPr>
        <w:t>名资产支持证券明细。</w:t>
      </w:r>
    </w:p>
    <w:p w:rsidR="00796C66" w:rsidRDefault="00FB6202">
      <w:pPr>
        <w:pStyle w:val="div"/>
        <w:spacing w:line="360" w:lineRule="auto"/>
        <w:ind w:firstLine="480"/>
        <w:rPr>
          <w:rFonts w:eastAsia="Times New Roman"/>
          <w:kern w:val="0"/>
          <w:szCs w:val="21"/>
        </w:rPr>
      </w:pPr>
      <w:r>
        <w:rPr>
          <w:rFonts w:ascii="宋体" w:hAnsi="宋体" w:cs="宋体"/>
          <w:kern w:val="0"/>
          <w:szCs w:val="21"/>
        </w:rPr>
        <w:t>12</w:t>
      </w:r>
      <w:r>
        <w:rPr>
          <w:rFonts w:ascii="宋体" w:hAnsi="宋体" w:cs="宋体"/>
          <w:kern w:val="0"/>
          <w:szCs w:val="21"/>
        </w:rPr>
        <w:t>、投资港股通标的股票的信息披露</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基金管理人应当在基金年度报告、基金中期报告和基金季度报告等定期报告和招募说明书（更新）等文件中按届时有效的法律法规或监管机构的要求披露港股通标的股票的投资情况。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若中国证监会对公开募集证券投资基金通过港股通机制投资香港股票市场的信息披露另有规定的，从其规定。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13</w:t>
      </w:r>
      <w:r>
        <w:rPr>
          <w:rFonts w:ascii="宋体" w:hAnsi="宋体" w:cs="宋体"/>
          <w:kern w:val="0"/>
          <w:szCs w:val="21"/>
        </w:rPr>
        <w:t>、投资其他公开募集证券投资基金的信息披露</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本基金在定期报告和招募说明书中应设立专门章节披露所持基金的相关情况并揭示相关风险，具体内容包括：</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）投资策略、持仓情况、损益情况、净值披露时间等；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）交易及持有基金产生的费用，包括申购费、赎回费、销售服务费、管理费、托管费等，在招募说明书中列明计算方法并举例说明；</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）持有的基金发生的重大影响事件，如转换运作方式、与其他基金合并、终止基金合同以及召开基金份额持有人大会等；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）本基金投资于基金管理人以及基金管理人关联方所管理基金的情况；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）基金中基金管理人参与所持有基金的基金份额持有人大会表</w:t>
      </w:r>
      <w:r>
        <w:rPr>
          <w:rFonts w:ascii="宋体" w:hAnsi="宋体" w:cs="宋体"/>
          <w:kern w:val="0"/>
          <w:szCs w:val="21"/>
        </w:rPr>
        <w:t>决意见。</w:t>
      </w:r>
    </w:p>
    <w:p w:rsidR="00796C66" w:rsidRDefault="00FB6202">
      <w:pPr>
        <w:pStyle w:val="div"/>
        <w:spacing w:line="360" w:lineRule="auto"/>
        <w:ind w:firstLine="480"/>
        <w:rPr>
          <w:rFonts w:eastAsia="Times New Roman"/>
          <w:kern w:val="0"/>
          <w:szCs w:val="21"/>
        </w:rPr>
      </w:pPr>
      <w:r>
        <w:rPr>
          <w:rFonts w:ascii="宋体" w:hAnsi="宋体" w:cs="宋体"/>
          <w:kern w:val="0"/>
          <w:szCs w:val="21"/>
        </w:rPr>
        <w:t>14</w:t>
      </w:r>
      <w:r>
        <w:rPr>
          <w:rFonts w:ascii="宋体" w:hAnsi="宋体" w:cs="宋体"/>
          <w:kern w:val="0"/>
          <w:szCs w:val="21"/>
        </w:rPr>
        <w:t>、实施侧袋机制期间的信息披露</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本基金实施侧袋机制的，相关信息披露义务人应当根据法律法规、基金合同和招募说明书的规定进行信息披露，详见本招募说明书</w:t>
      </w:r>
      <w:r>
        <w:rPr>
          <w:rFonts w:ascii="宋体" w:hAnsi="宋体" w:cs="宋体"/>
          <w:kern w:val="0"/>
          <w:szCs w:val="21"/>
        </w:rPr>
        <w:t>“</w:t>
      </w:r>
      <w:r>
        <w:rPr>
          <w:rFonts w:ascii="宋体" w:hAnsi="宋体" w:cs="宋体"/>
          <w:kern w:val="0"/>
          <w:szCs w:val="21"/>
        </w:rPr>
        <w:t>侧袋机制</w:t>
      </w:r>
      <w:r>
        <w:rPr>
          <w:rFonts w:ascii="宋体" w:hAnsi="宋体" w:cs="宋体"/>
          <w:kern w:val="0"/>
          <w:szCs w:val="21"/>
        </w:rPr>
        <w:t>”</w:t>
      </w:r>
      <w:r>
        <w:rPr>
          <w:rFonts w:ascii="宋体" w:hAnsi="宋体" w:cs="宋体"/>
          <w:kern w:val="0"/>
          <w:szCs w:val="21"/>
        </w:rPr>
        <w:t>章节的规定。</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15</w:t>
      </w:r>
      <w:r>
        <w:rPr>
          <w:rFonts w:ascii="宋体" w:hAnsi="宋体" w:cs="宋体"/>
          <w:kern w:val="0"/>
          <w:szCs w:val="21"/>
        </w:rPr>
        <w:t>、中国证监会规定的其他信息。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（六）信息披露事务管理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基金管理人、基金托管人应当建立健全信息披露管理制度，指定专门部门及高级管理人员负责管理信息披露事务。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基金管理人、基金托管人及相关从业人员不得泄露未公开披露的基金信息。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基金信息披露义务人公开披露基金信息，应当符合中国证监会相关基金信息披露内容与格式准则等法规的规定</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基金托管人应当按照相关法律法规、中国证监会的规定和《基金合同》的约定，对基金管理人编制的基金资产净值、各类基金份额净值、基金份额申购赎回价格、基金定期报</w:t>
      </w:r>
      <w:r>
        <w:rPr>
          <w:rFonts w:ascii="宋体" w:hAnsi="宋体" w:cs="宋体"/>
          <w:kern w:val="0"/>
          <w:szCs w:val="21"/>
        </w:rPr>
        <w:lastRenderedPageBreak/>
        <w:t>告、更新的招募说明书、基金产品资料概要、基金清算报告等公开披露的相关基金信息进行复核、审查，并向基金管理人进行书面或电子确认。</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基金管理人、基金托管人应当在规定报刊中选择一家披露信息的报刊。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基金管理人、基金托管人应当向中国证监会基金电子披露网站报送拟披露的基金信息，并保证相关报送信息的真实、准确、完整、及时。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为强化投资者保护，提升信息披露服务质量，基</w:t>
      </w:r>
      <w:r>
        <w:rPr>
          <w:rFonts w:ascii="宋体" w:hAnsi="宋体" w:cs="宋体"/>
          <w:kern w:val="0"/>
          <w:szCs w:val="21"/>
        </w:rPr>
        <w:t>金管理人应当自中国证监会规定之日起，按照中国证监会规定向投资者及时提供对其投资决策有重大影响的信息。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相关规定。前述自主披露如产生信息披露费用，该费用不得从基金财产中列支。</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为基金信息披露义务人公开披露的基金信息出具审计报告、法律意见书的专业机构，应当制作工作底稿，并将相关档案至少保存到《基金合同</w:t>
      </w:r>
      <w:r>
        <w:rPr>
          <w:rFonts w:ascii="宋体" w:hAnsi="宋体" w:cs="宋体"/>
          <w:kern w:val="0"/>
          <w:szCs w:val="21"/>
        </w:rPr>
        <w:t>》终止后</w:t>
      </w:r>
      <w:r>
        <w:rPr>
          <w:rFonts w:ascii="宋体" w:hAnsi="宋体" w:cs="宋体"/>
          <w:kern w:val="0"/>
          <w:szCs w:val="21"/>
        </w:rPr>
        <w:t>10</w:t>
      </w:r>
      <w:r>
        <w:rPr>
          <w:rFonts w:ascii="宋体" w:hAnsi="宋体" w:cs="宋体"/>
          <w:kern w:val="0"/>
          <w:szCs w:val="21"/>
        </w:rPr>
        <w:t>年。</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（七）信息披露文件的存放与查阅</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依法必须披露的信息发布后，基金管理人、基金托管人应当按照相关法律法规规定将信息置备于各自住所，以供社会公众查阅、复制。</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（八）暂停或延迟披露基金信息的情形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当出现下述情况时，基金管理人和基金托管人可暂停或延迟披露基金相关信息：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）不可抗力或其他情形致使基金管理人、基金托管人无法准确评估基金资产价值时；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）基金投资所涉及的证券交易市场或外汇市场遇法定节假日或因其他原因暂停营业或港股通临时停市时；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）出现基金合同约定的暂停估值的情形；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）法律法规、《基金合同》或中国证监会规定的情况。</w:t>
      </w:r>
      <w:r>
        <w:rPr>
          <w:rFonts w:ascii="宋体" w:hAnsi="宋体" w:cs="宋体"/>
          <w:kern w:val="0"/>
          <w:szCs w:val="21"/>
        </w:rPr>
        <w:br w:type="page"/>
      </w:r>
    </w:p>
    <w:p w:rsidR="00796C66" w:rsidRDefault="00FB6202">
      <w:pPr>
        <w:pStyle w:val="ae"/>
        <w:outlineLvl w:val="0"/>
      </w:pPr>
      <w:bookmarkStart w:id="18" w:name="_Toc256000017"/>
      <w:r>
        <w:rPr>
          <w:noProof/>
        </w:rPr>
        <w:lastRenderedPageBreak/>
        <w:t>十七</w:t>
      </w:r>
      <w:r>
        <w:rPr>
          <w:rStyle w:val="Char5"/>
          <w:b/>
          <w:bCs/>
          <w:noProof/>
        </w:rPr>
        <w:t>、</w:t>
      </w:r>
      <w:r>
        <w:rPr>
          <w:noProof/>
        </w:rPr>
        <w:t>基金持有其他基金的信息披露</w:t>
      </w:r>
      <w:bookmarkEnd w:id="18"/>
    </w:p>
    <w:p w:rsidR="00796C66" w:rsidRDefault="00FB6202">
      <w:pPr>
        <w:pStyle w:val="div"/>
        <w:spacing w:line="360" w:lineRule="auto"/>
        <w:ind w:firstLine="480"/>
        <w:rPr>
          <w:rFonts w:eastAsia="Times New Roman"/>
          <w:kern w:val="0"/>
          <w:szCs w:val="21"/>
        </w:rPr>
      </w:pPr>
      <w:r>
        <w:rPr>
          <w:rFonts w:ascii="宋体" w:hAnsi="宋体" w:cs="宋体"/>
          <w:kern w:val="0"/>
          <w:szCs w:val="21"/>
        </w:rPr>
        <w:t>（一）本基金所持其他基金的基本情况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本基金在投资其他基金后，应在定期报告和更新的招募说明书中披露该基金的基本情况，包括但不限于该基金的投资政策、损益情况、净值披露情况以及本基金的持仓情况。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（二）本基金交易及持有其他基金产生的费用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、所持其他基金产生的费用种类</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）本基金申购其他基金的申购费；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）本基金赎回其他基金的赎回费；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）本基金持有其他基金每日产生的销售服务费；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）本基金持有其他基金每日产生的该基金的管理费；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）本基金持有其他基金每日产生的该基金的托管费；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）本基金通过场内交易其他基金产生的交易费用；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）按照法律法规或监管部门的有关规定和所持基金的《基金合同》约定，在所持基金的基金财产中列支的其他费用。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本基金交易及持有其他基金的具体费用种类、费率标准、计算规则及保留位数等事项，以所交易及持有的其他基金的相关基金合同、招募说明书、相关公告等文件为准。</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、相关费用的计算方法和举例说明</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）申购基金份额产生的申购费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）本基金申购非本基金管理人管理的</w:t>
      </w:r>
      <w:r>
        <w:rPr>
          <w:rFonts w:ascii="宋体" w:hAnsi="宋体" w:cs="宋体"/>
          <w:kern w:val="0"/>
          <w:szCs w:val="21"/>
        </w:rPr>
        <w:t>基金时：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A.</w:t>
      </w:r>
      <w:r>
        <w:rPr>
          <w:rFonts w:ascii="宋体" w:hAnsi="宋体" w:cs="宋体"/>
          <w:kern w:val="0"/>
          <w:szCs w:val="21"/>
        </w:rPr>
        <w:t>前端收费模式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本基金所需支付的申购费的计算方法：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净申购金额</w:t>
      </w:r>
      <w:r>
        <w:rPr>
          <w:rFonts w:ascii="宋体" w:hAnsi="宋体" w:cs="宋体"/>
          <w:kern w:val="0"/>
          <w:szCs w:val="21"/>
        </w:rPr>
        <w:t>=</w:t>
      </w:r>
      <w:r>
        <w:rPr>
          <w:rFonts w:ascii="宋体" w:hAnsi="宋体" w:cs="宋体"/>
          <w:kern w:val="0"/>
          <w:szCs w:val="21"/>
        </w:rPr>
        <w:t>申购金额</w:t>
      </w:r>
      <w:r>
        <w:rPr>
          <w:rFonts w:ascii="宋体" w:hAnsi="宋体" w:cs="宋体"/>
          <w:kern w:val="0"/>
          <w:szCs w:val="21"/>
        </w:rPr>
        <w:t>/</w:t>
      </w:r>
      <w:r>
        <w:rPr>
          <w:rFonts w:ascii="宋体" w:hAnsi="宋体" w:cs="宋体"/>
          <w:kern w:val="0"/>
          <w:szCs w:val="21"/>
        </w:rPr>
        <w:t>（</w:t>
      </w:r>
      <w:r>
        <w:rPr>
          <w:rFonts w:ascii="宋体" w:hAnsi="宋体" w:cs="宋体"/>
          <w:kern w:val="0"/>
          <w:szCs w:val="21"/>
        </w:rPr>
        <w:t>1+</w:t>
      </w:r>
      <w:r>
        <w:rPr>
          <w:rFonts w:ascii="宋体" w:hAnsi="宋体" w:cs="宋体"/>
          <w:kern w:val="0"/>
          <w:szCs w:val="21"/>
        </w:rPr>
        <w:t>申购费率），或净申购金额</w:t>
      </w:r>
      <w:r>
        <w:rPr>
          <w:rFonts w:ascii="宋体" w:hAnsi="宋体" w:cs="宋体"/>
          <w:kern w:val="0"/>
          <w:szCs w:val="21"/>
        </w:rPr>
        <w:t>=</w:t>
      </w:r>
      <w:r>
        <w:rPr>
          <w:rFonts w:ascii="宋体" w:hAnsi="宋体" w:cs="宋体"/>
          <w:kern w:val="0"/>
          <w:szCs w:val="21"/>
        </w:rPr>
        <w:t>申购金额－固定申购费金额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申购费</w:t>
      </w:r>
      <w:r>
        <w:rPr>
          <w:rFonts w:ascii="宋体" w:hAnsi="宋体" w:cs="宋体"/>
          <w:kern w:val="0"/>
          <w:szCs w:val="21"/>
        </w:rPr>
        <w:t>=</w:t>
      </w:r>
      <w:r>
        <w:rPr>
          <w:rFonts w:ascii="宋体" w:hAnsi="宋体" w:cs="宋体"/>
          <w:kern w:val="0"/>
          <w:szCs w:val="21"/>
        </w:rPr>
        <w:t>申购金额－净申购金额，或申购费</w:t>
      </w:r>
      <w:r>
        <w:rPr>
          <w:rFonts w:ascii="宋体" w:hAnsi="宋体" w:cs="宋体"/>
          <w:kern w:val="0"/>
          <w:szCs w:val="21"/>
        </w:rPr>
        <w:t>=</w:t>
      </w:r>
      <w:r>
        <w:rPr>
          <w:rFonts w:ascii="宋体" w:hAnsi="宋体" w:cs="宋体"/>
          <w:kern w:val="0"/>
          <w:szCs w:val="21"/>
        </w:rPr>
        <w:t>固定申购费金额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例：假设</w:t>
      </w:r>
      <w:r>
        <w:rPr>
          <w:rFonts w:ascii="宋体" w:hAnsi="宋体" w:cs="宋体"/>
          <w:kern w:val="0"/>
          <w:szCs w:val="21"/>
        </w:rPr>
        <w:t>A</w:t>
      </w:r>
      <w:r>
        <w:rPr>
          <w:rFonts w:ascii="宋体" w:hAnsi="宋体" w:cs="宋体"/>
          <w:kern w:val="0"/>
          <w:szCs w:val="21"/>
        </w:rPr>
        <w:t>基金收取前端申购费，其费率结构如下：</w:t>
      </w:r>
    </w:p>
    <w:tbl>
      <w:tblPr>
        <w:tblStyle w:val="table"/>
        <w:tblW w:w="5000" w:type="pct"/>
        <w:jc w:val="center"/>
        <w:tblBorders>
          <w:top w:val="outset" w:sz="6" w:space="0" w:color="666699"/>
          <w:left w:val="outset" w:sz="6" w:space="0" w:color="666699"/>
          <w:bottom w:val="outset" w:sz="6" w:space="0" w:color="666699"/>
          <w:right w:val="outset" w:sz="6" w:space="0" w:color="666699"/>
        </w:tblBorders>
        <w:tblCellMar>
          <w:left w:w="0" w:type="dxa"/>
          <w:right w:w="0" w:type="dxa"/>
        </w:tblCellMar>
        <w:tblLook w:val="05E0" w:firstRow="1" w:lastRow="1" w:firstColumn="1" w:lastColumn="1" w:noHBand="0" w:noVBand="1"/>
      </w:tblPr>
      <w:tblGrid>
        <w:gridCol w:w="4373"/>
        <w:gridCol w:w="3918"/>
      </w:tblGrid>
      <w:tr w:rsidR="00796C66">
        <w:trPr>
          <w:jc w:val="center"/>
        </w:trPr>
        <w:tc>
          <w:tcPr>
            <w:tcW w:w="3360"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申购金额（</w:t>
            </w:r>
            <w:r>
              <w:rPr>
                <w:rFonts w:ascii="宋体" w:hAnsi="宋体" w:cs="宋体"/>
                <w:color w:val="000000"/>
                <w:kern w:val="0"/>
                <w:szCs w:val="21"/>
              </w:rPr>
              <w:t>M</w:t>
            </w:r>
            <w:r>
              <w:rPr>
                <w:rFonts w:ascii="宋体" w:hAnsi="宋体" w:cs="宋体"/>
                <w:color w:val="000000"/>
                <w:kern w:val="0"/>
                <w:szCs w:val="21"/>
              </w:rPr>
              <w:t>）</w:t>
            </w:r>
          </w:p>
        </w:tc>
        <w:tc>
          <w:tcPr>
            <w:tcW w:w="3011"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前端申购费率</w:t>
            </w:r>
          </w:p>
        </w:tc>
      </w:tr>
      <w:tr w:rsidR="00796C66">
        <w:trPr>
          <w:trHeight w:val="431"/>
          <w:jc w:val="center"/>
        </w:trPr>
        <w:tc>
          <w:tcPr>
            <w:tcW w:w="3360"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M</w:t>
            </w:r>
            <w:r>
              <w:rPr>
                <w:rFonts w:ascii="宋体" w:hAnsi="宋体" w:cs="宋体"/>
                <w:color w:val="000000"/>
                <w:kern w:val="0"/>
                <w:szCs w:val="21"/>
              </w:rPr>
              <w:t>＜</w:t>
            </w:r>
            <w:r>
              <w:rPr>
                <w:rFonts w:ascii="宋体" w:hAnsi="宋体" w:cs="宋体"/>
                <w:color w:val="000000"/>
                <w:kern w:val="0"/>
                <w:szCs w:val="21"/>
              </w:rPr>
              <w:t>1000</w:t>
            </w:r>
            <w:r>
              <w:rPr>
                <w:rFonts w:ascii="宋体" w:hAnsi="宋体" w:cs="宋体"/>
                <w:color w:val="000000"/>
                <w:kern w:val="0"/>
                <w:szCs w:val="21"/>
              </w:rPr>
              <w:t>万元</w:t>
            </w:r>
          </w:p>
        </w:tc>
        <w:tc>
          <w:tcPr>
            <w:tcW w:w="3011"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1.5%</w:t>
            </w:r>
          </w:p>
        </w:tc>
      </w:tr>
      <w:tr w:rsidR="00796C66">
        <w:trPr>
          <w:jc w:val="center"/>
        </w:trPr>
        <w:tc>
          <w:tcPr>
            <w:tcW w:w="3360"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M≥1000</w:t>
            </w:r>
            <w:r>
              <w:rPr>
                <w:rFonts w:ascii="宋体" w:hAnsi="宋体" w:cs="宋体"/>
                <w:color w:val="000000"/>
                <w:kern w:val="0"/>
                <w:szCs w:val="21"/>
              </w:rPr>
              <w:t>万元</w:t>
            </w:r>
          </w:p>
        </w:tc>
        <w:tc>
          <w:tcPr>
            <w:tcW w:w="3011"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每笔</w:t>
            </w:r>
            <w:r>
              <w:rPr>
                <w:rFonts w:ascii="宋体" w:hAnsi="宋体" w:cs="宋体"/>
                <w:color w:val="000000"/>
                <w:kern w:val="0"/>
                <w:szCs w:val="21"/>
              </w:rPr>
              <w:t>1000</w:t>
            </w:r>
            <w:r>
              <w:rPr>
                <w:rFonts w:ascii="宋体" w:hAnsi="宋体" w:cs="宋体"/>
                <w:color w:val="000000"/>
                <w:kern w:val="0"/>
                <w:szCs w:val="21"/>
              </w:rPr>
              <w:t>元</w:t>
            </w:r>
          </w:p>
        </w:tc>
      </w:tr>
    </w:tbl>
    <w:p w:rsidR="00796C66" w:rsidRDefault="00FB6202">
      <w:pPr>
        <w:pStyle w:val="div"/>
        <w:spacing w:line="360" w:lineRule="auto"/>
        <w:ind w:firstLine="480"/>
        <w:rPr>
          <w:rFonts w:eastAsia="Times New Roman"/>
          <w:kern w:val="0"/>
          <w:szCs w:val="21"/>
        </w:rPr>
      </w:pPr>
      <w:r>
        <w:rPr>
          <w:rFonts w:ascii="宋体" w:hAnsi="宋体" w:cs="宋体"/>
          <w:kern w:val="0"/>
          <w:szCs w:val="21"/>
        </w:rPr>
        <w:t>①</w:t>
      </w:r>
      <w:r>
        <w:rPr>
          <w:rFonts w:ascii="宋体" w:hAnsi="宋体" w:cs="宋体"/>
          <w:kern w:val="0"/>
          <w:szCs w:val="21"/>
        </w:rPr>
        <w:t>本基金拟投资</w:t>
      </w:r>
      <w:r>
        <w:rPr>
          <w:rFonts w:ascii="宋体" w:hAnsi="宋体" w:cs="宋体"/>
          <w:kern w:val="0"/>
          <w:szCs w:val="21"/>
        </w:rPr>
        <w:t>1,015,000</w:t>
      </w:r>
      <w:r>
        <w:rPr>
          <w:rFonts w:ascii="宋体" w:hAnsi="宋体" w:cs="宋体"/>
          <w:kern w:val="0"/>
          <w:szCs w:val="21"/>
        </w:rPr>
        <w:t>元申购</w:t>
      </w:r>
      <w:r>
        <w:rPr>
          <w:rFonts w:ascii="宋体" w:hAnsi="宋体" w:cs="宋体"/>
          <w:kern w:val="0"/>
          <w:szCs w:val="21"/>
        </w:rPr>
        <w:t>A</w:t>
      </w:r>
      <w:r>
        <w:rPr>
          <w:rFonts w:ascii="宋体" w:hAnsi="宋体" w:cs="宋体"/>
          <w:kern w:val="0"/>
          <w:szCs w:val="21"/>
        </w:rPr>
        <w:t>基金的基金份额，且该申购申请被全额确认，</w:t>
      </w:r>
      <w:r>
        <w:rPr>
          <w:rFonts w:ascii="宋体" w:hAnsi="宋体" w:cs="宋体"/>
          <w:kern w:val="0"/>
          <w:szCs w:val="21"/>
        </w:rPr>
        <w:t>A</w:t>
      </w:r>
      <w:r>
        <w:rPr>
          <w:rFonts w:ascii="宋体" w:hAnsi="宋体" w:cs="宋体"/>
          <w:kern w:val="0"/>
          <w:szCs w:val="21"/>
        </w:rPr>
        <w:t>基金收取的是前端申购费，对应的申购费率为</w:t>
      </w:r>
      <w:r>
        <w:rPr>
          <w:rFonts w:ascii="宋体" w:hAnsi="宋体" w:cs="宋体"/>
          <w:kern w:val="0"/>
          <w:szCs w:val="21"/>
        </w:rPr>
        <w:t>1.5%</w:t>
      </w:r>
      <w:r>
        <w:rPr>
          <w:rFonts w:ascii="宋体" w:hAnsi="宋体" w:cs="宋体"/>
          <w:kern w:val="0"/>
          <w:szCs w:val="21"/>
        </w:rPr>
        <w:t>，则产生的申购费用为</w:t>
      </w:r>
      <w:r>
        <w:rPr>
          <w:rFonts w:ascii="宋体" w:hAnsi="宋体" w:cs="宋体"/>
          <w:kern w:val="0"/>
          <w:szCs w:val="21"/>
        </w:rPr>
        <w:t>15,000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申购金额</w:t>
      </w:r>
      <w:r>
        <w:rPr>
          <w:rFonts w:ascii="宋体" w:hAnsi="宋体" w:cs="宋体"/>
          <w:kern w:val="0"/>
          <w:szCs w:val="21"/>
        </w:rPr>
        <w:t>=1,015,000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净申购金额＝</w:t>
      </w:r>
      <w:r>
        <w:rPr>
          <w:rFonts w:ascii="宋体" w:hAnsi="宋体" w:cs="宋体"/>
          <w:kern w:val="0"/>
          <w:szCs w:val="21"/>
        </w:rPr>
        <w:t>1,015,000/(1+1.5%)</w:t>
      </w:r>
      <w:r>
        <w:rPr>
          <w:rFonts w:ascii="宋体" w:hAnsi="宋体" w:cs="宋体"/>
          <w:kern w:val="0"/>
          <w:szCs w:val="21"/>
        </w:rPr>
        <w:t>＝</w:t>
      </w:r>
      <w:r>
        <w:rPr>
          <w:rFonts w:ascii="宋体" w:hAnsi="宋体" w:cs="宋体"/>
          <w:kern w:val="0"/>
          <w:szCs w:val="21"/>
        </w:rPr>
        <w:t>1,000,000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申购费用＝</w:t>
      </w:r>
      <w:r>
        <w:rPr>
          <w:rFonts w:ascii="宋体" w:hAnsi="宋体" w:cs="宋体"/>
          <w:kern w:val="0"/>
          <w:szCs w:val="21"/>
        </w:rPr>
        <w:t>1,015,000</w:t>
      </w:r>
      <w:r>
        <w:rPr>
          <w:rFonts w:ascii="宋体" w:hAnsi="宋体" w:cs="宋体"/>
          <w:kern w:val="0"/>
          <w:szCs w:val="21"/>
        </w:rPr>
        <w:t>－</w:t>
      </w:r>
      <w:r>
        <w:rPr>
          <w:rFonts w:ascii="宋体" w:hAnsi="宋体" w:cs="宋体"/>
          <w:kern w:val="0"/>
          <w:szCs w:val="21"/>
        </w:rPr>
        <w:t>1,000,000</w:t>
      </w:r>
      <w:r>
        <w:rPr>
          <w:rFonts w:ascii="宋体" w:hAnsi="宋体" w:cs="宋体"/>
          <w:kern w:val="0"/>
          <w:szCs w:val="21"/>
        </w:rPr>
        <w:t>＝</w:t>
      </w:r>
      <w:r>
        <w:rPr>
          <w:rFonts w:ascii="宋体" w:hAnsi="宋体" w:cs="宋体"/>
          <w:kern w:val="0"/>
          <w:szCs w:val="21"/>
        </w:rPr>
        <w:t>15,000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②</w:t>
      </w:r>
      <w:r>
        <w:rPr>
          <w:rFonts w:ascii="宋体" w:hAnsi="宋体" w:cs="宋体"/>
          <w:kern w:val="0"/>
          <w:szCs w:val="21"/>
        </w:rPr>
        <w:t>本基金拟投资</w:t>
      </w:r>
      <w:r>
        <w:rPr>
          <w:rFonts w:ascii="宋体" w:hAnsi="宋体" w:cs="宋体"/>
          <w:kern w:val="0"/>
          <w:szCs w:val="21"/>
        </w:rPr>
        <w:t>10,000,000</w:t>
      </w:r>
      <w:r>
        <w:rPr>
          <w:rFonts w:ascii="宋体" w:hAnsi="宋体" w:cs="宋体"/>
          <w:kern w:val="0"/>
          <w:szCs w:val="21"/>
        </w:rPr>
        <w:t>元申购</w:t>
      </w:r>
      <w:r>
        <w:rPr>
          <w:rFonts w:ascii="宋体" w:hAnsi="宋体" w:cs="宋体"/>
          <w:kern w:val="0"/>
          <w:szCs w:val="21"/>
        </w:rPr>
        <w:t>A</w:t>
      </w:r>
      <w:r>
        <w:rPr>
          <w:rFonts w:ascii="宋体" w:hAnsi="宋体" w:cs="宋体"/>
          <w:kern w:val="0"/>
          <w:szCs w:val="21"/>
        </w:rPr>
        <w:t>基金的基金份额，且该申购申请被全额确认，</w:t>
      </w:r>
      <w:r>
        <w:rPr>
          <w:rFonts w:ascii="宋体" w:hAnsi="宋体" w:cs="宋体"/>
          <w:kern w:val="0"/>
          <w:szCs w:val="21"/>
        </w:rPr>
        <w:t>A</w:t>
      </w:r>
      <w:r>
        <w:rPr>
          <w:rFonts w:ascii="宋体" w:hAnsi="宋体" w:cs="宋体"/>
          <w:kern w:val="0"/>
          <w:szCs w:val="21"/>
        </w:rPr>
        <w:lastRenderedPageBreak/>
        <w:t>基金收取前端申购费，对应的申购费为每笔</w:t>
      </w:r>
      <w:r>
        <w:rPr>
          <w:rFonts w:ascii="宋体" w:hAnsi="宋体" w:cs="宋体"/>
          <w:kern w:val="0"/>
          <w:szCs w:val="21"/>
        </w:rPr>
        <w:t>1000</w:t>
      </w:r>
      <w:r>
        <w:rPr>
          <w:rFonts w:ascii="宋体" w:hAnsi="宋体" w:cs="宋体"/>
          <w:kern w:val="0"/>
          <w:szCs w:val="21"/>
        </w:rPr>
        <w:t>元，则产生的申购费用为</w:t>
      </w:r>
      <w:r>
        <w:rPr>
          <w:rFonts w:ascii="宋体" w:hAnsi="宋体" w:cs="宋体"/>
          <w:kern w:val="0"/>
          <w:szCs w:val="21"/>
        </w:rPr>
        <w:t>1,000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申购费用＝</w:t>
      </w:r>
      <w:r>
        <w:rPr>
          <w:rFonts w:ascii="宋体" w:hAnsi="宋体" w:cs="宋体"/>
          <w:kern w:val="0"/>
          <w:szCs w:val="21"/>
        </w:rPr>
        <w:t>1,000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 xml:space="preserve">B. </w:t>
      </w:r>
      <w:r>
        <w:rPr>
          <w:rFonts w:ascii="宋体" w:hAnsi="宋体" w:cs="宋体"/>
          <w:kern w:val="0"/>
          <w:szCs w:val="21"/>
        </w:rPr>
        <w:t>后端收费模式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本基金所需支付的申购费的计算方法：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申购费用＝赎回份额</w:t>
      </w:r>
      <w:r>
        <w:rPr>
          <w:rFonts w:ascii="宋体" w:hAnsi="宋体" w:cs="宋体"/>
          <w:kern w:val="0"/>
          <w:szCs w:val="21"/>
        </w:rPr>
        <w:t>×</w:t>
      </w:r>
      <w:r>
        <w:rPr>
          <w:rFonts w:ascii="宋体" w:hAnsi="宋体" w:cs="宋体"/>
          <w:kern w:val="0"/>
          <w:szCs w:val="21"/>
        </w:rPr>
        <w:t>申购日基金份额净值</w:t>
      </w:r>
      <w:r>
        <w:rPr>
          <w:rFonts w:ascii="宋体" w:hAnsi="宋体" w:cs="宋体"/>
          <w:kern w:val="0"/>
          <w:szCs w:val="21"/>
        </w:rPr>
        <w:t>×</w:t>
      </w:r>
      <w:r>
        <w:rPr>
          <w:rFonts w:ascii="宋体" w:hAnsi="宋体" w:cs="宋体"/>
          <w:kern w:val="0"/>
          <w:szCs w:val="21"/>
        </w:rPr>
        <w:t>对应的后端申购费率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例：假设</w:t>
      </w:r>
      <w:r>
        <w:rPr>
          <w:rFonts w:ascii="宋体" w:hAnsi="宋体" w:cs="宋体"/>
          <w:kern w:val="0"/>
          <w:szCs w:val="21"/>
        </w:rPr>
        <w:t>B</w:t>
      </w:r>
      <w:r>
        <w:rPr>
          <w:rFonts w:ascii="宋体" w:hAnsi="宋体" w:cs="宋体"/>
          <w:kern w:val="0"/>
          <w:szCs w:val="21"/>
        </w:rPr>
        <w:t>基金收取后端申购费，其</w:t>
      </w:r>
      <w:r>
        <w:rPr>
          <w:rFonts w:ascii="宋体" w:hAnsi="宋体" w:cs="宋体"/>
          <w:kern w:val="0"/>
          <w:szCs w:val="21"/>
        </w:rPr>
        <w:t>费率结构如下：</w:t>
      </w:r>
    </w:p>
    <w:tbl>
      <w:tblPr>
        <w:tblStyle w:val="table"/>
        <w:tblW w:w="5000" w:type="pct"/>
        <w:jc w:val="center"/>
        <w:tblBorders>
          <w:top w:val="outset" w:sz="6" w:space="0" w:color="666699"/>
          <w:left w:val="outset" w:sz="6" w:space="0" w:color="666699"/>
          <w:bottom w:val="outset" w:sz="6" w:space="0" w:color="666699"/>
          <w:right w:val="outset" w:sz="6" w:space="0" w:color="666699"/>
        </w:tblBorders>
        <w:tblCellMar>
          <w:left w:w="0" w:type="dxa"/>
          <w:right w:w="0" w:type="dxa"/>
        </w:tblCellMar>
        <w:tblLook w:val="05E0" w:firstRow="1" w:lastRow="1" w:firstColumn="1" w:lastColumn="1" w:noHBand="0" w:noVBand="1"/>
      </w:tblPr>
      <w:tblGrid>
        <w:gridCol w:w="3634"/>
        <w:gridCol w:w="4657"/>
      </w:tblGrid>
      <w:tr w:rsidR="00796C66">
        <w:trPr>
          <w:jc w:val="center"/>
        </w:trPr>
        <w:tc>
          <w:tcPr>
            <w:tcW w:w="2544"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持有期限（</w:t>
            </w:r>
            <w:r>
              <w:rPr>
                <w:rFonts w:ascii="宋体" w:hAnsi="宋体" w:cs="宋体"/>
                <w:color w:val="000000"/>
                <w:kern w:val="0"/>
                <w:szCs w:val="21"/>
              </w:rPr>
              <w:t>T</w:t>
            </w:r>
            <w:r>
              <w:rPr>
                <w:rFonts w:ascii="宋体" w:hAnsi="宋体" w:cs="宋体"/>
                <w:color w:val="000000"/>
                <w:kern w:val="0"/>
                <w:szCs w:val="21"/>
              </w:rPr>
              <w:t>）</w:t>
            </w:r>
          </w:p>
        </w:tc>
        <w:tc>
          <w:tcPr>
            <w:tcW w:w="3260"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后端申购费率</w:t>
            </w:r>
          </w:p>
        </w:tc>
      </w:tr>
      <w:tr w:rsidR="00796C66">
        <w:trPr>
          <w:jc w:val="center"/>
        </w:trPr>
        <w:tc>
          <w:tcPr>
            <w:tcW w:w="2544"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T</w:t>
            </w:r>
            <w:r>
              <w:rPr>
                <w:rFonts w:ascii="宋体" w:hAnsi="宋体" w:cs="宋体"/>
                <w:color w:val="000000"/>
                <w:kern w:val="0"/>
                <w:szCs w:val="21"/>
              </w:rPr>
              <w:t>＜</w:t>
            </w:r>
            <w:r>
              <w:rPr>
                <w:rFonts w:ascii="宋体" w:hAnsi="宋体" w:cs="宋体"/>
                <w:color w:val="000000"/>
                <w:kern w:val="0"/>
                <w:szCs w:val="21"/>
              </w:rPr>
              <w:t>1</w:t>
            </w:r>
            <w:r>
              <w:rPr>
                <w:rFonts w:ascii="宋体" w:hAnsi="宋体" w:cs="宋体"/>
                <w:color w:val="000000"/>
                <w:kern w:val="0"/>
                <w:szCs w:val="21"/>
              </w:rPr>
              <w:t>年</w:t>
            </w:r>
          </w:p>
        </w:tc>
        <w:tc>
          <w:tcPr>
            <w:tcW w:w="3260"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1.5%</w:t>
            </w:r>
          </w:p>
        </w:tc>
      </w:tr>
      <w:tr w:rsidR="00796C66">
        <w:trPr>
          <w:jc w:val="center"/>
        </w:trPr>
        <w:tc>
          <w:tcPr>
            <w:tcW w:w="2544"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T≥1</w:t>
            </w:r>
            <w:r>
              <w:rPr>
                <w:rFonts w:ascii="宋体" w:hAnsi="宋体" w:cs="宋体"/>
                <w:color w:val="000000"/>
                <w:kern w:val="0"/>
                <w:szCs w:val="21"/>
              </w:rPr>
              <w:t>年</w:t>
            </w:r>
          </w:p>
        </w:tc>
        <w:tc>
          <w:tcPr>
            <w:tcW w:w="3260"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w:t>
            </w:r>
          </w:p>
        </w:tc>
      </w:tr>
    </w:tbl>
    <w:p w:rsidR="00796C66" w:rsidRDefault="00FB6202">
      <w:pPr>
        <w:pStyle w:val="div"/>
        <w:spacing w:line="360" w:lineRule="auto"/>
        <w:ind w:firstLine="480"/>
        <w:rPr>
          <w:rFonts w:eastAsia="Times New Roman"/>
          <w:kern w:val="0"/>
          <w:szCs w:val="21"/>
        </w:rPr>
      </w:pPr>
      <w:r>
        <w:rPr>
          <w:rFonts w:ascii="宋体" w:hAnsi="宋体" w:cs="宋体"/>
          <w:kern w:val="0"/>
          <w:szCs w:val="21"/>
        </w:rPr>
        <w:t>注：</w:t>
      </w:r>
      <w:r>
        <w:rPr>
          <w:rFonts w:ascii="宋体" w:hAnsi="宋体" w:cs="宋体"/>
          <w:kern w:val="0"/>
          <w:szCs w:val="21"/>
        </w:rPr>
        <w:t>1</w:t>
      </w:r>
      <w:r>
        <w:rPr>
          <w:rFonts w:ascii="宋体" w:hAnsi="宋体" w:cs="宋体"/>
          <w:kern w:val="0"/>
          <w:szCs w:val="21"/>
        </w:rPr>
        <w:t>年指</w:t>
      </w:r>
      <w:r>
        <w:rPr>
          <w:rFonts w:ascii="宋体" w:hAnsi="宋体" w:cs="宋体"/>
          <w:kern w:val="0"/>
          <w:szCs w:val="21"/>
        </w:rPr>
        <w:t>365</w:t>
      </w:r>
      <w:r>
        <w:rPr>
          <w:rFonts w:ascii="宋体" w:hAnsi="宋体" w:cs="宋体"/>
          <w:kern w:val="0"/>
          <w:szCs w:val="21"/>
        </w:rPr>
        <w:t>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本基金拟投资</w:t>
      </w:r>
      <w:r>
        <w:rPr>
          <w:rFonts w:ascii="宋体" w:hAnsi="宋体" w:cs="宋体"/>
          <w:kern w:val="0"/>
          <w:szCs w:val="21"/>
        </w:rPr>
        <w:t>1,000,000</w:t>
      </w:r>
      <w:r>
        <w:rPr>
          <w:rFonts w:ascii="宋体" w:hAnsi="宋体" w:cs="宋体"/>
          <w:kern w:val="0"/>
          <w:szCs w:val="21"/>
        </w:rPr>
        <w:t>元申购</w:t>
      </w:r>
      <w:r>
        <w:rPr>
          <w:rFonts w:ascii="宋体" w:hAnsi="宋体" w:cs="宋体"/>
          <w:kern w:val="0"/>
          <w:szCs w:val="21"/>
        </w:rPr>
        <w:t>B</w:t>
      </w:r>
      <w:r>
        <w:rPr>
          <w:rFonts w:ascii="宋体" w:hAnsi="宋体" w:cs="宋体"/>
          <w:kern w:val="0"/>
          <w:szCs w:val="21"/>
        </w:rPr>
        <w:t>基金，</w:t>
      </w:r>
      <w:r>
        <w:rPr>
          <w:rFonts w:ascii="宋体" w:hAnsi="宋体" w:cs="宋体"/>
          <w:kern w:val="0"/>
          <w:szCs w:val="21"/>
        </w:rPr>
        <w:t>B</w:t>
      </w:r>
      <w:r>
        <w:rPr>
          <w:rFonts w:ascii="宋体" w:hAnsi="宋体" w:cs="宋体"/>
          <w:kern w:val="0"/>
          <w:szCs w:val="21"/>
        </w:rPr>
        <w:t>基金收取后端申购费，申请日当日</w:t>
      </w:r>
      <w:r>
        <w:rPr>
          <w:rFonts w:ascii="宋体" w:hAnsi="宋体" w:cs="宋体"/>
          <w:kern w:val="0"/>
          <w:szCs w:val="21"/>
        </w:rPr>
        <w:t>B</w:t>
      </w:r>
      <w:r>
        <w:rPr>
          <w:rFonts w:ascii="宋体" w:hAnsi="宋体" w:cs="宋体"/>
          <w:kern w:val="0"/>
          <w:szCs w:val="21"/>
        </w:rPr>
        <w:t>基金的基金份额净值为</w:t>
      </w:r>
      <w:r>
        <w:rPr>
          <w:rFonts w:ascii="宋体" w:hAnsi="宋体" w:cs="宋体"/>
          <w:kern w:val="0"/>
          <w:szCs w:val="21"/>
        </w:rPr>
        <w:t>1.0150</w:t>
      </w:r>
      <w:r>
        <w:rPr>
          <w:rFonts w:ascii="宋体" w:hAnsi="宋体" w:cs="宋体"/>
          <w:kern w:val="0"/>
          <w:szCs w:val="21"/>
        </w:rPr>
        <w:t>元，且该申购申请被全额确认。本基金持有</w:t>
      </w:r>
      <w:r>
        <w:rPr>
          <w:rFonts w:ascii="宋体" w:hAnsi="宋体" w:cs="宋体"/>
          <w:kern w:val="0"/>
          <w:szCs w:val="21"/>
        </w:rPr>
        <w:t>B</w:t>
      </w:r>
      <w:r>
        <w:rPr>
          <w:rFonts w:ascii="宋体" w:hAnsi="宋体" w:cs="宋体"/>
          <w:kern w:val="0"/>
          <w:szCs w:val="21"/>
        </w:rPr>
        <w:t>基金的持有期限不满</w:t>
      </w:r>
      <w:r>
        <w:rPr>
          <w:rFonts w:ascii="宋体" w:hAnsi="宋体" w:cs="宋体"/>
          <w:kern w:val="0"/>
          <w:szCs w:val="21"/>
        </w:rPr>
        <w:t>1</w:t>
      </w:r>
      <w:r>
        <w:rPr>
          <w:rFonts w:ascii="宋体" w:hAnsi="宋体" w:cs="宋体"/>
          <w:kern w:val="0"/>
          <w:szCs w:val="21"/>
        </w:rPr>
        <w:t>年即全部赎回，对应后端申购费率</w:t>
      </w:r>
      <w:r>
        <w:rPr>
          <w:rFonts w:ascii="宋体" w:hAnsi="宋体" w:cs="宋体"/>
          <w:kern w:val="0"/>
          <w:szCs w:val="21"/>
        </w:rPr>
        <w:t>1.5%</w:t>
      </w:r>
      <w:r>
        <w:rPr>
          <w:rFonts w:ascii="宋体" w:hAnsi="宋体" w:cs="宋体"/>
          <w:kern w:val="0"/>
          <w:szCs w:val="21"/>
        </w:rPr>
        <w:t>，则产生的申购费用为</w:t>
      </w:r>
      <w:r>
        <w:rPr>
          <w:rFonts w:ascii="宋体" w:hAnsi="宋体" w:cs="宋体"/>
          <w:kern w:val="0"/>
          <w:szCs w:val="21"/>
        </w:rPr>
        <w:t>15,000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申购份额</w:t>
      </w:r>
      <w:r>
        <w:rPr>
          <w:rFonts w:ascii="宋体" w:hAnsi="宋体" w:cs="宋体"/>
          <w:kern w:val="0"/>
          <w:szCs w:val="21"/>
        </w:rPr>
        <w:t>=1,000,000/1.0150=985,221.67</w:t>
      </w:r>
      <w:r>
        <w:rPr>
          <w:rFonts w:ascii="宋体" w:hAnsi="宋体" w:cs="宋体"/>
          <w:kern w:val="0"/>
          <w:szCs w:val="21"/>
        </w:rPr>
        <w:t>份</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赎回份额</w:t>
      </w:r>
      <w:r>
        <w:rPr>
          <w:rFonts w:ascii="宋体" w:hAnsi="宋体" w:cs="宋体"/>
          <w:kern w:val="0"/>
          <w:szCs w:val="21"/>
        </w:rPr>
        <w:t>=</w:t>
      </w:r>
      <w:r>
        <w:rPr>
          <w:rFonts w:ascii="宋体" w:hAnsi="宋体" w:cs="宋体"/>
          <w:kern w:val="0"/>
          <w:szCs w:val="21"/>
        </w:rPr>
        <w:t>申购份额</w:t>
      </w:r>
      <w:r>
        <w:rPr>
          <w:rFonts w:ascii="宋体" w:hAnsi="宋体" w:cs="宋体"/>
          <w:kern w:val="0"/>
          <w:szCs w:val="21"/>
        </w:rPr>
        <w:t>=985,221.67</w:t>
      </w:r>
      <w:r>
        <w:rPr>
          <w:rFonts w:ascii="宋体" w:hAnsi="宋体" w:cs="宋体"/>
          <w:kern w:val="0"/>
          <w:szCs w:val="21"/>
        </w:rPr>
        <w:t>份</w:t>
      </w:r>
    </w:p>
    <w:p w:rsidR="00796C66" w:rsidRDefault="00FB6202">
      <w:pPr>
        <w:pStyle w:val="div"/>
        <w:spacing w:line="360" w:lineRule="auto"/>
        <w:ind w:firstLine="480"/>
        <w:rPr>
          <w:rFonts w:eastAsia="Times New Roman"/>
          <w:kern w:val="0"/>
          <w:szCs w:val="21"/>
        </w:rPr>
      </w:pPr>
      <w:r>
        <w:rPr>
          <w:rFonts w:ascii="宋体" w:hAnsi="宋体" w:cs="宋体"/>
          <w:kern w:val="0"/>
          <w:szCs w:val="21"/>
        </w:rPr>
        <w:t>申购费用＝</w:t>
      </w:r>
      <w:r>
        <w:rPr>
          <w:rFonts w:ascii="宋体" w:hAnsi="宋体" w:cs="宋体"/>
          <w:kern w:val="0"/>
          <w:szCs w:val="21"/>
        </w:rPr>
        <w:t>985,221.67×1.0150×1.5%=15,000.00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）本基金申购本基金管理人管理的其他基金时，需通过直销渠道申购，且不收取申购费。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）赎回基金份额产生的赎回费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）本基金赎回非本基金管理人管理的基金时：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本基金所需支付的赎回费的计算方法：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赎回总额</w:t>
      </w:r>
      <w:r>
        <w:rPr>
          <w:rFonts w:ascii="宋体" w:hAnsi="宋体" w:cs="宋体"/>
          <w:kern w:val="0"/>
          <w:szCs w:val="21"/>
        </w:rPr>
        <w:t>=</w:t>
      </w:r>
      <w:r>
        <w:rPr>
          <w:rFonts w:ascii="宋体" w:hAnsi="宋体" w:cs="宋体"/>
          <w:kern w:val="0"/>
          <w:szCs w:val="21"/>
        </w:rPr>
        <w:t>赎回份额</w:t>
      </w:r>
      <w:r>
        <w:rPr>
          <w:rFonts w:ascii="宋体" w:hAnsi="宋体" w:cs="宋体"/>
          <w:kern w:val="0"/>
          <w:szCs w:val="21"/>
        </w:rPr>
        <w:t>×T</w:t>
      </w:r>
      <w:r>
        <w:rPr>
          <w:rFonts w:ascii="宋体" w:hAnsi="宋体" w:cs="宋体"/>
          <w:kern w:val="0"/>
          <w:szCs w:val="21"/>
        </w:rPr>
        <w:t>日基金份额净值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赎回费用</w:t>
      </w:r>
      <w:r>
        <w:rPr>
          <w:rFonts w:ascii="宋体" w:hAnsi="宋体" w:cs="宋体"/>
          <w:kern w:val="0"/>
          <w:szCs w:val="21"/>
        </w:rPr>
        <w:t>=</w:t>
      </w:r>
      <w:r>
        <w:rPr>
          <w:rFonts w:ascii="宋体" w:hAnsi="宋体" w:cs="宋体"/>
          <w:kern w:val="0"/>
          <w:szCs w:val="21"/>
        </w:rPr>
        <w:t>赎回总额</w:t>
      </w:r>
      <w:r>
        <w:rPr>
          <w:rFonts w:ascii="宋体" w:hAnsi="宋体" w:cs="宋体"/>
          <w:kern w:val="0"/>
          <w:szCs w:val="21"/>
        </w:rPr>
        <w:t>×</w:t>
      </w:r>
      <w:r>
        <w:rPr>
          <w:rFonts w:ascii="宋体" w:hAnsi="宋体" w:cs="宋体"/>
          <w:kern w:val="0"/>
          <w:szCs w:val="21"/>
        </w:rPr>
        <w:t>赎回费率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净赎回金额</w:t>
      </w:r>
      <w:r>
        <w:rPr>
          <w:rFonts w:ascii="宋体" w:hAnsi="宋体" w:cs="宋体"/>
          <w:kern w:val="0"/>
          <w:szCs w:val="21"/>
        </w:rPr>
        <w:t>=</w:t>
      </w:r>
      <w:r>
        <w:rPr>
          <w:rFonts w:ascii="宋体" w:hAnsi="宋体" w:cs="宋体"/>
          <w:kern w:val="0"/>
          <w:szCs w:val="21"/>
        </w:rPr>
        <w:t>赎回总额－赎回费用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例：假设</w:t>
      </w:r>
      <w:r>
        <w:rPr>
          <w:rFonts w:ascii="宋体" w:hAnsi="宋体" w:cs="宋体"/>
          <w:kern w:val="0"/>
          <w:szCs w:val="21"/>
        </w:rPr>
        <w:t>A</w:t>
      </w:r>
      <w:r>
        <w:rPr>
          <w:rFonts w:ascii="宋体" w:hAnsi="宋体" w:cs="宋体"/>
          <w:kern w:val="0"/>
          <w:szCs w:val="21"/>
        </w:rPr>
        <w:t>基金的赎回费率结构如下：</w:t>
      </w:r>
    </w:p>
    <w:tbl>
      <w:tblPr>
        <w:tblStyle w:val="table"/>
        <w:tblW w:w="5000" w:type="pct"/>
        <w:jc w:val="center"/>
        <w:tblBorders>
          <w:top w:val="outset" w:sz="6" w:space="0" w:color="666699"/>
          <w:left w:val="outset" w:sz="6" w:space="0" w:color="666699"/>
          <w:bottom w:val="outset" w:sz="6" w:space="0" w:color="666699"/>
          <w:right w:val="outset" w:sz="6" w:space="0" w:color="666699"/>
        </w:tblBorders>
        <w:tblCellMar>
          <w:left w:w="0" w:type="dxa"/>
          <w:right w:w="0" w:type="dxa"/>
        </w:tblCellMar>
        <w:tblLook w:val="05E0" w:firstRow="1" w:lastRow="1" w:firstColumn="1" w:lastColumn="1" w:noHBand="0" w:noVBand="1"/>
      </w:tblPr>
      <w:tblGrid>
        <w:gridCol w:w="3707"/>
        <w:gridCol w:w="4584"/>
      </w:tblGrid>
      <w:tr w:rsidR="00796C66">
        <w:trPr>
          <w:jc w:val="center"/>
        </w:trPr>
        <w:tc>
          <w:tcPr>
            <w:tcW w:w="2375"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持有期限（</w:t>
            </w:r>
            <w:r>
              <w:rPr>
                <w:rFonts w:ascii="宋体" w:hAnsi="宋体" w:cs="宋体"/>
                <w:color w:val="000000"/>
                <w:kern w:val="0"/>
                <w:szCs w:val="21"/>
              </w:rPr>
              <w:t>Y</w:t>
            </w:r>
            <w:r>
              <w:rPr>
                <w:rFonts w:ascii="宋体" w:hAnsi="宋体" w:cs="宋体"/>
                <w:color w:val="000000"/>
                <w:kern w:val="0"/>
                <w:szCs w:val="21"/>
              </w:rPr>
              <w:t>）</w:t>
            </w:r>
          </w:p>
        </w:tc>
        <w:tc>
          <w:tcPr>
            <w:tcW w:w="2937"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赎回费率</w:t>
            </w:r>
          </w:p>
        </w:tc>
      </w:tr>
      <w:tr w:rsidR="00796C66">
        <w:trPr>
          <w:jc w:val="center"/>
        </w:trPr>
        <w:tc>
          <w:tcPr>
            <w:tcW w:w="2375"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Y</w:t>
            </w:r>
            <w:r>
              <w:rPr>
                <w:rFonts w:ascii="宋体" w:hAnsi="宋体" w:cs="宋体"/>
                <w:color w:val="000000"/>
                <w:kern w:val="0"/>
                <w:szCs w:val="21"/>
              </w:rPr>
              <w:t>＜</w:t>
            </w:r>
            <w:r>
              <w:rPr>
                <w:rFonts w:ascii="宋体" w:hAnsi="宋体" w:cs="宋体"/>
                <w:color w:val="000000"/>
                <w:kern w:val="0"/>
                <w:szCs w:val="21"/>
              </w:rPr>
              <w:t>7</w:t>
            </w:r>
            <w:r>
              <w:rPr>
                <w:rFonts w:ascii="宋体" w:hAnsi="宋体" w:cs="宋体"/>
                <w:color w:val="000000"/>
                <w:kern w:val="0"/>
                <w:szCs w:val="21"/>
              </w:rPr>
              <w:t>日</w:t>
            </w:r>
          </w:p>
        </w:tc>
        <w:tc>
          <w:tcPr>
            <w:tcW w:w="2937"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1.5%</w:t>
            </w:r>
          </w:p>
        </w:tc>
      </w:tr>
      <w:tr w:rsidR="00796C66">
        <w:trPr>
          <w:jc w:val="center"/>
        </w:trPr>
        <w:tc>
          <w:tcPr>
            <w:tcW w:w="2375"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7</w:t>
            </w:r>
            <w:r>
              <w:rPr>
                <w:rFonts w:ascii="宋体" w:hAnsi="宋体" w:cs="宋体"/>
                <w:color w:val="000000"/>
                <w:kern w:val="0"/>
                <w:szCs w:val="21"/>
              </w:rPr>
              <w:t>日</w:t>
            </w:r>
            <w:r>
              <w:rPr>
                <w:rFonts w:ascii="宋体" w:hAnsi="宋体" w:cs="宋体"/>
                <w:color w:val="000000"/>
                <w:kern w:val="0"/>
                <w:szCs w:val="21"/>
              </w:rPr>
              <w:t>≤Y</w:t>
            </w:r>
            <w:r>
              <w:rPr>
                <w:rFonts w:ascii="宋体" w:hAnsi="宋体" w:cs="宋体"/>
                <w:color w:val="000000"/>
                <w:kern w:val="0"/>
                <w:szCs w:val="21"/>
              </w:rPr>
              <w:t>＜</w:t>
            </w:r>
            <w:r>
              <w:rPr>
                <w:rFonts w:ascii="宋体" w:hAnsi="宋体" w:cs="宋体"/>
                <w:color w:val="000000"/>
                <w:kern w:val="0"/>
                <w:szCs w:val="21"/>
              </w:rPr>
              <w:t>30</w:t>
            </w:r>
            <w:r>
              <w:rPr>
                <w:rFonts w:ascii="宋体" w:hAnsi="宋体" w:cs="宋体"/>
                <w:color w:val="000000"/>
                <w:kern w:val="0"/>
                <w:szCs w:val="21"/>
              </w:rPr>
              <w:t>日</w:t>
            </w:r>
          </w:p>
        </w:tc>
        <w:tc>
          <w:tcPr>
            <w:tcW w:w="2937"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0.5%</w:t>
            </w:r>
          </w:p>
        </w:tc>
      </w:tr>
      <w:tr w:rsidR="00796C66">
        <w:trPr>
          <w:jc w:val="center"/>
        </w:trPr>
        <w:tc>
          <w:tcPr>
            <w:tcW w:w="2375"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30</w:t>
            </w:r>
            <w:r>
              <w:rPr>
                <w:rFonts w:ascii="宋体" w:hAnsi="宋体" w:cs="宋体"/>
                <w:color w:val="000000"/>
                <w:kern w:val="0"/>
                <w:szCs w:val="21"/>
              </w:rPr>
              <w:t>日</w:t>
            </w:r>
            <w:r>
              <w:rPr>
                <w:rFonts w:ascii="宋体" w:hAnsi="宋体" w:cs="宋体"/>
                <w:color w:val="000000"/>
                <w:kern w:val="0"/>
                <w:szCs w:val="21"/>
              </w:rPr>
              <w:t>≤Y</w:t>
            </w:r>
          </w:p>
        </w:tc>
        <w:tc>
          <w:tcPr>
            <w:tcW w:w="2937"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w:t>
            </w:r>
          </w:p>
        </w:tc>
      </w:tr>
    </w:tbl>
    <w:p w:rsidR="00796C66" w:rsidRDefault="00FB6202">
      <w:pPr>
        <w:pStyle w:val="div"/>
        <w:spacing w:line="360" w:lineRule="auto"/>
        <w:ind w:firstLine="480"/>
        <w:rPr>
          <w:rFonts w:eastAsia="Times New Roman"/>
          <w:kern w:val="0"/>
          <w:szCs w:val="21"/>
        </w:rPr>
      </w:pPr>
      <w:r>
        <w:rPr>
          <w:rFonts w:ascii="宋体" w:hAnsi="宋体" w:cs="宋体"/>
          <w:kern w:val="0"/>
          <w:szCs w:val="21"/>
        </w:rPr>
        <w:t>本基金赎回</w:t>
      </w:r>
      <w:r>
        <w:rPr>
          <w:rFonts w:ascii="宋体" w:hAnsi="宋体" w:cs="宋体"/>
          <w:kern w:val="0"/>
          <w:szCs w:val="21"/>
        </w:rPr>
        <w:t>10,000</w:t>
      </w:r>
      <w:r>
        <w:rPr>
          <w:rFonts w:ascii="宋体" w:hAnsi="宋体" w:cs="宋体"/>
          <w:kern w:val="0"/>
          <w:szCs w:val="21"/>
        </w:rPr>
        <w:t>份</w:t>
      </w:r>
      <w:r>
        <w:rPr>
          <w:rFonts w:ascii="宋体" w:hAnsi="宋体" w:cs="宋体"/>
          <w:kern w:val="0"/>
          <w:szCs w:val="21"/>
        </w:rPr>
        <w:t>A</w:t>
      </w:r>
      <w:r>
        <w:rPr>
          <w:rFonts w:ascii="宋体" w:hAnsi="宋体" w:cs="宋体"/>
          <w:kern w:val="0"/>
          <w:szCs w:val="21"/>
        </w:rPr>
        <w:t>基金的基金份额，持有时间</w:t>
      </w:r>
      <w:r>
        <w:rPr>
          <w:rFonts w:ascii="宋体" w:hAnsi="宋体" w:cs="宋体"/>
          <w:kern w:val="0"/>
          <w:szCs w:val="21"/>
        </w:rPr>
        <w:t>20</w:t>
      </w:r>
      <w:r>
        <w:rPr>
          <w:rFonts w:ascii="宋体" w:hAnsi="宋体" w:cs="宋体"/>
          <w:kern w:val="0"/>
          <w:szCs w:val="21"/>
        </w:rPr>
        <w:t>日，对应的赎回费率为</w:t>
      </w:r>
      <w:r>
        <w:rPr>
          <w:rFonts w:ascii="宋体" w:hAnsi="宋体" w:cs="宋体"/>
          <w:kern w:val="0"/>
          <w:szCs w:val="21"/>
        </w:rPr>
        <w:t>0.5%</w:t>
      </w:r>
      <w:r>
        <w:rPr>
          <w:rFonts w:ascii="宋体" w:hAnsi="宋体" w:cs="宋体"/>
          <w:kern w:val="0"/>
          <w:szCs w:val="21"/>
        </w:rPr>
        <w:t>，假设赎回当日的基金份额净值是</w:t>
      </w:r>
      <w:r>
        <w:rPr>
          <w:rFonts w:ascii="宋体" w:hAnsi="宋体" w:cs="宋体"/>
          <w:kern w:val="0"/>
          <w:szCs w:val="21"/>
        </w:rPr>
        <w:t>1.0680</w:t>
      </w:r>
      <w:r>
        <w:rPr>
          <w:rFonts w:ascii="宋体" w:hAnsi="宋体" w:cs="宋体"/>
          <w:kern w:val="0"/>
          <w:szCs w:val="21"/>
        </w:rPr>
        <w:t>元，则产生的赎回费用为</w:t>
      </w:r>
      <w:r>
        <w:rPr>
          <w:rFonts w:ascii="宋体" w:hAnsi="宋体" w:cs="宋体"/>
          <w:kern w:val="0"/>
          <w:szCs w:val="21"/>
        </w:rPr>
        <w:t>53.40</w:t>
      </w:r>
      <w:r>
        <w:rPr>
          <w:rFonts w:ascii="宋体" w:hAnsi="宋体" w:cs="宋体"/>
          <w:kern w:val="0"/>
          <w:szCs w:val="21"/>
        </w:rPr>
        <w:t>元，可得到的净赎回金额为</w:t>
      </w:r>
      <w:r>
        <w:rPr>
          <w:rFonts w:ascii="宋体" w:hAnsi="宋体" w:cs="宋体"/>
          <w:kern w:val="0"/>
          <w:szCs w:val="21"/>
        </w:rPr>
        <w:t>10,626.60</w:t>
      </w:r>
      <w:r>
        <w:rPr>
          <w:rFonts w:ascii="宋体" w:hAnsi="宋体" w:cs="宋体"/>
          <w:kern w:val="0"/>
          <w:szCs w:val="21"/>
        </w:rPr>
        <w:t>元：</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赎回总额</w:t>
      </w:r>
      <w:r>
        <w:rPr>
          <w:rFonts w:ascii="宋体" w:hAnsi="宋体" w:cs="宋体"/>
          <w:kern w:val="0"/>
          <w:szCs w:val="21"/>
        </w:rPr>
        <w:t>=10,000×1.0680=10,680.00</w:t>
      </w:r>
      <w:r>
        <w:rPr>
          <w:rFonts w:ascii="宋体" w:hAnsi="宋体" w:cs="宋体"/>
          <w:kern w:val="0"/>
          <w:szCs w:val="21"/>
        </w:rPr>
        <w:t>元</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赎回费用</w:t>
      </w:r>
      <w:r>
        <w:rPr>
          <w:rFonts w:ascii="宋体" w:hAnsi="宋体" w:cs="宋体"/>
          <w:kern w:val="0"/>
          <w:szCs w:val="21"/>
        </w:rPr>
        <w:t xml:space="preserve">=10,680×0.5%=53.40 </w:t>
      </w:r>
      <w:r>
        <w:rPr>
          <w:rFonts w:ascii="宋体" w:hAnsi="宋体" w:cs="宋体"/>
          <w:kern w:val="0"/>
          <w:szCs w:val="21"/>
        </w:rPr>
        <w:t>元</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净赎回金额</w:t>
      </w:r>
      <w:r>
        <w:rPr>
          <w:rFonts w:ascii="宋体" w:hAnsi="宋体" w:cs="宋体"/>
          <w:kern w:val="0"/>
          <w:szCs w:val="21"/>
        </w:rPr>
        <w:t>=10,680.00-53.40=10,626.60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）本基金赎回本基金管理人管理的其他基金时，不收取赎回费，但按照相关法规、所投资基金的招募说明书约定应当收取赎回费，并计入基金</w:t>
      </w:r>
      <w:r>
        <w:rPr>
          <w:rFonts w:ascii="宋体" w:hAnsi="宋体" w:cs="宋体"/>
          <w:kern w:val="0"/>
          <w:szCs w:val="21"/>
        </w:rPr>
        <w:t>财产的赎回费部分除外。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本基金所需支付的赎回费的计算方法：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赎回总额</w:t>
      </w:r>
      <w:r>
        <w:rPr>
          <w:rFonts w:ascii="宋体" w:hAnsi="宋体" w:cs="宋体"/>
          <w:kern w:val="0"/>
          <w:szCs w:val="21"/>
        </w:rPr>
        <w:t>=</w:t>
      </w:r>
      <w:r>
        <w:rPr>
          <w:rFonts w:ascii="宋体" w:hAnsi="宋体" w:cs="宋体"/>
          <w:kern w:val="0"/>
          <w:szCs w:val="21"/>
        </w:rPr>
        <w:t>赎回份额</w:t>
      </w:r>
      <w:r>
        <w:rPr>
          <w:rFonts w:ascii="宋体" w:hAnsi="宋体" w:cs="宋体"/>
          <w:kern w:val="0"/>
          <w:szCs w:val="21"/>
        </w:rPr>
        <w:t>×T</w:t>
      </w:r>
      <w:r>
        <w:rPr>
          <w:rFonts w:ascii="宋体" w:hAnsi="宋体" w:cs="宋体"/>
          <w:kern w:val="0"/>
          <w:szCs w:val="21"/>
        </w:rPr>
        <w:t>日基金份额净值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赎回费用</w:t>
      </w:r>
      <w:r>
        <w:rPr>
          <w:rFonts w:ascii="宋体" w:hAnsi="宋体" w:cs="宋体"/>
          <w:kern w:val="0"/>
          <w:szCs w:val="21"/>
        </w:rPr>
        <w:t>=</w:t>
      </w:r>
      <w:r>
        <w:rPr>
          <w:rFonts w:ascii="宋体" w:hAnsi="宋体" w:cs="宋体"/>
          <w:kern w:val="0"/>
          <w:szCs w:val="21"/>
        </w:rPr>
        <w:t>赎回总额</w:t>
      </w:r>
      <w:r>
        <w:rPr>
          <w:rFonts w:ascii="宋体" w:hAnsi="宋体" w:cs="宋体"/>
          <w:kern w:val="0"/>
          <w:szCs w:val="21"/>
        </w:rPr>
        <w:t>×</w:t>
      </w:r>
      <w:r>
        <w:rPr>
          <w:rFonts w:ascii="宋体" w:hAnsi="宋体" w:cs="宋体"/>
          <w:kern w:val="0"/>
          <w:szCs w:val="21"/>
        </w:rPr>
        <w:t>赎回费率</w:t>
      </w:r>
    </w:p>
    <w:p w:rsidR="00796C66" w:rsidRDefault="00FB6202">
      <w:pPr>
        <w:pStyle w:val="div"/>
        <w:spacing w:line="360" w:lineRule="auto"/>
        <w:ind w:firstLine="480"/>
        <w:rPr>
          <w:rFonts w:eastAsia="Times New Roman"/>
          <w:kern w:val="0"/>
          <w:szCs w:val="21"/>
        </w:rPr>
      </w:pPr>
      <w:r>
        <w:rPr>
          <w:rFonts w:ascii="宋体" w:hAnsi="宋体" w:cs="宋体"/>
          <w:kern w:val="0"/>
          <w:szCs w:val="21"/>
        </w:rPr>
        <w:t>实际支付的赎回费用</w:t>
      </w:r>
      <w:r>
        <w:rPr>
          <w:rFonts w:ascii="宋体" w:hAnsi="宋体" w:cs="宋体"/>
          <w:kern w:val="0"/>
          <w:szCs w:val="21"/>
        </w:rPr>
        <w:t>=</w:t>
      </w:r>
      <w:r>
        <w:rPr>
          <w:rFonts w:ascii="宋体" w:hAnsi="宋体" w:cs="宋体"/>
          <w:kern w:val="0"/>
          <w:szCs w:val="21"/>
        </w:rPr>
        <w:t>赎回费用</w:t>
      </w:r>
      <w:r>
        <w:rPr>
          <w:rFonts w:ascii="宋体" w:hAnsi="宋体" w:cs="宋体"/>
          <w:kern w:val="0"/>
          <w:szCs w:val="21"/>
        </w:rPr>
        <w:t>×</w:t>
      </w:r>
      <w:r>
        <w:rPr>
          <w:rFonts w:ascii="宋体" w:hAnsi="宋体" w:cs="宋体"/>
          <w:kern w:val="0"/>
          <w:szCs w:val="21"/>
        </w:rPr>
        <w:t>计入基金财产的比例</w:t>
      </w:r>
    </w:p>
    <w:p w:rsidR="00796C66" w:rsidRDefault="00FB6202">
      <w:pPr>
        <w:pStyle w:val="div"/>
        <w:spacing w:line="360" w:lineRule="auto"/>
        <w:ind w:firstLine="480"/>
        <w:rPr>
          <w:rFonts w:eastAsia="Times New Roman"/>
          <w:kern w:val="0"/>
          <w:szCs w:val="21"/>
        </w:rPr>
      </w:pPr>
      <w:r>
        <w:rPr>
          <w:rFonts w:ascii="宋体" w:hAnsi="宋体" w:cs="宋体"/>
          <w:kern w:val="0"/>
          <w:szCs w:val="21"/>
        </w:rPr>
        <w:t>净赎回金额</w:t>
      </w:r>
      <w:r>
        <w:rPr>
          <w:rFonts w:ascii="宋体" w:hAnsi="宋体" w:cs="宋体"/>
          <w:kern w:val="0"/>
          <w:szCs w:val="21"/>
        </w:rPr>
        <w:t>=</w:t>
      </w:r>
      <w:r>
        <w:rPr>
          <w:rFonts w:ascii="宋体" w:hAnsi="宋体" w:cs="宋体"/>
          <w:kern w:val="0"/>
          <w:szCs w:val="21"/>
        </w:rPr>
        <w:t>赎回总额</w:t>
      </w:r>
      <w:r>
        <w:rPr>
          <w:rFonts w:ascii="宋体" w:hAnsi="宋体" w:cs="宋体"/>
          <w:kern w:val="0"/>
          <w:szCs w:val="21"/>
        </w:rPr>
        <w:t>-</w:t>
      </w:r>
      <w:r>
        <w:rPr>
          <w:rFonts w:ascii="宋体" w:hAnsi="宋体" w:cs="宋体"/>
          <w:kern w:val="0"/>
          <w:szCs w:val="21"/>
        </w:rPr>
        <w:t>实际支付的赎回费用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例：假设本基金管理人管理的</w:t>
      </w:r>
      <w:r>
        <w:rPr>
          <w:rFonts w:ascii="宋体" w:hAnsi="宋体" w:cs="宋体"/>
          <w:kern w:val="0"/>
          <w:szCs w:val="21"/>
        </w:rPr>
        <w:t>B</w:t>
      </w:r>
      <w:r>
        <w:rPr>
          <w:rFonts w:ascii="宋体" w:hAnsi="宋体" w:cs="宋体"/>
          <w:kern w:val="0"/>
          <w:szCs w:val="21"/>
        </w:rPr>
        <w:t>基金的赎回费率结构及计入基金财产的赎回费比例如下：</w:t>
      </w:r>
    </w:p>
    <w:tbl>
      <w:tblPr>
        <w:tblStyle w:val="table"/>
        <w:tblW w:w="5000" w:type="pct"/>
        <w:jc w:val="center"/>
        <w:tblBorders>
          <w:top w:val="outset" w:sz="6" w:space="0" w:color="666699"/>
          <w:left w:val="outset" w:sz="6" w:space="0" w:color="666699"/>
          <w:bottom w:val="outset" w:sz="6" w:space="0" w:color="666699"/>
          <w:right w:val="outset" w:sz="6" w:space="0" w:color="666699"/>
        </w:tblBorders>
        <w:tblCellMar>
          <w:left w:w="0" w:type="dxa"/>
          <w:right w:w="0" w:type="dxa"/>
        </w:tblCellMar>
        <w:tblLook w:val="05E0" w:firstRow="1" w:lastRow="1" w:firstColumn="1" w:lastColumn="1" w:noHBand="0" w:noVBand="1"/>
      </w:tblPr>
      <w:tblGrid>
        <w:gridCol w:w="2864"/>
        <w:gridCol w:w="2469"/>
        <w:gridCol w:w="2958"/>
      </w:tblGrid>
      <w:tr w:rsidR="00796C66">
        <w:trPr>
          <w:trHeight w:val="637"/>
          <w:jc w:val="center"/>
        </w:trPr>
        <w:tc>
          <w:tcPr>
            <w:tcW w:w="2196"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持有期限（</w:t>
            </w:r>
            <w:r>
              <w:rPr>
                <w:rFonts w:ascii="宋体" w:hAnsi="宋体" w:cs="宋体"/>
                <w:color w:val="000000"/>
                <w:kern w:val="0"/>
                <w:szCs w:val="21"/>
              </w:rPr>
              <w:t>Y</w:t>
            </w:r>
            <w:r>
              <w:rPr>
                <w:rFonts w:ascii="宋体" w:hAnsi="宋体" w:cs="宋体"/>
                <w:color w:val="000000"/>
                <w:kern w:val="0"/>
                <w:szCs w:val="21"/>
              </w:rPr>
              <w:t>）</w:t>
            </w:r>
          </w:p>
        </w:tc>
        <w:tc>
          <w:tcPr>
            <w:tcW w:w="1893"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赎回费率</w:t>
            </w:r>
          </w:p>
        </w:tc>
        <w:tc>
          <w:tcPr>
            <w:tcW w:w="2268"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计入基金财产的比例</w:t>
            </w:r>
          </w:p>
        </w:tc>
      </w:tr>
      <w:tr w:rsidR="00796C66">
        <w:trPr>
          <w:jc w:val="center"/>
        </w:trPr>
        <w:tc>
          <w:tcPr>
            <w:tcW w:w="2196"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Y</w:t>
            </w:r>
            <w:r>
              <w:rPr>
                <w:rFonts w:ascii="宋体" w:hAnsi="宋体" w:cs="宋体"/>
                <w:color w:val="000000"/>
                <w:kern w:val="0"/>
                <w:szCs w:val="21"/>
              </w:rPr>
              <w:t>＜</w:t>
            </w:r>
            <w:r>
              <w:rPr>
                <w:rFonts w:ascii="宋体" w:hAnsi="宋体" w:cs="宋体"/>
                <w:color w:val="000000"/>
                <w:kern w:val="0"/>
                <w:szCs w:val="21"/>
              </w:rPr>
              <w:t>30</w:t>
            </w:r>
            <w:r>
              <w:rPr>
                <w:rFonts w:ascii="宋体" w:hAnsi="宋体" w:cs="宋体"/>
                <w:color w:val="000000"/>
                <w:kern w:val="0"/>
                <w:szCs w:val="21"/>
              </w:rPr>
              <w:t>日</w:t>
            </w:r>
          </w:p>
        </w:tc>
        <w:tc>
          <w:tcPr>
            <w:tcW w:w="1893"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vAlign w:val="cente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1.5%</w:t>
            </w:r>
          </w:p>
        </w:tc>
        <w:tc>
          <w:tcPr>
            <w:tcW w:w="2268"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100%</w:t>
            </w:r>
          </w:p>
        </w:tc>
      </w:tr>
      <w:tr w:rsidR="00796C66">
        <w:trPr>
          <w:jc w:val="center"/>
        </w:trPr>
        <w:tc>
          <w:tcPr>
            <w:tcW w:w="2196"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30</w:t>
            </w:r>
            <w:r>
              <w:rPr>
                <w:rFonts w:ascii="宋体" w:hAnsi="宋体" w:cs="宋体"/>
                <w:color w:val="000000"/>
                <w:kern w:val="0"/>
                <w:szCs w:val="21"/>
              </w:rPr>
              <w:t>日</w:t>
            </w:r>
            <w:r>
              <w:rPr>
                <w:rFonts w:ascii="宋体" w:hAnsi="宋体" w:cs="宋体"/>
                <w:color w:val="000000"/>
                <w:kern w:val="0"/>
                <w:szCs w:val="21"/>
              </w:rPr>
              <w:t>≤Y</w:t>
            </w:r>
            <w:r>
              <w:rPr>
                <w:rFonts w:ascii="宋体" w:hAnsi="宋体" w:cs="宋体"/>
                <w:color w:val="000000"/>
                <w:kern w:val="0"/>
                <w:szCs w:val="21"/>
              </w:rPr>
              <w:t>＜</w:t>
            </w:r>
            <w:r>
              <w:rPr>
                <w:rFonts w:ascii="宋体" w:hAnsi="宋体" w:cs="宋体"/>
                <w:color w:val="000000"/>
                <w:kern w:val="0"/>
                <w:szCs w:val="21"/>
              </w:rPr>
              <w:t>180</w:t>
            </w:r>
            <w:r>
              <w:rPr>
                <w:rFonts w:ascii="宋体" w:hAnsi="宋体" w:cs="宋体"/>
                <w:color w:val="000000"/>
                <w:kern w:val="0"/>
                <w:szCs w:val="21"/>
              </w:rPr>
              <w:t>日</w:t>
            </w:r>
          </w:p>
        </w:tc>
        <w:tc>
          <w:tcPr>
            <w:tcW w:w="1893"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0.5%</w:t>
            </w:r>
          </w:p>
        </w:tc>
        <w:tc>
          <w:tcPr>
            <w:tcW w:w="2268"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50%</w:t>
            </w:r>
          </w:p>
        </w:tc>
      </w:tr>
      <w:tr w:rsidR="00796C66">
        <w:trPr>
          <w:jc w:val="center"/>
        </w:trPr>
        <w:tc>
          <w:tcPr>
            <w:tcW w:w="2196"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180</w:t>
            </w:r>
            <w:r>
              <w:rPr>
                <w:rFonts w:ascii="宋体" w:hAnsi="宋体" w:cs="宋体"/>
                <w:color w:val="000000"/>
                <w:kern w:val="0"/>
                <w:szCs w:val="21"/>
              </w:rPr>
              <w:t>日</w:t>
            </w:r>
            <w:r>
              <w:rPr>
                <w:rFonts w:ascii="宋体" w:hAnsi="宋体" w:cs="宋体"/>
                <w:color w:val="000000"/>
                <w:kern w:val="0"/>
                <w:szCs w:val="21"/>
              </w:rPr>
              <w:t>≤Y</w:t>
            </w:r>
          </w:p>
        </w:tc>
        <w:tc>
          <w:tcPr>
            <w:tcW w:w="1893"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w:t>
            </w:r>
          </w:p>
        </w:tc>
        <w:tc>
          <w:tcPr>
            <w:tcW w:w="2268" w:type="dxa"/>
            <w:tcBorders>
              <w:top w:val="outset" w:sz="6" w:space="0" w:color="666699"/>
              <w:left w:val="outset" w:sz="6" w:space="0" w:color="666699"/>
              <w:bottom w:val="outset" w:sz="6" w:space="0" w:color="666699"/>
              <w:right w:val="outset" w:sz="6" w:space="0" w:color="666699"/>
            </w:tcBorders>
            <w:tcMar>
              <w:top w:w="15" w:type="dxa"/>
              <w:left w:w="22" w:type="dxa"/>
              <w:bottom w:w="15" w:type="dxa"/>
              <w:right w:w="22" w:type="dxa"/>
            </w:tcMar>
            <w:hideMark/>
          </w:tcPr>
          <w:p w:rsidR="00796C66" w:rsidRDefault="00FB6202">
            <w:pPr>
              <w:pStyle w:val="div"/>
              <w:spacing w:line="360" w:lineRule="auto"/>
              <w:jc w:val="center"/>
              <w:rPr>
                <w:rFonts w:eastAsia="Times New Roman"/>
                <w:color w:val="000000"/>
                <w:kern w:val="0"/>
                <w:szCs w:val="21"/>
              </w:rPr>
            </w:pPr>
            <w:r>
              <w:rPr>
                <w:rFonts w:ascii="宋体" w:hAnsi="宋体" w:cs="宋体"/>
                <w:color w:val="000000"/>
                <w:kern w:val="0"/>
                <w:szCs w:val="21"/>
              </w:rPr>
              <w:t>0</w:t>
            </w:r>
          </w:p>
        </w:tc>
      </w:tr>
    </w:tbl>
    <w:p w:rsidR="00796C66" w:rsidRDefault="00FB6202">
      <w:pPr>
        <w:pStyle w:val="div"/>
        <w:spacing w:line="360" w:lineRule="auto"/>
        <w:ind w:firstLine="480"/>
        <w:rPr>
          <w:rFonts w:eastAsia="Times New Roman"/>
          <w:kern w:val="0"/>
          <w:szCs w:val="21"/>
        </w:rPr>
      </w:pPr>
      <w:r>
        <w:rPr>
          <w:rFonts w:ascii="宋体" w:hAnsi="宋体" w:cs="宋体"/>
          <w:kern w:val="0"/>
          <w:szCs w:val="21"/>
        </w:rPr>
        <w:t>本基金赎回</w:t>
      </w:r>
      <w:r>
        <w:rPr>
          <w:rFonts w:ascii="宋体" w:hAnsi="宋体" w:cs="宋体"/>
          <w:kern w:val="0"/>
          <w:szCs w:val="21"/>
        </w:rPr>
        <w:t>10,000</w:t>
      </w:r>
      <w:r>
        <w:rPr>
          <w:rFonts w:ascii="宋体" w:hAnsi="宋体" w:cs="宋体"/>
          <w:kern w:val="0"/>
          <w:szCs w:val="21"/>
        </w:rPr>
        <w:t>份</w:t>
      </w:r>
      <w:r>
        <w:rPr>
          <w:rFonts w:ascii="宋体" w:hAnsi="宋体" w:cs="宋体"/>
          <w:kern w:val="0"/>
          <w:szCs w:val="21"/>
        </w:rPr>
        <w:t>B</w:t>
      </w:r>
      <w:r>
        <w:rPr>
          <w:rFonts w:ascii="宋体" w:hAnsi="宋体" w:cs="宋体"/>
          <w:kern w:val="0"/>
          <w:szCs w:val="21"/>
        </w:rPr>
        <w:t>基金的基金份额，持有时间</w:t>
      </w:r>
      <w:r>
        <w:rPr>
          <w:rFonts w:ascii="宋体" w:hAnsi="宋体" w:cs="宋体"/>
          <w:kern w:val="0"/>
          <w:szCs w:val="21"/>
        </w:rPr>
        <w:t>60</w:t>
      </w:r>
      <w:r>
        <w:rPr>
          <w:rFonts w:ascii="宋体" w:hAnsi="宋体" w:cs="宋体"/>
          <w:kern w:val="0"/>
          <w:szCs w:val="21"/>
        </w:rPr>
        <w:t>日，对应的赎回费率为</w:t>
      </w:r>
      <w:r>
        <w:rPr>
          <w:rFonts w:ascii="宋体" w:hAnsi="宋体" w:cs="宋体"/>
          <w:kern w:val="0"/>
          <w:szCs w:val="21"/>
        </w:rPr>
        <w:t>0.5%</w:t>
      </w:r>
      <w:r>
        <w:rPr>
          <w:rFonts w:ascii="宋体" w:hAnsi="宋体" w:cs="宋体"/>
          <w:kern w:val="0"/>
          <w:szCs w:val="21"/>
        </w:rPr>
        <w:t>，假设赎回当日基金份额净值是</w:t>
      </w:r>
      <w:r>
        <w:rPr>
          <w:rFonts w:ascii="宋体" w:hAnsi="宋体" w:cs="宋体"/>
          <w:kern w:val="0"/>
          <w:szCs w:val="21"/>
        </w:rPr>
        <w:t xml:space="preserve">1.0680 </w:t>
      </w:r>
      <w:r>
        <w:rPr>
          <w:rFonts w:ascii="宋体" w:hAnsi="宋体" w:cs="宋体"/>
          <w:kern w:val="0"/>
          <w:szCs w:val="21"/>
        </w:rPr>
        <w:t>元，则实际产生的赎回费用为</w:t>
      </w:r>
      <w:r>
        <w:rPr>
          <w:rFonts w:ascii="宋体" w:hAnsi="宋体" w:cs="宋体"/>
          <w:kern w:val="0"/>
          <w:szCs w:val="21"/>
        </w:rPr>
        <w:t>26.70</w:t>
      </w:r>
      <w:r>
        <w:rPr>
          <w:rFonts w:ascii="宋体" w:hAnsi="宋体" w:cs="宋体"/>
          <w:kern w:val="0"/>
          <w:szCs w:val="21"/>
        </w:rPr>
        <w:t>元，可得到的净赎回金额为</w:t>
      </w:r>
      <w:r>
        <w:rPr>
          <w:rFonts w:ascii="宋体" w:hAnsi="宋体" w:cs="宋体"/>
          <w:kern w:val="0"/>
          <w:szCs w:val="21"/>
        </w:rPr>
        <w:t>10,653.30</w:t>
      </w:r>
      <w:r>
        <w:rPr>
          <w:rFonts w:ascii="宋体" w:hAnsi="宋体" w:cs="宋体"/>
          <w:kern w:val="0"/>
          <w:szCs w:val="21"/>
        </w:rPr>
        <w:t>元：</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赎回总额</w:t>
      </w:r>
      <w:r>
        <w:rPr>
          <w:rFonts w:ascii="宋体" w:hAnsi="宋体" w:cs="宋体"/>
          <w:kern w:val="0"/>
          <w:szCs w:val="21"/>
        </w:rPr>
        <w:t xml:space="preserve">=10,000×1.0680=10,680.00 </w:t>
      </w:r>
      <w:r>
        <w:rPr>
          <w:rFonts w:ascii="宋体" w:hAnsi="宋体" w:cs="宋体"/>
          <w:kern w:val="0"/>
          <w:szCs w:val="21"/>
        </w:rPr>
        <w:t>元</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赎回费用</w:t>
      </w:r>
      <w:r>
        <w:rPr>
          <w:rFonts w:ascii="宋体" w:hAnsi="宋体" w:cs="宋体"/>
          <w:kern w:val="0"/>
          <w:szCs w:val="21"/>
        </w:rPr>
        <w:t xml:space="preserve">=10,680×0.5%=53.40 </w:t>
      </w:r>
      <w:r>
        <w:rPr>
          <w:rFonts w:ascii="宋体" w:hAnsi="宋体" w:cs="宋体"/>
          <w:kern w:val="0"/>
          <w:szCs w:val="21"/>
        </w:rPr>
        <w:t>元</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实际支付的赎回费用</w:t>
      </w:r>
      <w:r>
        <w:rPr>
          <w:rFonts w:ascii="宋体" w:hAnsi="宋体" w:cs="宋体"/>
          <w:kern w:val="0"/>
          <w:szCs w:val="21"/>
        </w:rPr>
        <w:t xml:space="preserve">=53.40×50%=26.70 </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净赎回金额</w:t>
      </w:r>
      <w:r>
        <w:rPr>
          <w:rFonts w:ascii="宋体" w:hAnsi="宋体" w:cs="宋体"/>
          <w:kern w:val="0"/>
          <w:szCs w:val="21"/>
        </w:rPr>
        <w:t>=10,680.00-26.70=10,653.30</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）所持其他基金每日产生的销售服务费；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）本基金持有非本基金</w:t>
      </w:r>
      <w:r>
        <w:rPr>
          <w:rFonts w:ascii="宋体" w:hAnsi="宋体" w:cs="宋体"/>
          <w:kern w:val="0"/>
          <w:szCs w:val="21"/>
        </w:rPr>
        <w:t>管理人管理的其他基金时：</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本基金所需支付的销售服务费的计算方法：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所持该基金当日产生的销售服务费</w:t>
      </w:r>
      <w:r>
        <w:rPr>
          <w:rFonts w:ascii="宋体" w:hAnsi="宋体" w:cs="宋体"/>
          <w:kern w:val="0"/>
          <w:szCs w:val="21"/>
        </w:rPr>
        <w:t>=</w:t>
      </w:r>
      <w:r>
        <w:rPr>
          <w:rFonts w:ascii="宋体" w:hAnsi="宋体" w:cs="宋体"/>
          <w:kern w:val="0"/>
          <w:szCs w:val="21"/>
        </w:rPr>
        <w:t>所持该基金的基金份额总数</w:t>
      </w:r>
      <w:r>
        <w:rPr>
          <w:rFonts w:ascii="宋体" w:hAnsi="宋体" w:cs="宋体"/>
          <w:kern w:val="0"/>
          <w:szCs w:val="21"/>
        </w:rPr>
        <w:t>×</w:t>
      </w:r>
      <w:r>
        <w:rPr>
          <w:rFonts w:ascii="宋体" w:hAnsi="宋体" w:cs="宋体"/>
          <w:kern w:val="0"/>
          <w:szCs w:val="21"/>
        </w:rPr>
        <w:t>前一日的该基金份额净值</w:t>
      </w:r>
      <w:r>
        <w:rPr>
          <w:rFonts w:ascii="宋体" w:hAnsi="宋体" w:cs="宋体"/>
          <w:kern w:val="0"/>
          <w:szCs w:val="21"/>
        </w:rPr>
        <w:t>×</w:t>
      </w:r>
      <w:r>
        <w:rPr>
          <w:rFonts w:ascii="宋体" w:hAnsi="宋体" w:cs="宋体"/>
          <w:kern w:val="0"/>
          <w:szCs w:val="21"/>
        </w:rPr>
        <w:t>销售服务费率</w:t>
      </w:r>
      <w:r>
        <w:rPr>
          <w:rFonts w:ascii="宋体" w:hAnsi="宋体" w:cs="宋体"/>
          <w:kern w:val="0"/>
          <w:szCs w:val="21"/>
        </w:rPr>
        <w:t>÷</w:t>
      </w:r>
      <w:r>
        <w:rPr>
          <w:rFonts w:ascii="宋体" w:hAnsi="宋体" w:cs="宋体"/>
          <w:kern w:val="0"/>
          <w:szCs w:val="21"/>
        </w:rPr>
        <w:t>当年天数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例：假设</w:t>
      </w:r>
      <w:r>
        <w:rPr>
          <w:rFonts w:ascii="宋体" w:hAnsi="宋体" w:cs="宋体"/>
          <w:kern w:val="0"/>
          <w:szCs w:val="21"/>
        </w:rPr>
        <w:t>A</w:t>
      </w:r>
      <w:r>
        <w:rPr>
          <w:rFonts w:ascii="宋体" w:hAnsi="宋体" w:cs="宋体"/>
          <w:kern w:val="0"/>
          <w:szCs w:val="21"/>
        </w:rPr>
        <w:t>基金的销售服务费率为</w:t>
      </w:r>
      <w:r>
        <w:rPr>
          <w:rFonts w:ascii="宋体" w:hAnsi="宋体" w:cs="宋体"/>
          <w:kern w:val="0"/>
          <w:szCs w:val="21"/>
        </w:rPr>
        <w:t>0.20%</w:t>
      </w:r>
      <w:r>
        <w:rPr>
          <w:rFonts w:ascii="宋体" w:hAnsi="宋体" w:cs="宋体"/>
          <w:kern w:val="0"/>
          <w:szCs w:val="21"/>
        </w:rPr>
        <w:t>，本基金持有</w:t>
      </w:r>
      <w:r>
        <w:rPr>
          <w:rFonts w:ascii="宋体" w:hAnsi="宋体" w:cs="宋体"/>
          <w:kern w:val="0"/>
          <w:szCs w:val="21"/>
        </w:rPr>
        <w:t>A</w:t>
      </w:r>
      <w:r>
        <w:rPr>
          <w:rFonts w:ascii="宋体" w:hAnsi="宋体" w:cs="宋体"/>
          <w:kern w:val="0"/>
          <w:szCs w:val="21"/>
        </w:rPr>
        <w:t>基金的基金份额</w:t>
      </w:r>
      <w:r>
        <w:rPr>
          <w:rFonts w:ascii="宋体" w:hAnsi="宋体" w:cs="宋体"/>
          <w:kern w:val="0"/>
          <w:szCs w:val="21"/>
        </w:rPr>
        <w:t>100,000</w:t>
      </w:r>
      <w:r>
        <w:rPr>
          <w:rFonts w:ascii="宋体" w:hAnsi="宋体" w:cs="宋体"/>
          <w:kern w:val="0"/>
          <w:szCs w:val="21"/>
        </w:rPr>
        <w:t>份，前一日的该基金份额净值为</w:t>
      </w:r>
      <w:r>
        <w:rPr>
          <w:rFonts w:ascii="宋体" w:hAnsi="宋体" w:cs="宋体"/>
          <w:kern w:val="0"/>
          <w:szCs w:val="21"/>
        </w:rPr>
        <w:t>1.0050</w:t>
      </w:r>
      <w:r>
        <w:rPr>
          <w:rFonts w:ascii="宋体" w:hAnsi="宋体" w:cs="宋体"/>
          <w:kern w:val="0"/>
          <w:szCs w:val="21"/>
        </w:rPr>
        <w:t>元，当年天数为</w:t>
      </w:r>
      <w:r>
        <w:rPr>
          <w:rFonts w:ascii="宋体" w:hAnsi="宋体" w:cs="宋体"/>
          <w:kern w:val="0"/>
          <w:szCs w:val="21"/>
        </w:rPr>
        <w:t>365</w:t>
      </w:r>
      <w:r>
        <w:rPr>
          <w:rFonts w:ascii="宋体" w:hAnsi="宋体" w:cs="宋体"/>
          <w:kern w:val="0"/>
          <w:szCs w:val="21"/>
        </w:rPr>
        <w:t>天，则</w:t>
      </w:r>
      <w:r>
        <w:rPr>
          <w:rFonts w:ascii="宋体" w:hAnsi="宋体" w:cs="宋体"/>
          <w:kern w:val="0"/>
          <w:szCs w:val="21"/>
        </w:rPr>
        <w:t>T</w:t>
      </w:r>
      <w:r>
        <w:rPr>
          <w:rFonts w:ascii="宋体" w:hAnsi="宋体" w:cs="宋体"/>
          <w:kern w:val="0"/>
          <w:szCs w:val="21"/>
        </w:rPr>
        <w:t>日产生的销售服务费为</w:t>
      </w:r>
      <w:r>
        <w:rPr>
          <w:rFonts w:ascii="宋体" w:hAnsi="宋体" w:cs="宋体"/>
          <w:kern w:val="0"/>
          <w:szCs w:val="21"/>
        </w:rPr>
        <w:t>0.55</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所持该基金当日产生的销售服务费</w:t>
      </w:r>
      <w:r>
        <w:rPr>
          <w:rFonts w:ascii="宋体" w:hAnsi="宋体" w:cs="宋体"/>
          <w:kern w:val="0"/>
          <w:szCs w:val="21"/>
        </w:rPr>
        <w:t>=100,000×1.0050×0.20%÷365=0.55</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）本基金持有本基金管理人管理的其他基金时，所持有的该基金份额不得收取该基金的销售服务费，即其每日产生的销售服务费为</w:t>
      </w:r>
      <w:r>
        <w:rPr>
          <w:rFonts w:ascii="宋体" w:hAnsi="宋体" w:cs="宋体"/>
          <w:kern w:val="0"/>
          <w:szCs w:val="21"/>
        </w:rPr>
        <w:t>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w:t>
      </w:r>
      <w:r>
        <w:rPr>
          <w:rFonts w:ascii="宋体" w:hAnsi="宋体" w:cs="宋体"/>
          <w:kern w:val="0"/>
          <w:szCs w:val="21"/>
        </w:rPr>
        <w:t>4</w:t>
      </w:r>
      <w:r>
        <w:rPr>
          <w:rFonts w:ascii="宋体" w:hAnsi="宋体" w:cs="宋体"/>
          <w:kern w:val="0"/>
          <w:szCs w:val="21"/>
        </w:rPr>
        <w:t>）所持其他基金每日产生的管理费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）本基金持有其他基金（包括非本基金管理人管理的基金和本基金管理人管理的其他基金）时，本基金所需支付的其他基金的管理费的计算方法：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所持该基金当日产生的管理费</w:t>
      </w:r>
      <w:r>
        <w:rPr>
          <w:rFonts w:ascii="宋体" w:hAnsi="宋体" w:cs="宋体"/>
          <w:kern w:val="0"/>
          <w:szCs w:val="21"/>
        </w:rPr>
        <w:t>=</w:t>
      </w:r>
      <w:r>
        <w:rPr>
          <w:rFonts w:ascii="宋体" w:hAnsi="宋体" w:cs="宋体"/>
          <w:kern w:val="0"/>
          <w:szCs w:val="21"/>
        </w:rPr>
        <w:t>所持该基金的基金份额总数</w:t>
      </w:r>
      <w:r>
        <w:rPr>
          <w:rFonts w:ascii="宋体" w:hAnsi="宋体" w:cs="宋体"/>
          <w:kern w:val="0"/>
          <w:szCs w:val="21"/>
        </w:rPr>
        <w:t>×</w:t>
      </w:r>
      <w:r>
        <w:rPr>
          <w:rFonts w:ascii="宋体" w:hAnsi="宋体" w:cs="宋体"/>
          <w:kern w:val="0"/>
          <w:szCs w:val="21"/>
        </w:rPr>
        <w:t>前一日的该基金份额净值</w:t>
      </w:r>
      <w:r>
        <w:rPr>
          <w:rFonts w:ascii="宋体" w:hAnsi="宋体" w:cs="宋体"/>
          <w:kern w:val="0"/>
          <w:szCs w:val="21"/>
        </w:rPr>
        <w:t>×</w:t>
      </w:r>
      <w:r>
        <w:rPr>
          <w:rFonts w:ascii="宋体" w:hAnsi="宋体" w:cs="宋体"/>
          <w:kern w:val="0"/>
          <w:szCs w:val="21"/>
        </w:rPr>
        <w:t>管理费率</w:t>
      </w:r>
      <w:r>
        <w:rPr>
          <w:rFonts w:ascii="宋体" w:hAnsi="宋体" w:cs="宋体"/>
          <w:kern w:val="0"/>
          <w:szCs w:val="21"/>
        </w:rPr>
        <w:t>÷</w:t>
      </w:r>
      <w:r>
        <w:rPr>
          <w:rFonts w:ascii="宋体" w:hAnsi="宋体" w:cs="宋体"/>
          <w:kern w:val="0"/>
          <w:szCs w:val="21"/>
        </w:rPr>
        <w:t>当年天数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例：假设</w:t>
      </w:r>
      <w:r>
        <w:rPr>
          <w:rFonts w:ascii="宋体" w:hAnsi="宋体" w:cs="宋体"/>
          <w:kern w:val="0"/>
          <w:szCs w:val="21"/>
        </w:rPr>
        <w:t>A</w:t>
      </w:r>
      <w:r>
        <w:rPr>
          <w:rFonts w:ascii="宋体" w:hAnsi="宋体" w:cs="宋体"/>
          <w:kern w:val="0"/>
          <w:szCs w:val="21"/>
        </w:rPr>
        <w:t>基金的管理费率为</w:t>
      </w:r>
      <w:r>
        <w:rPr>
          <w:rFonts w:ascii="宋体" w:hAnsi="宋体" w:cs="宋体"/>
          <w:kern w:val="0"/>
          <w:szCs w:val="21"/>
        </w:rPr>
        <w:t>1.00%</w:t>
      </w:r>
      <w:r>
        <w:rPr>
          <w:rFonts w:ascii="宋体" w:hAnsi="宋体" w:cs="宋体"/>
          <w:kern w:val="0"/>
          <w:szCs w:val="21"/>
        </w:rPr>
        <w:t>，本基金持有</w:t>
      </w:r>
      <w:r>
        <w:rPr>
          <w:rFonts w:ascii="宋体" w:hAnsi="宋体" w:cs="宋体"/>
          <w:kern w:val="0"/>
          <w:szCs w:val="21"/>
        </w:rPr>
        <w:t>A</w:t>
      </w:r>
      <w:r>
        <w:rPr>
          <w:rFonts w:ascii="宋体" w:hAnsi="宋体" w:cs="宋体"/>
          <w:kern w:val="0"/>
          <w:szCs w:val="21"/>
        </w:rPr>
        <w:t>基金的基金份额</w:t>
      </w:r>
      <w:r>
        <w:rPr>
          <w:rFonts w:ascii="宋体" w:hAnsi="宋体" w:cs="宋体"/>
          <w:kern w:val="0"/>
          <w:szCs w:val="21"/>
        </w:rPr>
        <w:t>100,000</w:t>
      </w:r>
      <w:r>
        <w:rPr>
          <w:rFonts w:ascii="宋体" w:hAnsi="宋体" w:cs="宋体"/>
          <w:kern w:val="0"/>
          <w:szCs w:val="21"/>
        </w:rPr>
        <w:t>份，前一日的基金份额净值为</w:t>
      </w:r>
      <w:r>
        <w:rPr>
          <w:rFonts w:ascii="宋体" w:hAnsi="宋体" w:cs="宋体"/>
          <w:kern w:val="0"/>
          <w:szCs w:val="21"/>
        </w:rPr>
        <w:t>1.0050</w:t>
      </w:r>
      <w:r>
        <w:rPr>
          <w:rFonts w:ascii="宋体" w:hAnsi="宋体" w:cs="宋体"/>
          <w:kern w:val="0"/>
          <w:szCs w:val="21"/>
        </w:rPr>
        <w:t>元，当年</w:t>
      </w:r>
      <w:r>
        <w:rPr>
          <w:rFonts w:ascii="宋体" w:hAnsi="宋体" w:cs="宋体"/>
          <w:kern w:val="0"/>
          <w:szCs w:val="21"/>
        </w:rPr>
        <w:t>天数为</w:t>
      </w:r>
      <w:r>
        <w:rPr>
          <w:rFonts w:ascii="宋体" w:hAnsi="宋体" w:cs="宋体"/>
          <w:kern w:val="0"/>
          <w:szCs w:val="21"/>
        </w:rPr>
        <w:t>365</w:t>
      </w:r>
      <w:r>
        <w:rPr>
          <w:rFonts w:ascii="宋体" w:hAnsi="宋体" w:cs="宋体"/>
          <w:kern w:val="0"/>
          <w:szCs w:val="21"/>
        </w:rPr>
        <w:t>天，则当日产生的其他基金管理费为</w:t>
      </w:r>
      <w:r>
        <w:rPr>
          <w:rFonts w:ascii="宋体" w:hAnsi="宋体" w:cs="宋体"/>
          <w:kern w:val="0"/>
          <w:szCs w:val="21"/>
        </w:rPr>
        <w:t>2.75</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所持该基金当日产生的管理费</w:t>
      </w:r>
      <w:r>
        <w:rPr>
          <w:rFonts w:ascii="宋体" w:hAnsi="宋体" w:cs="宋体"/>
          <w:kern w:val="0"/>
          <w:szCs w:val="21"/>
        </w:rPr>
        <w:t>=100,000×1.0050×1.00%÷365=2.75</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）本基金持有本基金管理人管理的其他基金时，所持有的该基金份额对应的基金资产部分不收取本基金的管理费，本基金每日应计提的本基金管理费的计算方法：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本基金每日应计提的基金管理费</w:t>
      </w:r>
      <w:r>
        <w:rPr>
          <w:rFonts w:ascii="宋体" w:hAnsi="宋体" w:cs="宋体"/>
          <w:kern w:val="0"/>
          <w:szCs w:val="21"/>
        </w:rPr>
        <w:t>=E×</w:t>
      </w:r>
      <w:r>
        <w:rPr>
          <w:rFonts w:ascii="宋体" w:hAnsi="宋体" w:cs="宋体"/>
          <w:kern w:val="0"/>
          <w:szCs w:val="21"/>
        </w:rPr>
        <w:t>管理费率</w:t>
      </w:r>
      <w:r>
        <w:rPr>
          <w:rFonts w:ascii="宋体" w:hAnsi="宋体" w:cs="宋体"/>
          <w:kern w:val="0"/>
          <w:szCs w:val="21"/>
        </w:rPr>
        <w:t>÷</w:t>
      </w:r>
      <w:r>
        <w:rPr>
          <w:rFonts w:ascii="宋体" w:hAnsi="宋体" w:cs="宋体"/>
          <w:kern w:val="0"/>
          <w:szCs w:val="21"/>
        </w:rPr>
        <w:t>当年天数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E</w:t>
      </w:r>
      <w:r>
        <w:rPr>
          <w:rFonts w:ascii="宋体" w:hAnsi="宋体" w:cs="宋体"/>
          <w:kern w:val="0"/>
          <w:szCs w:val="21"/>
        </w:rPr>
        <w:t>为前一日的基金资产净值扣除前一日所持有本基金管理人管理的基金份额部分基金资产后的余额（若为负数，则</w:t>
      </w:r>
      <w:r>
        <w:rPr>
          <w:rFonts w:ascii="宋体" w:hAnsi="宋体" w:cs="宋体"/>
          <w:kern w:val="0"/>
          <w:szCs w:val="21"/>
        </w:rPr>
        <w:t>E</w:t>
      </w:r>
      <w:r>
        <w:rPr>
          <w:rFonts w:ascii="宋体" w:hAnsi="宋体" w:cs="宋体"/>
          <w:kern w:val="0"/>
          <w:szCs w:val="21"/>
        </w:rPr>
        <w:t>取</w:t>
      </w:r>
      <w:r>
        <w:rPr>
          <w:rFonts w:ascii="宋体" w:hAnsi="宋体" w:cs="宋体"/>
          <w:kern w:val="0"/>
          <w:szCs w:val="21"/>
        </w:rPr>
        <w:t>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例：假设本基金前一日基金资产净值为</w:t>
      </w:r>
      <w:r>
        <w:rPr>
          <w:rFonts w:ascii="宋体" w:hAnsi="宋体" w:cs="宋体"/>
          <w:kern w:val="0"/>
          <w:szCs w:val="21"/>
        </w:rPr>
        <w:t>10</w:t>
      </w:r>
      <w:r>
        <w:rPr>
          <w:rFonts w:ascii="宋体" w:hAnsi="宋体" w:cs="宋体"/>
          <w:kern w:val="0"/>
          <w:szCs w:val="21"/>
        </w:rPr>
        <w:t>亿元，其中所</w:t>
      </w:r>
      <w:r>
        <w:rPr>
          <w:rFonts w:ascii="宋体" w:hAnsi="宋体" w:cs="宋体"/>
          <w:kern w:val="0"/>
          <w:szCs w:val="21"/>
        </w:rPr>
        <w:t>持有的本基金管理人管理的其他基金所对应的基金资产净值为</w:t>
      </w:r>
      <w:r>
        <w:rPr>
          <w:rFonts w:ascii="宋体" w:hAnsi="宋体" w:cs="宋体"/>
          <w:kern w:val="0"/>
          <w:szCs w:val="21"/>
        </w:rPr>
        <w:t>4</w:t>
      </w:r>
      <w:r>
        <w:rPr>
          <w:rFonts w:ascii="宋体" w:hAnsi="宋体" w:cs="宋体"/>
          <w:kern w:val="0"/>
          <w:szCs w:val="21"/>
        </w:rPr>
        <w:t>亿元，若本基金管理费率为</w:t>
      </w:r>
      <w:r>
        <w:rPr>
          <w:rFonts w:ascii="宋体" w:hAnsi="宋体" w:cs="宋体"/>
          <w:kern w:val="0"/>
          <w:szCs w:val="21"/>
        </w:rPr>
        <w:t>0.6%</w:t>
      </w:r>
      <w:r>
        <w:rPr>
          <w:rFonts w:ascii="宋体" w:hAnsi="宋体" w:cs="宋体"/>
          <w:kern w:val="0"/>
          <w:szCs w:val="21"/>
        </w:rPr>
        <w:t>，当年天数为</w:t>
      </w:r>
      <w:r>
        <w:rPr>
          <w:rFonts w:ascii="宋体" w:hAnsi="宋体" w:cs="宋体"/>
          <w:kern w:val="0"/>
          <w:szCs w:val="21"/>
        </w:rPr>
        <w:t>365</w:t>
      </w:r>
      <w:r>
        <w:rPr>
          <w:rFonts w:ascii="宋体" w:hAnsi="宋体" w:cs="宋体"/>
          <w:kern w:val="0"/>
          <w:szCs w:val="21"/>
        </w:rPr>
        <w:t>天，则本基金当日应计提的管理费为：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当日应计提的管理费</w:t>
      </w:r>
      <w:r>
        <w:rPr>
          <w:rFonts w:ascii="宋体" w:hAnsi="宋体" w:cs="宋体"/>
          <w:kern w:val="0"/>
          <w:szCs w:val="21"/>
        </w:rPr>
        <w:t>=</w:t>
      </w:r>
      <w:r>
        <w:rPr>
          <w:rFonts w:ascii="宋体" w:hAnsi="宋体" w:cs="宋体"/>
          <w:kern w:val="0"/>
          <w:szCs w:val="21"/>
        </w:rPr>
        <w:t>（</w:t>
      </w:r>
      <w:r>
        <w:rPr>
          <w:rFonts w:ascii="宋体" w:hAnsi="宋体" w:cs="宋体"/>
          <w:kern w:val="0"/>
          <w:szCs w:val="21"/>
        </w:rPr>
        <w:t>1,000,000,000.00-400,000,000.00</w:t>
      </w:r>
      <w:r>
        <w:rPr>
          <w:rFonts w:ascii="宋体" w:hAnsi="宋体" w:cs="宋体"/>
          <w:kern w:val="0"/>
          <w:szCs w:val="21"/>
        </w:rPr>
        <w:t>）</w:t>
      </w:r>
      <w:r>
        <w:rPr>
          <w:rFonts w:ascii="宋体" w:hAnsi="宋体" w:cs="宋体"/>
          <w:kern w:val="0"/>
          <w:szCs w:val="21"/>
        </w:rPr>
        <w:t>×0.6%÷365=9,863.01</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）所持其他基金每日产生的托管费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）本基金持有其他基金（包括非本基金托管人托管的基金和本基金托管人托管的其他基金）时，本基金所需支付的其他基金的托管费的计算方法：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所持该基金当日产生的托管费</w:t>
      </w:r>
      <w:r>
        <w:rPr>
          <w:rFonts w:ascii="宋体" w:hAnsi="宋体" w:cs="宋体"/>
          <w:kern w:val="0"/>
          <w:szCs w:val="21"/>
        </w:rPr>
        <w:t>=</w:t>
      </w:r>
      <w:r>
        <w:rPr>
          <w:rFonts w:ascii="宋体" w:hAnsi="宋体" w:cs="宋体"/>
          <w:kern w:val="0"/>
          <w:szCs w:val="21"/>
        </w:rPr>
        <w:t>所持该基金的基金份额总数</w:t>
      </w:r>
      <w:r>
        <w:rPr>
          <w:rFonts w:ascii="宋体" w:hAnsi="宋体" w:cs="宋体"/>
          <w:kern w:val="0"/>
          <w:szCs w:val="21"/>
        </w:rPr>
        <w:t>×</w:t>
      </w:r>
      <w:r>
        <w:rPr>
          <w:rFonts w:ascii="宋体" w:hAnsi="宋体" w:cs="宋体"/>
          <w:kern w:val="0"/>
          <w:szCs w:val="21"/>
        </w:rPr>
        <w:t>前一日的该基金份额净值</w:t>
      </w:r>
      <w:r>
        <w:rPr>
          <w:rFonts w:ascii="宋体" w:hAnsi="宋体" w:cs="宋体"/>
          <w:kern w:val="0"/>
          <w:szCs w:val="21"/>
        </w:rPr>
        <w:t>×</w:t>
      </w:r>
      <w:r>
        <w:rPr>
          <w:rFonts w:ascii="宋体" w:hAnsi="宋体" w:cs="宋体"/>
          <w:kern w:val="0"/>
          <w:szCs w:val="21"/>
        </w:rPr>
        <w:t>托管费率</w:t>
      </w:r>
      <w:r>
        <w:rPr>
          <w:rFonts w:ascii="宋体" w:hAnsi="宋体" w:cs="宋体"/>
          <w:kern w:val="0"/>
          <w:szCs w:val="21"/>
        </w:rPr>
        <w:t>÷</w:t>
      </w:r>
      <w:r>
        <w:rPr>
          <w:rFonts w:ascii="宋体" w:hAnsi="宋体" w:cs="宋体"/>
          <w:kern w:val="0"/>
          <w:szCs w:val="21"/>
        </w:rPr>
        <w:t>当年天数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w:t>
      </w:r>
      <w:r>
        <w:rPr>
          <w:rFonts w:ascii="宋体" w:hAnsi="宋体" w:cs="宋体"/>
          <w:kern w:val="0"/>
          <w:szCs w:val="21"/>
        </w:rPr>
        <w:t>A</w:t>
      </w:r>
      <w:r>
        <w:rPr>
          <w:rFonts w:ascii="宋体" w:hAnsi="宋体" w:cs="宋体"/>
          <w:kern w:val="0"/>
          <w:szCs w:val="21"/>
        </w:rPr>
        <w:t>基金的托管费率为</w:t>
      </w:r>
      <w:r>
        <w:rPr>
          <w:rFonts w:ascii="宋体" w:hAnsi="宋体" w:cs="宋体"/>
          <w:kern w:val="0"/>
          <w:szCs w:val="21"/>
        </w:rPr>
        <w:t>0.20%</w:t>
      </w:r>
      <w:r>
        <w:rPr>
          <w:rFonts w:ascii="宋体" w:hAnsi="宋体" w:cs="宋体"/>
          <w:kern w:val="0"/>
          <w:szCs w:val="21"/>
        </w:rPr>
        <w:t>，本基金持有</w:t>
      </w:r>
      <w:r>
        <w:rPr>
          <w:rFonts w:ascii="宋体" w:hAnsi="宋体" w:cs="宋体"/>
          <w:kern w:val="0"/>
          <w:szCs w:val="21"/>
        </w:rPr>
        <w:t>A</w:t>
      </w:r>
      <w:r>
        <w:rPr>
          <w:rFonts w:ascii="宋体" w:hAnsi="宋体" w:cs="宋体"/>
          <w:kern w:val="0"/>
          <w:szCs w:val="21"/>
        </w:rPr>
        <w:t>基金的基金份额</w:t>
      </w:r>
      <w:r>
        <w:rPr>
          <w:rFonts w:ascii="宋体" w:hAnsi="宋体" w:cs="宋体"/>
          <w:kern w:val="0"/>
          <w:szCs w:val="21"/>
        </w:rPr>
        <w:t>100,000</w:t>
      </w:r>
      <w:r>
        <w:rPr>
          <w:rFonts w:ascii="宋体" w:hAnsi="宋体" w:cs="宋体"/>
          <w:kern w:val="0"/>
          <w:szCs w:val="21"/>
        </w:rPr>
        <w:t>份，前一日的基金份额净值为</w:t>
      </w:r>
      <w:r>
        <w:rPr>
          <w:rFonts w:ascii="宋体" w:hAnsi="宋体" w:cs="宋体"/>
          <w:kern w:val="0"/>
          <w:szCs w:val="21"/>
        </w:rPr>
        <w:t>1.0050</w:t>
      </w:r>
      <w:r>
        <w:rPr>
          <w:rFonts w:ascii="宋体" w:hAnsi="宋体" w:cs="宋体"/>
          <w:kern w:val="0"/>
          <w:szCs w:val="21"/>
        </w:rPr>
        <w:t>元，当年天数为</w:t>
      </w:r>
      <w:r>
        <w:rPr>
          <w:rFonts w:ascii="宋体" w:hAnsi="宋体" w:cs="宋体"/>
          <w:kern w:val="0"/>
          <w:szCs w:val="21"/>
        </w:rPr>
        <w:t>365</w:t>
      </w:r>
      <w:r>
        <w:rPr>
          <w:rFonts w:ascii="宋体" w:hAnsi="宋体" w:cs="宋体"/>
          <w:kern w:val="0"/>
          <w:szCs w:val="21"/>
        </w:rPr>
        <w:t>天，则今日产生的基金托管费为</w:t>
      </w:r>
      <w:r>
        <w:rPr>
          <w:rFonts w:ascii="宋体" w:hAnsi="宋体" w:cs="宋体"/>
          <w:kern w:val="0"/>
          <w:szCs w:val="21"/>
        </w:rPr>
        <w:t>0.55</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所持该基金当日产生的托管费</w:t>
      </w:r>
      <w:r>
        <w:rPr>
          <w:rFonts w:ascii="宋体" w:hAnsi="宋体" w:cs="宋体"/>
          <w:kern w:val="0"/>
          <w:szCs w:val="21"/>
        </w:rPr>
        <w:t>=100,000×1.0050×0.20%÷365=0.55</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）本基金持有本基金托管人托管的其他基金时，所持有的该基金份额对应的基金资产部分不收取本基金的托管费，本基金每日应计提的基金托管费的计算方法：</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w:t>
      </w:r>
      <w:r>
        <w:rPr>
          <w:rFonts w:ascii="宋体" w:hAnsi="宋体" w:cs="宋体"/>
          <w:kern w:val="0"/>
          <w:szCs w:val="21"/>
        </w:rPr>
        <w:t>每日应计提的基金托管费</w:t>
      </w:r>
      <w:r>
        <w:rPr>
          <w:rFonts w:ascii="宋体" w:hAnsi="宋体" w:cs="宋体"/>
          <w:kern w:val="0"/>
          <w:szCs w:val="21"/>
        </w:rPr>
        <w:t>=E×</w:t>
      </w:r>
      <w:r>
        <w:rPr>
          <w:rFonts w:ascii="宋体" w:hAnsi="宋体" w:cs="宋体"/>
          <w:kern w:val="0"/>
          <w:szCs w:val="21"/>
        </w:rPr>
        <w:t>托管费率</w:t>
      </w:r>
      <w:r>
        <w:rPr>
          <w:rFonts w:ascii="宋体" w:hAnsi="宋体" w:cs="宋体"/>
          <w:kern w:val="0"/>
          <w:szCs w:val="21"/>
        </w:rPr>
        <w:t>÷</w:t>
      </w:r>
      <w:r>
        <w:rPr>
          <w:rFonts w:ascii="宋体" w:hAnsi="宋体" w:cs="宋体"/>
          <w:kern w:val="0"/>
          <w:szCs w:val="21"/>
        </w:rPr>
        <w:t>当年天数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E</w:t>
      </w:r>
      <w:r>
        <w:rPr>
          <w:rFonts w:ascii="宋体" w:hAnsi="宋体" w:cs="宋体"/>
          <w:kern w:val="0"/>
          <w:szCs w:val="21"/>
        </w:rPr>
        <w:t>为前一日的基金资产净值扣除前一日所持有本基金托管人托管的基金份额部分基金资产后的余额（若为负数，则</w:t>
      </w:r>
      <w:r>
        <w:rPr>
          <w:rFonts w:ascii="宋体" w:hAnsi="宋体" w:cs="宋体"/>
          <w:kern w:val="0"/>
          <w:szCs w:val="21"/>
        </w:rPr>
        <w:t>E</w:t>
      </w:r>
      <w:r>
        <w:rPr>
          <w:rFonts w:ascii="宋体" w:hAnsi="宋体" w:cs="宋体"/>
          <w:kern w:val="0"/>
          <w:szCs w:val="21"/>
        </w:rPr>
        <w:t>取</w:t>
      </w:r>
      <w:r>
        <w:rPr>
          <w:rFonts w:ascii="宋体" w:hAnsi="宋体" w:cs="宋体"/>
          <w:kern w:val="0"/>
          <w:szCs w:val="21"/>
        </w:rPr>
        <w:t>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例：假设本基金前一日基金资产净值为</w:t>
      </w:r>
      <w:r>
        <w:rPr>
          <w:rFonts w:ascii="宋体" w:hAnsi="宋体" w:cs="宋体"/>
          <w:kern w:val="0"/>
          <w:szCs w:val="21"/>
        </w:rPr>
        <w:t>10</w:t>
      </w:r>
      <w:r>
        <w:rPr>
          <w:rFonts w:ascii="宋体" w:hAnsi="宋体" w:cs="宋体"/>
          <w:kern w:val="0"/>
          <w:szCs w:val="21"/>
        </w:rPr>
        <w:t>亿元，其中所持有的本基金托管人托管的其他基金所对应的基金资产净值为</w:t>
      </w:r>
      <w:r>
        <w:rPr>
          <w:rFonts w:ascii="宋体" w:hAnsi="宋体" w:cs="宋体"/>
          <w:kern w:val="0"/>
          <w:szCs w:val="21"/>
        </w:rPr>
        <w:t>1</w:t>
      </w:r>
      <w:r>
        <w:rPr>
          <w:rFonts w:ascii="宋体" w:hAnsi="宋体" w:cs="宋体"/>
          <w:kern w:val="0"/>
          <w:szCs w:val="21"/>
        </w:rPr>
        <w:t>亿元，本基金托管费率为</w:t>
      </w:r>
      <w:r>
        <w:rPr>
          <w:rFonts w:ascii="宋体" w:hAnsi="宋体" w:cs="宋体"/>
          <w:kern w:val="0"/>
          <w:szCs w:val="21"/>
        </w:rPr>
        <w:t>0.15%</w:t>
      </w:r>
      <w:r>
        <w:rPr>
          <w:rFonts w:ascii="宋体" w:hAnsi="宋体" w:cs="宋体"/>
          <w:kern w:val="0"/>
          <w:szCs w:val="21"/>
        </w:rPr>
        <w:t>，当年天数为</w:t>
      </w:r>
      <w:r>
        <w:rPr>
          <w:rFonts w:ascii="宋体" w:hAnsi="宋体" w:cs="宋体"/>
          <w:kern w:val="0"/>
          <w:szCs w:val="21"/>
        </w:rPr>
        <w:t>365</w:t>
      </w:r>
      <w:r>
        <w:rPr>
          <w:rFonts w:ascii="宋体" w:hAnsi="宋体" w:cs="宋体"/>
          <w:kern w:val="0"/>
          <w:szCs w:val="21"/>
        </w:rPr>
        <w:t>天，</w:t>
      </w:r>
      <w:r>
        <w:rPr>
          <w:rFonts w:ascii="宋体" w:hAnsi="宋体" w:cs="宋体"/>
          <w:kern w:val="0"/>
          <w:szCs w:val="21"/>
        </w:rPr>
        <w:lastRenderedPageBreak/>
        <w:t>则本基金当日应计提的托管费为：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当日应计提的托管费</w:t>
      </w:r>
      <w:r>
        <w:rPr>
          <w:rFonts w:ascii="宋体" w:hAnsi="宋体" w:cs="宋体"/>
          <w:kern w:val="0"/>
          <w:szCs w:val="21"/>
        </w:rPr>
        <w:t>=</w:t>
      </w:r>
      <w:r>
        <w:rPr>
          <w:rFonts w:ascii="宋体" w:hAnsi="宋体" w:cs="宋体"/>
          <w:kern w:val="0"/>
          <w:szCs w:val="21"/>
        </w:rPr>
        <w:t>（</w:t>
      </w:r>
      <w:r>
        <w:rPr>
          <w:rFonts w:ascii="宋体" w:hAnsi="宋体" w:cs="宋体"/>
          <w:kern w:val="0"/>
          <w:szCs w:val="21"/>
        </w:rPr>
        <w:t>1,000,000,000.00-100,000,000.00</w:t>
      </w:r>
      <w:r>
        <w:rPr>
          <w:rFonts w:ascii="宋体" w:hAnsi="宋体" w:cs="宋体"/>
          <w:kern w:val="0"/>
          <w:szCs w:val="21"/>
        </w:rPr>
        <w:t>）</w:t>
      </w:r>
      <w:r>
        <w:rPr>
          <w:rFonts w:ascii="宋体" w:hAnsi="宋体" w:cs="宋体"/>
          <w:kern w:val="0"/>
          <w:szCs w:val="21"/>
        </w:rPr>
        <w:t>×0.15%÷365=3,698.63</w:t>
      </w:r>
      <w:r>
        <w:rPr>
          <w:rFonts w:ascii="宋体" w:hAnsi="宋体" w:cs="宋体"/>
          <w:kern w:val="0"/>
          <w:szCs w:val="21"/>
        </w:rPr>
        <w:t>元</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）通过场内交易其他基金产生</w:t>
      </w:r>
      <w:r>
        <w:rPr>
          <w:rFonts w:ascii="宋体" w:hAnsi="宋体" w:cs="宋体"/>
          <w:kern w:val="0"/>
          <w:szCs w:val="21"/>
        </w:rPr>
        <w:t>的交易费用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本基金通过场内进行交易其他基金时，所产生的相关交易费用按相关交易所和证券经纪公司的规则和费率标准处理，从本基金财产中列支。</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）按照国家有关规定和《基金合同》约定，可以在所持基金的基金财产中列支的其他费用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按照国家有关规定和《基金合同》约定，可以在所持基金的基金财产中列支的其他费用，按费用实际支出金额列入或摊入当期费用，由该基金的基金份额持有人共同承担。</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、所持基金产生的费用的调整</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如果本基金所持的其他基金收取的相关基金费用发生变更的，或法律法规或监管部门对基金中基金支付所持基金相关基金费用</w:t>
      </w:r>
      <w:r>
        <w:rPr>
          <w:rFonts w:ascii="宋体" w:hAnsi="宋体" w:cs="宋体"/>
          <w:kern w:val="0"/>
          <w:szCs w:val="21"/>
        </w:rPr>
        <w:t>的规则发生变更的，即以变更后的规定为准，无需召开基金份额持有人大会。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（三）本基金持有的其他基金的重大事件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本基金应在定期报告和更新的招募说明书中披露所持其他基金发生的重大事件，包括但不限于发生转换运作方式、与其他基金合并、终止基金合同或召开基金份额持有人大会等情况。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（四）关联基金的投资情况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本基金投资本基金管理人及其关联方所管理的基金的，应在定期报告和更新的招募说明书中披露相关基金的投资情况。</w:t>
      </w:r>
      <w:r>
        <w:rPr>
          <w:rFonts w:ascii="宋体" w:hAnsi="宋体" w:cs="宋体"/>
          <w:kern w:val="0"/>
          <w:szCs w:val="21"/>
        </w:rPr>
        <w:br w:type="page"/>
      </w:r>
    </w:p>
    <w:p w:rsidR="00796C66" w:rsidRDefault="00FB6202">
      <w:pPr>
        <w:pStyle w:val="ae"/>
        <w:outlineLvl w:val="0"/>
      </w:pPr>
      <w:bookmarkStart w:id="19" w:name="_Toc256000018"/>
      <w:r>
        <w:rPr>
          <w:noProof/>
        </w:rPr>
        <w:lastRenderedPageBreak/>
        <w:t>十八</w:t>
      </w:r>
      <w:r>
        <w:rPr>
          <w:rStyle w:val="Char5"/>
          <w:b/>
          <w:bCs/>
          <w:noProof/>
        </w:rPr>
        <w:t>、</w:t>
      </w:r>
      <w:r>
        <w:rPr>
          <w:noProof/>
        </w:rPr>
        <w:t>侧袋机制</w:t>
      </w:r>
      <w:bookmarkEnd w:id="19"/>
    </w:p>
    <w:p w:rsidR="00796C66" w:rsidRDefault="00FB6202">
      <w:pPr>
        <w:pStyle w:val="div"/>
        <w:spacing w:line="360" w:lineRule="auto"/>
        <w:ind w:firstLine="480"/>
        <w:rPr>
          <w:rFonts w:eastAsia="Times New Roman"/>
          <w:kern w:val="0"/>
          <w:szCs w:val="21"/>
        </w:rPr>
      </w:pPr>
      <w:r>
        <w:rPr>
          <w:rFonts w:ascii="宋体" w:hAnsi="宋体" w:cs="宋体"/>
          <w:kern w:val="0"/>
          <w:szCs w:val="21"/>
        </w:rPr>
        <w:t>（一）侧袋机制的实施条件、实施程序和特定资产范围</w:t>
      </w:r>
    </w:p>
    <w:p w:rsidR="00796C66" w:rsidRDefault="00FB6202">
      <w:pPr>
        <w:pStyle w:val="div"/>
        <w:spacing w:line="360" w:lineRule="auto"/>
        <w:ind w:firstLine="480"/>
        <w:rPr>
          <w:rFonts w:eastAsia="Times New Roman"/>
          <w:kern w:val="0"/>
          <w:szCs w:val="21"/>
        </w:rPr>
      </w:pPr>
      <w:r>
        <w:rPr>
          <w:rFonts w:ascii="宋体" w:hAnsi="宋体" w:cs="宋体"/>
          <w:kern w:val="0"/>
          <w:szCs w:val="21"/>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基金管理人应当在启用侧袋机制当日报中国证监会及公司所在地中国证监会派出机构备案。</w:t>
      </w:r>
    </w:p>
    <w:p w:rsidR="00796C66" w:rsidRDefault="00FB6202">
      <w:pPr>
        <w:pStyle w:val="div"/>
        <w:spacing w:line="360" w:lineRule="auto"/>
        <w:ind w:firstLine="480"/>
        <w:rPr>
          <w:rFonts w:eastAsia="Times New Roman"/>
          <w:kern w:val="0"/>
          <w:szCs w:val="21"/>
        </w:rPr>
      </w:pPr>
      <w:r>
        <w:rPr>
          <w:rFonts w:ascii="宋体" w:hAnsi="宋体" w:cs="宋体"/>
          <w:kern w:val="0"/>
          <w:szCs w:val="21"/>
        </w:rPr>
        <w:t>特定资产包括：（</w:t>
      </w:r>
      <w:r>
        <w:rPr>
          <w:rFonts w:ascii="宋体" w:hAnsi="宋体" w:cs="宋体"/>
          <w:kern w:val="0"/>
          <w:szCs w:val="21"/>
        </w:rPr>
        <w:t>1</w:t>
      </w:r>
      <w:r>
        <w:rPr>
          <w:rFonts w:ascii="宋体" w:hAnsi="宋体" w:cs="宋体"/>
          <w:kern w:val="0"/>
          <w:szCs w:val="21"/>
        </w:rPr>
        <w:t>）无可参考的活跃市场价格且采用估值技术仍导致公允价值存在重大不确定性的资产；（</w:t>
      </w:r>
      <w:r>
        <w:rPr>
          <w:rFonts w:ascii="宋体" w:hAnsi="宋体" w:cs="宋体"/>
          <w:kern w:val="0"/>
          <w:szCs w:val="21"/>
        </w:rPr>
        <w:t>2</w:t>
      </w:r>
      <w:r>
        <w:rPr>
          <w:rFonts w:ascii="宋体" w:hAnsi="宋体" w:cs="宋体"/>
          <w:kern w:val="0"/>
          <w:szCs w:val="21"/>
        </w:rPr>
        <w:t>）按摊余成本计量且计提资产减值准备仍导致资产价值存在重大不确定性的资产；（</w:t>
      </w:r>
      <w:r>
        <w:rPr>
          <w:rFonts w:ascii="宋体" w:hAnsi="宋体" w:cs="宋体"/>
          <w:kern w:val="0"/>
          <w:szCs w:val="21"/>
        </w:rPr>
        <w:t>3</w:t>
      </w:r>
      <w:r>
        <w:rPr>
          <w:rFonts w:ascii="宋体" w:hAnsi="宋体" w:cs="宋体"/>
          <w:kern w:val="0"/>
          <w:szCs w:val="21"/>
        </w:rPr>
        <w:t>）其他资产价值存在重大不确定性的资</w:t>
      </w:r>
      <w:r>
        <w:rPr>
          <w:rFonts w:ascii="宋体" w:hAnsi="宋体" w:cs="宋体"/>
          <w:kern w:val="0"/>
          <w:szCs w:val="21"/>
        </w:rPr>
        <w:t>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（二）侧袋机制实施期间的基金运作安排</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、基金份额的申购与赎回</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）侧袋账户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侧袋机制实施期间，基金管理人不办理侧袋账户的申购、赎回和转换。基金份额持有人申请申购、赎回或转换侧袋账户基金份额的，该申购、赎回或转换申请将被拒绝。</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）主袋账户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基金管理人将依法保障主袋账户份额持有人享有基金合同约定的赎回权利，并根据主袋账户运作情况合理确定申购事项，具体事项届时将由基金管理人在相关公告中规定。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）当特定资产占前一估值日基金资产净值</w:t>
      </w:r>
      <w:r>
        <w:rPr>
          <w:rFonts w:ascii="宋体" w:hAnsi="宋体" w:cs="宋体"/>
          <w:kern w:val="0"/>
          <w:szCs w:val="21"/>
        </w:rPr>
        <w:t>50%</w:t>
      </w:r>
      <w:r>
        <w:rPr>
          <w:rFonts w:ascii="宋体" w:hAnsi="宋体" w:cs="宋体"/>
          <w:kern w:val="0"/>
          <w:szCs w:val="21"/>
        </w:rPr>
        <w:t>以上的，经与基金托管人协商确认后，基金管理人应当暂停基金估值</w:t>
      </w:r>
      <w:r>
        <w:rPr>
          <w:rFonts w:ascii="宋体" w:hAnsi="宋体" w:cs="宋体"/>
          <w:kern w:val="0"/>
          <w:szCs w:val="21"/>
        </w:rPr>
        <w:t>，并暂停接受基金申购赎回申请或延缓支付赎回款项。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对于启用侧袋机制当日收到的赎回申请，基金管理人仅办理主袋账户的赎回申请并支付赎回款项。在启用侧袋机制当日收到的申购申请，视为投资者对侧袋机制启用后的主袋账户提交的申购申请。</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、基金份额的登记</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侧袋机制实施期间，基金管理人应对侧袋账户份额实行独立管理，主袋账户沿用原基金代码，侧袋账户使用独立的基金代码。侧袋账户份额的名称以</w:t>
      </w:r>
      <w:r>
        <w:rPr>
          <w:rFonts w:ascii="宋体" w:hAnsi="宋体" w:cs="宋体"/>
          <w:kern w:val="0"/>
          <w:szCs w:val="21"/>
        </w:rPr>
        <w:t>“</w:t>
      </w:r>
      <w:r>
        <w:rPr>
          <w:rFonts w:ascii="宋体" w:hAnsi="宋体" w:cs="宋体"/>
          <w:kern w:val="0"/>
          <w:szCs w:val="21"/>
        </w:rPr>
        <w:t>基金简称</w:t>
      </w:r>
      <w:r>
        <w:rPr>
          <w:rFonts w:ascii="宋体" w:hAnsi="宋体" w:cs="宋体"/>
          <w:kern w:val="0"/>
          <w:szCs w:val="21"/>
        </w:rPr>
        <w:t>+</w:t>
      </w:r>
      <w:r>
        <w:rPr>
          <w:rFonts w:ascii="宋体" w:hAnsi="宋体" w:cs="宋体"/>
          <w:kern w:val="0"/>
          <w:szCs w:val="21"/>
        </w:rPr>
        <w:t>侧袋标识</w:t>
      </w:r>
      <w:r>
        <w:rPr>
          <w:rFonts w:ascii="宋体" w:hAnsi="宋体" w:cs="宋体"/>
          <w:kern w:val="0"/>
          <w:szCs w:val="21"/>
        </w:rPr>
        <w:t>S+</w:t>
      </w:r>
      <w:r>
        <w:rPr>
          <w:rFonts w:ascii="宋体" w:hAnsi="宋体" w:cs="宋体"/>
          <w:kern w:val="0"/>
          <w:szCs w:val="21"/>
        </w:rPr>
        <w:t>侧袋账户建立日期</w:t>
      </w:r>
      <w:r>
        <w:rPr>
          <w:rFonts w:ascii="宋体" w:hAnsi="宋体" w:cs="宋体"/>
          <w:kern w:val="0"/>
          <w:szCs w:val="21"/>
        </w:rPr>
        <w:t>”</w:t>
      </w:r>
      <w:r>
        <w:rPr>
          <w:rFonts w:ascii="宋体" w:hAnsi="宋体" w:cs="宋体"/>
          <w:kern w:val="0"/>
          <w:szCs w:val="21"/>
        </w:rPr>
        <w:t>格式设定，同时主袋账户份额的名称增加大写字母</w:t>
      </w:r>
      <w:r>
        <w:rPr>
          <w:rFonts w:ascii="宋体" w:hAnsi="宋体" w:cs="宋体"/>
          <w:kern w:val="0"/>
          <w:szCs w:val="21"/>
        </w:rPr>
        <w:t>M</w:t>
      </w:r>
      <w:r>
        <w:rPr>
          <w:rFonts w:ascii="宋体" w:hAnsi="宋体" w:cs="宋体"/>
          <w:kern w:val="0"/>
          <w:szCs w:val="21"/>
        </w:rPr>
        <w:t>标识作为后缀。基金所有侧袋账户注销后，将取消主袋账</w:t>
      </w:r>
      <w:r>
        <w:rPr>
          <w:rFonts w:ascii="宋体" w:hAnsi="宋体" w:cs="宋体"/>
          <w:kern w:val="0"/>
          <w:szCs w:val="21"/>
        </w:rPr>
        <w:t>户份额名称中的</w:t>
      </w:r>
      <w:r>
        <w:rPr>
          <w:rFonts w:ascii="宋体" w:hAnsi="宋体" w:cs="宋体"/>
          <w:kern w:val="0"/>
          <w:szCs w:val="21"/>
        </w:rPr>
        <w:t>M</w:t>
      </w:r>
      <w:r>
        <w:rPr>
          <w:rFonts w:ascii="宋体" w:hAnsi="宋体" w:cs="宋体"/>
          <w:kern w:val="0"/>
          <w:szCs w:val="21"/>
        </w:rPr>
        <w:t>标识。</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启用侧袋机制当日，基金管理人和基金登记机构应以基金份额持有人的原有账户份额为基础，确认相应侧袋账户持有人名册和份额。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侧袋账户资产完全清算后，基金管理人将注销侧袋账户。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、基金的投资及业绩</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侧袋机制实施期间，本基金的各项投资运作指标和基金业绩指标应当以主袋账户资产为基准。基金管理人不得在侧袋账户中进行除特定资产处置变现以外的其他投资操作。</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基金管理人、相关服务机构在展示基金业绩时，应当就前述情况进行充分的解释说明，</w:t>
      </w:r>
      <w:r>
        <w:rPr>
          <w:rFonts w:ascii="宋体" w:hAnsi="宋体" w:cs="宋体"/>
          <w:kern w:val="0"/>
          <w:szCs w:val="21"/>
        </w:rPr>
        <w:lastRenderedPageBreak/>
        <w:t>避免引起投资者误解。</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基金管理人原则上应当在侧袋机制启用后</w:t>
      </w:r>
      <w:r>
        <w:rPr>
          <w:rFonts w:ascii="宋体" w:hAnsi="宋体" w:cs="宋体"/>
          <w:kern w:val="0"/>
          <w:szCs w:val="21"/>
        </w:rPr>
        <w:t>20</w:t>
      </w:r>
      <w:r>
        <w:rPr>
          <w:rFonts w:ascii="宋体" w:hAnsi="宋体" w:cs="宋体"/>
          <w:kern w:val="0"/>
          <w:szCs w:val="21"/>
        </w:rPr>
        <w:t>个交易</w:t>
      </w:r>
      <w:r>
        <w:rPr>
          <w:rFonts w:ascii="宋体" w:hAnsi="宋体" w:cs="宋体"/>
          <w:kern w:val="0"/>
          <w:szCs w:val="21"/>
        </w:rPr>
        <w:t>日内完成对主袋账户投资组合的调整，但因资产流动性受限等中国证监会规定的情形除外。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、基金的估值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启用当日，基金管理人以完成日终估值后的基金净资产为基数对主袋账户和侧袋账户的资产进行分割，与特定资产可明确对应的资产类科目余额、除应交税费外的负债类科目余额一并纳入侧袋账户。基金管理人应将特定资产作为一个整体，不能仅分割其公允价值无法确定的部分。</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侧袋机制实施期间，基金管理人将对侧袋账户单独设置账套，实行独立核算。如果本基金同时存在多个侧袋账户，不同侧袋账户分开进行核算。侧袋账户的会计核算应符合《企业会计准则》的相关要求。</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、基金的费用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侧袋机制实施期间，侧袋账户资产不收取管理费。因启用侧袋机制产生的咨询、审计费用等由基金管理人承担。</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基金管理人可以待侧袋账户资产变现后将与处置侧袋账户资产相关的费用从侧袋账户中列支。</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、基金的收益分配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侧袋机制实施期间，在主袋账户份额满足基金合同收益分配条件的情形下，基金管理人可对主袋账户份额进行收益分配。侧袋账户不进行收益分配。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t>7</w:t>
      </w:r>
      <w:r>
        <w:rPr>
          <w:rFonts w:ascii="宋体" w:hAnsi="宋体" w:cs="宋体"/>
          <w:kern w:val="0"/>
          <w:szCs w:val="21"/>
        </w:rPr>
        <w:t>、基金的信息披露</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）基金净值信息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侧袋机制实施期间，基金管理人应当暂停披露侧袋账户的基金份额净值和基金份额累计净值。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）定期报告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侧袋机制实施期间，基金定期报告中的基金会计报表仅需针对主袋账户进行编制。侧袋账户相关信息在定期报告中单独进行披露，包括但不限于：</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）侧袋账户的基金代码、基金名称、侧袋账户成立日期等基本信息；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）侧袋账户的初始资产、初始负债；</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）特定资</w:t>
      </w:r>
      <w:r>
        <w:rPr>
          <w:rFonts w:ascii="宋体" w:hAnsi="宋体" w:cs="宋体"/>
          <w:kern w:val="0"/>
          <w:szCs w:val="21"/>
        </w:rPr>
        <w:t>产的名称、代码、发行人等基本信息；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）报告期内的特定资产处置进展情况、与处置特定资产相关的费用情况及其他与特定资产状况相关的信息；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）可根据特定资产处置进展情况披露特定资产的可变现净值或净值参考区间，该净值或净值区间并不代表特定资产最终的变现价格，不作为基金管理人对特定资产最终变现价格的承诺；</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6</w:t>
      </w:r>
      <w:r>
        <w:rPr>
          <w:rFonts w:ascii="宋体" w:hAnsi="宋体" w:cs="宋体"/>
          <w:kern w:val="0"/>
          <w:szCs w:val="21"/>
        </w:rPr>
        <w:t>）可能对投资者利益存在重大影响的其他情况及相关风险提示。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）临时报告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基金管理人在启用侧袋机制、处置特定资产、终止侧袋机制以及发生其他可能对投资者利益产生重大影响的事项后应及时发布临时公告。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启用侧袋机制的</w:t>
      </w:r>
      <w:r>
        <w:rPr>
          <w:rFonts w:ascii="宋体" w:hAnsi="宋体" w:cs="宋体"/>
          <w:kern w:val="0"/>
          <w:szCs w:val="21"/>
        </w:rPr>
        <w:t>临时公告内容应当包括启用原因及程序、特定资产流动性和估值情况、对投资者申购赎回的影响、风险提示等重要信息。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处置特定资产的临时公告内容应当包括特定资产处置价格和时间、向侧袋账户份额持有人支付的款项、相关费用发生情况等重要信息。侧袋机制实施期间，若侧袋账户资产无法一次性完成处置变现，基金管理人在每次处置变现后均应按规定及时发布临时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8</w:t>
      </w:r>
      <w:r>
        <w:rPr>
          <w:rFonts w:ascii="宋体" w:hAnsi="宋体" w:cs="宋体"/>
          <w:kern w:val="0"/>
          <w:szCs w:val="21"/>
        </w:rPr>
        <w:t>、特定资产处置清算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基金管理人将按照基金份额持有人利益最大化原则制定变现方案，将侧袋资产处置变现。无论侧袋账户资产是否全部完成变现，基金管理人都应及时向侧袋账户对应的基金份</w:t>
      </w:r>
      <w:r>
        <w:rPr>
          <w:rFonts w:ascii="宋体" w:hAnsi="宋体" w:cs="宋体"/>
          <w:kern w:val="0"/>
          <w:szCs w:val="21"/>
        </w:rPr>
        <w:t>额持有人支付已变现部分对应款项。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9</w:t>
      </w:r>
      <w:r>
        <w:rPr>
          <w:rFonts w:ascii="宋体" w:hAnsi="宋体" w:cs="宋体"/>
          <w:kern w:val="0"/>
          <w:szCs w:val="21"/>
        </w:rPr>
        <w:t>、侧袋的审计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基金管理人应当在启用侧袋机制和终止侧袋机制后，及时聘请符合《证券法》规定的会计师事务所进行审计并披露专项审计意见，具体如下：</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基金管理人应当在启用侧袋机制时，就特定资产认定的相关事宜取得符合《证券法》规定的会计师事务所的专业意见。</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启用侧袋机制后五个工作日内，聘请于侧袋机制启用日发表意见的会计师事务所针对侧袋机制启用日本基金持有的特定资产情况出具专项审计意见，内容应包含侧袋账户的初始资产、份额、净资产等信息。</w:t>
      </w:r>
    </w:p>
    <w:p w:rsidR="00796C66" w:rsidRDefault="00FB6202">
      <w:pPr>
        <w:pStyle w:val="div"/>
        <w:spacing w:line="360" w:lineRule="auto"/>
        <w:ind w:firstLine="480"/>
        <w:rPr>
          <w:rFonts w:eastAsia="Times New Roman"/>
          <w:kern w:val="0"/>
          <w:szCs w:val="21"/>
        </w:rPr>
      </w:pPr>
      <w:r>
        <w:rPr>
          <w:rFonts w:ascii="宋体" w:hAnsi="宋体" w:cs="宋体"/>
          <w:kern w:val="0"/>
          <w:szCs w:val="21"/>
        </w:rPr>
        <w:t>会计师事务所对基金年度报告进行审</w:t>
      </w:r>
      <w:r>
        <w:rPr>
          <w:rFonts w:ascii="宋体" w:hAnsi="宋体" w:cs="宋体"/>
          <w:kern w:val="0"/>
          <w:szCs w:val="21"/>
        </w:rPr>
        <w:t>计时，应对报告期间基金侧袋机制运行相关的会计核算和年报披露，执行适当程序并发表审计意见。</w:t>
      </w:r>
    </w:p>
    <w:p w:rsidR="00796C66" w:rsidRDefault="00FB6202">
      <w:pPr>
        <w:pStyle w:val="div"/>
        <w:spacing w:line="360" w:lineRule="auto"/>
        <w:ind w:firstLine="480"/>
        <w:rPr>
          <w:rFonts w:eastAsia="Times New Roman"/>
          <w:kern w:val="0"/>
          <w:szCs w:val="21"/>
        </w:rPr>
      </w:pPr>
      <w:r>
        <w:rPr>
          <w:rFonts w:ascii="宋体" w:hAnsi="宋体" w:cs="宋体"/>
          <w:kern w:val="0"/>
          <w:szCs w:val="21"/>
        </w:rPr>
        <w:t>当侧袋账户资产全部完成变现后，基金管理人应参照基金清算报告的相关要求，聘请符合《证券法》规定的会计师事务所对侧袋账户进行审计并披露专项审计意见。</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本部分关于侧袋机制的相关规定，凡是直接引用法律法规或监管规则的部分，如将来法律法规或监管规则修改导致相关内容被取消或变更的，基金管理人经与基金托管人协商一致并履行适当程序后，在对基金份额持有人利益无实质性不利影响的前提下，可直接对本部分内容进行修改和调整，无需召开基金份</w:t>
      </w:r>
      <w:r>
        <w:rPr>
          <w:rFonts w:ascii="宋体" w:hAnsi="宋体" w:cs="宋体"/>
          <w:kern w:val="0"/>
          <w:szCs w:val="21"/>
        </w:rPr>
        <w:t>额持有人大会审议。</w:t>
      </w:r>
      <w:r>
        <w:rPr>
          <w:rFonts w:ascii="宋体" w:hAnsi="宋体" w:cs="宋体"/>
          <w:kern w:val="0"/>
          <w:szCs w:val="21"/>
        </w:rPr>
        <w:br w:type="page"/>
      </w:r>
    </w:p>
    <w:p w:rsidR="00796C66" w:rsidRDefault="00FB6202">
      <w:pPr>
        <w:pStyle w:val="ae"/>
        <w:outlineLvl w:val="0"/>
      </w:pPr>
      <w:bookmarkStart w:id="20" w:name="_Toc256000019"/>
      <w:r>
        <w:rPr>
          <w:noProof/>
        </w:rPr>
        <w:lastRenderedPageBreak/>
        <w:t>十九</w:t>
      </w:r>
      <w:r>
        <w:rPr>
          <w:rStyle w:val="Char5"/>
          <w:b/>
          <w:bCs/>
          <w:noProof/>
        </w:rPr>
        <w:t>、</w:t>
      </w:r>
      <w:r>
        <w:rPr>
          <w:noProof/>
        </w:rPr>
        <w:t>风险揭示</w:t>
      </w:r>
      <w:bookmarkEnd w:id="20"/>
    </w:p>
    <w:p w:rsidR="00796C66" w:rsidRDefault="00FB6202">
      <w:pPr>
        <w:pStyle w:val="div"/>
        <w:spacing w:line="360" w:lineRule="auto"/>
        <w:ind w:firstLine="420"/>
        <w:rPr>
          <w:rFonts w:eastAsia="Times New Roman"/>
          <w:kern w:val="0"/>
          <w:szCs w:val="21"/>
        </w:rPr>
      </w:pPr>
      <w:r>
        <w:rPr>
          <w:rFonts w:ascii="宋体" w:hAnsi="宋体" w:cs="宋体"/>
          <w:kern w:val="0"/>
          <w:szCs w:val="21"/>
        </w:rPr>
        <w:t>（一）投资于本基金的主要风险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基金风险表现为基金收益的波动，基金管理过程中任何影响基金收益的因素都是基金风险的来源。作为代理基金投资人进行投资的工具，科学严谨的风险管理对于基金投资管理成功与否至关重要。因此在基金管理过程中，对风险的识别、评估和控制应贯穿基金投资管理的全过程。基金的风险按来源可以分为市场风险、管理风险、流动性风险、本基金特有的风险、投资策略风险和其他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1</w:t>
      </w:r>
      <w:r>
        <w:rPr>
          <w:rFonts w:ascii="宋体" w:hAnsi="宋体" w:cs="宋体"/>
          <w:kern w:val="0"/>
          <w:szCs w:val="21"/>
        </w:rPr>
        <w:t>、市场风险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金融资产价格受经济因素、政治因素、投资心理和交易制度等各种因素的影响，资产价格的变化导致基金收益水平变化，产生风险。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）政策风险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货币政策、财政政策、产业政策和证券市场监管政策等国家政策的变化对证券市场产生一定的影响，可能导致市场价格波动，从而影响基金收益。</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）利率风险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金融市场利率波动会导致股票市场价格及利息收益的变动，同时直接影响企业的融资成本和利润水平。基金投资于股票和债券，收益水平会受到利率变化的影响。</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）信用风险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基金在交易过程发生交收违约，或者基金所投资债券之发行人出现违约、拒绝支付</w:t>
      </w:r>
      <w:r>
        <w:rPr>
          <w:rFonts w:ascii="宋体" w:hAnsi="宋体" w:cs="宋体"/>
          <w:kern w:val="0"/>
          <w:szCs w:val="21"/>
        </w:rPr>
        <w:t>到期本息，或者公司信息披露不真实、不完整，都可能导致基金资产损失和收益变化。</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）通货膨胀风险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由于通货膨胀率提高，基金的实际投资价值会因此降低。</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）再投资风险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再投资风险反映了利率下降对固定收益证券和回购等利息收入再投资收益的影响。当利率下降时，基金从投资的固定收益证券和回购所得的利息收入进行再投资时，将获得比以前少的收益率。</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）法律风险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由于法律法规方面的原因，某些市场行为受到限制或合同不能正常执行，导致了基金资产损失的风险。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2</w:t>
      </w:r>
      <w:r>
        <w:rPr>
          <w:rFonts w:ascii="宋体" w:hAnsi="宋体" w:cs="宋体"/>
          <w:kern w:val="0"/>
          <w:szCs w:val="21"/>
        </w:rPr>
        <w:t>、管理风险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在基金管理运作过程中基金管理人的知识、经验、判断、决策、技能等，会影响其对信息的占有和对经济形势、证券价格走势的判断，从而影响基金收益水平。因此，本基金可能因为基金管理人的管理水平、管理手段和管理技术等因素影响基金收益水平。</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、流动性风险</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）本基金设置了基金份额持有人最短持有期限。基金份额持有人持有的每份基金</w:t>
      </w:r>
      <w:r>
        <w:rPr>
          <w:rFonts w:ascii="宋体" w:hAnsi="宋体" w:cs="宋体"/>
          <w:kern w:val="0"/>
          <w:szCs w:val="21"/>
        </w:rPr>
        <w:lastRenderedPageBreak/>
        <w:t>份额最短持有期限为</w:t>
      </w:r>
      <w:r>
        <w:rPr>
          <w:rFonts w:ascii="宋体" w:hAnsi="宋体" w:cs="宋体"/>
          <w:kern w:val="0"/>
          <w:szCs w:val="21"/>
        </w:rPr>
        <w:t>1</w:t>
      </w:r>
      <w:r>
        <w:rPr>
          <w:rFonts w:ascii="宋体" w:hAnsi="宋体" w:cs="宋体"/>
          <w:kern w:val="0"/>
          <w:szCs w:val="21"/>
        </w:rPr>
        <w:t>年，在最短持有期限内该份基金份额不可赎回，自最短持有期到期日起（含该日，如该对日不存在或为非工作日的，则顺延至下一工作日）可赎回。</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为切实保护存量基金份额持有人的合法权益，遵循</w:t>
      </w:r>
      <w:r>
        <w:rPr>
          <w:rFonts w:ascii="宋体" w:hAnsi="宋体" w:cs="宋体"/>
          <w:kern w:val="0"/>
          <w:szCs w:val="21"/>
        </w:rPr>
        <w:t>基金份额持有人利益优先原则，本基金管理人将合理控制基金份额持有人集中度，审慎确认申购赎回业务申请，如：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基金管理人基于投资运作与风险控制的需要，可采取上述措施对基金规模予以控制。具体请参见相关公告。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基金管理人提示投资人注意本基金的申购赎回安排和相应的流动性风险，合理安排投资计划。</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）拟投资市场、行业及</w:t>
      </w:r>
      <w:r>
        <w:rPr>
          <w:rFonts w:ascii="宋体" w:hAnsi="宋体" w:cs="宋体"/>
          <w:kern w:val="0"/>
          <w:szCs w:val="21"/>
        </w:rPr>
        <w:t>资产的流动性风险评估</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以投资公开募集证券投资基金为主，公开募集证券投资基金市场具有发展成熟、容量较大、流动性充裕的特征，能够满足本基金开放式运作的流动性要求。同时，本基金采用分散投资，针对单只基金设置投资比例上限，保障了资产组合的流动性。在极端市场行情下，存在基金管理人可能无法以合理价格及时变现或调整基金投资组合的风险。本基金管理人将发挥专业研究优势，加强对市场、各类基金产品的深入研究，持续优化组合配置，以控制流动性风险。</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基金管理人将密切关注各类资产及投资标的的交易活跃程度与价格的连续性情况，评估各</w:t>
      </w:r>
      <w:r>
        <w:rPr>
          <w:rFonts w:ascii="宋体" w:hAnsi="宋体" w:cs="宋体"/>
          <w:kern w:val="0"/>
          <w:szCs w:val="21"/>
        </w:rPr>
        <w:t>类资产及投资标的占基金资产的比例并进行动态调整，以满足基金运作过程中的流动性要求，应对流动性风险。</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）巨额赎回情形下的流动性风险管理措施</w:t>
      </w:r>
    </w:p>
    <w:p w:rsidR="00796C66" w:rsidRDefault="00FB6202">
      <w:pPr>
        <w:pStyle w:val="div"/>
        <w:spacing w:line="360" w:lineRule="auto"/>
        <w:ind w:firstLine="480"/>
        <w:rPr>
          <w:rFonts w:eastAsia="Times New Roman"/>
          <w:kern w:val="0"/>
          <w:szCs w:val="21"/>
        </w:rPr>
      </w:pPr>
      <w:r>
        <w:rPr>
          <w:rFonts w:ascii="宋体" w:hAnsi="宋体" w:cs="宋体"/>
          <w:kern w:val="0"/>
          <w:szCs w:val="21"/>
        </w:rPr>
        <w:t>当本基金出现巨额赎回情形时，基金管理人经内部决策，将运用多种流动性风险管理工具处理赎回申请，以应对流动性风险，保护基金份额持有人利益。具体措施详见招募说明书</w:t>
      </w:r>
      <w:r>
        <w:rPr>
          <w:rFonts w:ascii="宋体" w:hAnsi="宋体" w:cs="宋体"/>
          <w:kern w:val="0"/>
          <w:szCs w:val="21"/>
        </w:rPr>
        <w:t>“</w:t>
      </w:r>
      <w:r>
        <w:rPr>
          <w:rFonts w:ascii="宋体" w:hAnsi="宋体" w:cs="宋体"/>
          <w:kern w:val="0"/>
          <w:szCs w:val="21"/>
        </w:rPr>
        <w:t>八、基金份额的申购、赎回与转换</w:t>
      </w:r>
      <w:r>
        <w:rPr>
          <w:rFonts w:ascii="宋体" w:hAnsi="宋体" w:cs="宋体"/>
          <w:kern w:val="0"/>
          <w:szCs w:val="21"/>
        </w:rPr>
        <w:t>”</w:t>
      </w:r>
      <w:r>
        <w:rPr>
          <w:rFonts w:ascii="宋体" w:hAnsi="宋体" w:cs="宋体"/>
          <w:kern w:val="0"/>
          <w:szCs w:val="21"/>
        </w:rPr>
        <w:t>中</w:t>
      </w:r>
      <w:r>
        <w:rPr>
          <w:rFonts w:ascii="宋体" w:hAnsi="宋体" w:cs="宋体"/>
          <w:kern w:val="0"/>
          <w:szCs w:val="21"/>
        </w:rPr>
        <w:t>“</w:t>
      </w:r>
      <w:r>
        <w:rPr>
          <w:rFonts w:ascii="宋体" w:hAnsi="宋体" w:cs="宋体"/>
          <w:kern w:val="0"/>
          <w:szCs w:val="21"/>
        </w:rPr>
        <w:t>（十）巨额赎回的情形及处理方式</w:t>
      </w:r>
      <w:r>
        <w:rPr>
          <w:rFonts w:ascii="宋体" w:hAnsi="宋体" w:cs="宋体"/>
          <w:kern w:val="0"/>
          <w:szCs w:val="21"/>
        </w:rPr>
        <w:t>”</w:t>
      </w:r>
      <w:r>
        <w:rPr>
          <w:rFonts w:ascii="宋体" w:hAnsi="宋体" w:cs="宋体"/>
          <w:kern w:val="0"/>
          <w:szCs w:val="21"/>
        </w:rPr>
        <w:t>的相关内容。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）实施备用的流动性风险管理工具的情形、程序及对投资者的潜在影响</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本基金的备用流动性风险管理工具包括延期办理巨额赎回申请、暂停接受赎回申请、延缓支付赎回款项、暂停基金估值、摆动定价、启用侧袋机制等。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延期办理巨额赎回申请、暂停接受赎回申请、延缓支付赎回款项等工具的情形、程序见本招募说明书</w:t>
      </w:r>
      <w:r>
        <w:rPr>
          <w:rFonts w:ascii="宋体" w:hAnsi="宋体" w:cs="宋体"/>
          <w:kern w:val="0"/>
          <w:szCs w:val="21"/>
        </w:rPr>
        <w:t>“</w:t>
      </w:r>
      <w:r>
        <w:rPr>
          <w:rFonts w:ascii="宋体" w:hAnsi="宋体" w:cs="宋体"/>
          <w:kern w:val="0"/>
          <w:szCs w:val="21"/>
        </w:rPr>
        <w:t>八、基金份额的申购、赎回与转换</w:t>
      </w:r>
      <w:r>
        <w:rPr>
          <w:rFonts w:ascii="宋体" w:hAnsi="宋体" w:cs="宋体"/>
          <w:kern w:val="0"/>
          <w:szCs w:val="21"/>
        </w:rPr>
        <w:t>”</w:t>
      </w:r>
      <w:r>
        <w:rPr>
          <w:rFonts w:ascii="宋体" w:hAnsi="宋体" w:cs="宋体"/>
          <w:kern w:val="0"/>
          <w:szCs w:val="21"/>
        </w:rPr>
        <w:t>之</w:t>
      </w:r>
      <w:r>
        <w:rPr>
          <w:rFonts w:ascii="宋体" w:hAnsi="宋体" w:cs="宋体"/>
          <w:kern w:val="0"/>
          <w:szCs w:val="21"/>
        </w:rPr>
        <w:t>“</w:t>
      </w:r>
      <w:r>
        <w:rPr>
          <w:rFonts w:ascii="宋体" w:hAnsi="宋体" w:cs="宋体"/>
          <w:kern w:val="0"/>
          <w:szCs w:val="21"/>
        </w:rPr>
        <w:t>（九）暂停赎回或延缓支付赎回款项的情形</w:t>
      </w:r>
      <w:r>
        <w:rPr>
          <w:rFonts w:ascii="宋体" w:hAnsi="宋体" w:cs="宋体"/>
          <w:kern w:val="0"/>
          <w:szCs w:val="21"/>
        </w:rPr>
        <w:t>”</w:t>
      </w:r>
      <w:r>
        <w:rPr>
          <w:rFonts w:ascii="宋体" w:hAnsi="宋体" w:cs="宋体"/>
          <w:kern w:val="0"/>
          <w:szCs w:val="21"/>
        </w:rPr>
        <w:t>和</w:t>
      </w:r>
      <w:r>
        <w:rPr>
          <w:rFonts w:ascii="宋体" w:hAnsi="宋体" w:cs="宋体"/>
          <w:kern w:val="0"/>
          <w:szCs w:val="21"/>
        </w:rPr>
        <w:t>“</w:t>
      </w:r>
      <w:r>
        <w:rPr>
          <w:rFonts w:ascii="宋体" w:hAnsi="宋体" w:cs="宋体"/>
          <w:kern w:val="0"/>
          <w:szCs w:val="21"/>
        </w:rPr>
        <w:t>（十）巨额赎回的情形及处理方式</w:t>
      </w:r>
      <w:r>
        <w:rPr>
          <w:rFonts w:ascii="宋体" w:hAnsi="宋体" w:cs="宋体"/>
          <w:kern w:val="0"/>
          <w:szCs w:val="21"/>
        </w:rPr>
        <w:t>”</w:t>
      </w:r>
      <w:r>
        <w:rPr>
          <w:rFonts w:ascii="宋体" w:hAnsi="宋体" w:cs="宋体"/>
          <w:kern w:val="0"/>
          <w:szCs w:val="21"/>
        </w:rPr>
        <w:t>的相关规定。若本基金延期办理巨额赎回申请，投资者被延期办理的基金份额将面临基金份额净值波动的风险并对投资者资金安排形成影响。若本基金暂停接受赎回申请，投资者将面临无法赎回本基金</w:t>
      </w:r>
      <w:r>
        <w:rPr>
          <w:rFonts w:ascii="宋体" w:hAnsi="宋体" w:cs="宋体"/>
          <w:kern w:val="0"/>
          <w:szCs w:val="21"/>
        </w:rPr>
        <w:t>的风险。</w:t>
      </w:r>
      <w:r>
        <w:rPr>
          <w:rFonts w:ascii="宋体" w:hAnsi="宋体" w:cs="宋体"/>
          <w:kern w:val="0"/>
          <w:szCs w:val="21"/>
        </w:rPr>
        <w:lastRenderedPageBreak/>
        <w:t>若本基金延缓支付赎回款项，赎回款到账时间将延后，可能对投资者的资金安排带来不利影响。</w:t>
      </w:r>
    </w:p>
    <w:p w:rsidR="00796C66" w:rsidRDefault="00FB6202">
      <w:pPr>
        <w:pStyle w:val="div"/>
        <w:spacing w:line="360" w:lineRule="auto"/>
        <w:ind w:firstLine="480"/>
        <w:rPr>
          <w:rFonts w:eastAsia="Times New Roman"/>
          <w:kern w:val="0"/>
          <w:szCs w:val="21"/>
        </w:rPr>
      </w:pPr>
      <w:r>
        <w:rPr>
          <w:rFonts w:ascii="宋体" w:hAnsi="宋体" w:cs="宋体"/>
          <w:kern w:val="0"/>
          <w:szCs w:val="21"/>
        </w:rPr>
        <w:t>暂停基金估值适用于前一估值日基金资产净值</w:t>
      </w:r>
      <w:r>
        <w:rPr>
          <w:rFonts w:ascii="宋体" w:hAnsi="宋体" w:cs="宋体"/>
          <w:kern w:val="0"/>
          <w:szCs w:val="21"/>
        </w:rPr>
        <w:t>50%</w:t>
      </w:r>
      <w:r>
        <w:rPr>
          <w:rFonts w:ascii="宋体" w:hAnsi="宋体" w:cs="宋体"/>
          <w:kern w:val="0"/>
          <w:szCs w:val="21"/>
        </w:rPr>
        <w:t>以上的资产属于特定资产的情形，届时基金管理人与基金托管人协商确认后，将暂停基金估值，并采取延缓支付赎回款项或暂停接受基金申购赎回申请的措施。若本基金暂停基金估值，一方面投资者将无法获知该估值日的基金份额净值信息；另一方面基金将延缓支付赎回款项或暂停接受基金的申购赎回申请。延缓支付赎回款项可能影响投资者的资金安排，暂停接受基金申购赎回将导致投资者无法申购或者赎回本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当本基金发生大额申购或赎回情形时，基金管理人可以采用摆动定价机制，以确保基金估值的公平性。具体处理原则与操作规范遵循相关法律法规以及监管部门、自律规则的规定。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启用侧袋机制的具体措施，详见本招募说明书</w:t>
      </w:r>
      <w:r>
        <w:rPr>
          <w:rFonts w:ascii="宋体" w:hAnsi="宋体" w:cs="宋体"/>
          <w:kern w:val="0"/>
          <w:szCs w:val="21"/>
        </w:rPr>
        <w:t>“</w:t>
      </w:r>
      <w:r>
        <w:rPr>
          <w:rFonts w:ascii="宋体" w:hAnsi="宋体" w:cs="宋体"/>
          <w:kern w:val="0"/>
          <w:szCs w:val="21"/>
        </w:rPr>
        <w:t>十八、侧袋机制</w:t>
      </w:r>
      <w:r>
        <w:rPr>
          <w:rFonts w:ascii="宋体" w:hAnsi="宋体" w:cs="宋体"/>
          <w:kern w:val="0"/>
          <w:szCs w:val="21"/>
        </w:rPr>
        <w:t>”</w:t>
      </w:r>
      <w:r>
        <w:rPr>
          <w:rFonts w:ascii="宋体" w:hAnsi="宋体" w:cs="宋体"/>
          <w:kern w:val="0"/>
          <w:szCs w:val="21"/>
        </w:rPr>
        <w:t>的相关内容。若本基金启用侧袋机制，则实施侧袋机制期间，侧袋账户份额将停止披露基金净值信息，并不得办理申购、赎回和转换。因特定资产的变现时间具有不确定性，最终变现价格也具有不确定性并且有可能大幅低于启用侧袋机制时的特定资产的估值，基金份额持有人可能因此面临损失。</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、本基金特有的风险</w:t>
      </w:r>
      <w:r>
        <w:rPr>
          <w:rFonts w:ascii="宋体" w:hAnsi="宋体" w:cs="宋体"/>
          <w:kern w:val="0"/>
          <w:szCs w:val="21"/>
        </w:rPr>
        <w:t xml:space="preserve"> </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）投</w:t>
      </w:r>
      <w:r>
        <w:rPr>
          <w:rFonts w:ascii="宋体" w:hAnsi="宋体" w:cs="宋体"/>
          <w:kern w:val="0"/>
          <w:szCs w:val="21"/>
        </w:rPr>
        <w:t>资标的风险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本基金主要投资于经中国证监会依法核准或注册的公开募集证券投资基金，基金份额净值会由于所持基金份额净值的波动而波动，所持基金面临的风险也将直接或间接成为本基金的风险。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）基金承担费用比其他普通开放式基金高的风险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为基金中基金，基金资产主要投资于其他公开募集证券投资基金的基金份额，除了持有的本基金管理人管理的其他基金部分不收取管理费、持有本基金托管人托管的其他基金部分不收取托管费、申购本基金管理人管理的其他基金不收取申购费、赎回费（按照相关法律法规、被投资基金招募说明书约定应当收取，并计入</w:t>
      </w:r>
      <w:r>
        <w:rPr>
          <w:rFonts w:ascii="宋体" w:hAnsi="宋体" w:cs="宋体"/>
          <w:kern w:val="0"/>
          <w:szCs w:val="21"/>
        </w:rPr>
        <w:t>基金财产的赎回费用除外）、销售服务费外，基金中基金承担的相关基金费用可能比普通的开放式基金高。</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）赎回资金到账时间、估值、净值披露时间较晚的风险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本基金的赎回资金到账时间在一定程度上取决于卖出或赎回持有基金所得款项的到账时间，赎回资金到账时间较长，受此影响本基金的赎回资金到账时间可能会较晚。</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本基金持有其他公开募集证券投资基金，其估值须待持有的公开募集证券基金净值披露后方可进行，因此本基金的估值和净值披露时间较一般证券投资基金晚。</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）本基金自动终止的风险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基金合同生效后，出现连续</w:t>
      </w:r>
      <w:r>
        <w:rPr>
          <w:rFonts w:ascii="宋体" w:hAnsi="宋体" w:cs="宋体"/>
          <w:kern w:val="0"/>
          <w:szCs w:val="21"/>
        </w:rPr>
        <w:t>50</w:t>
      </w:r>
      <w:r>
        <w:rPr>
          <w:rFonts w:ascii="宋体" w:hAnsi="宋体" w:cs="宋体"/>
          <w:kern w:val="0"/>
          <w:szCs w:val="21"/>
        </w:rPr>
        <w:t>个工作日基金份额</w:t>
      </w:r>
      <w:r>
        <w:rPr>
          <w:rFonts w:ascii="宋体" w:hAnsi="宋体" w:cs="宋体"/>
          <w:kern w:val="0"/>
          <w:szCs w:val="21"/>
        </w:rPr>
        <w:t>持有人数量不满</w:t>
      </w:r>
      <w:r>
        <w:rPr>
          <w:rFonts w:ascii="宋体" w:hAnsi="宋体" w:cs="宋体"/>
          <w:kern w:val="0"/>
          <w:szCs w:val="21"/>
        </w:rPr>
        <w:t>200</w:t>
      </w:r>
      <w:r>
        <w:rPr>
          <w:rFonts w:ascii="宋体" w:hAnsi="宋体" w:cs="宋体"/>
          <w:kern w:val="0"/>
          <w:szCs w:val="21"/>
        </w:rPr>
        <w:t>人或者基金资产</w:t>
      </w:r>
      <w:r>
        <w:rPr>
          <w:rFonts w:ascii="宋体" w:hAnsi="宋体" w:cs="宋体"/>
          <w:kern w:val="0"/>
          <w:szCs w:val="21"/>
        </w:rPr>
        <w:lastRenderedPageBreak/>
        <w:t>净值低于</w:t>
      </w:r>
      <w:r>
        <w:rPr>
          <w:rFonts w:ascii="宋体" w:hAnsi="宋体" w:cs="宋体"/>
          <w:kern w:val="0"/>
          <w:szCs w:val="21"/>
        </w:rPr>
        <w:t>5000</w:t>
      </w:r>
      <w:r>
        <w:rPr>
          <w:rFonts w:ascii="宋体" w:hAnsi="宋体" w:cs="宋体"/>
          <w:kern w:val="0"/>
          <w:szCs w:val="21"/>
        </w:rPr>
        <w:t>万元情形的，本基金基金合同自动终止，无需召开基金份额持有人大会，因此投资者将面临基金合同可能提前终止的不确定性风险。</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、资产支持证券投资风险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投资资产支持证券，资产支持证券是一种债券性质的金融工具。资产支持证券的风险主要包括资产风险及证券化风险。资产风险源于资产本身，包括价格波动风险、流动性风险等。证券化风险主要表现为信用评级风险、法律风险等。</w:t>
      </w:r>
    </w:p>
    <w:p w:rsidR="00796C66" w:rsidRDefault="00FB6202">
      <w:pPr>
        <w:pStyle w:val="div"/>
        <w:spacing w:line="360" w:lineRule="auto"/>
        <w:ind w:firstLine="420"/>
        <w:rPr>
          <w:rFonts w:eastAsia="Times New Roman"/>
          <w:kern w:val="0"/>
          <w:szCs w:val="21"/>
        </w:rPr>
      </w:pPr>
      <w:r>
        <w:rPr>
          <w:rFonts w:ascii="宋体" w:hAnsi="宋体" w:cs="宋体"/>
          <w:kern w:val="0"/>
          <w:szCs w:val="21"/>
        </w:rPr>
        <w:t>6</w:t>
      </w:r>
      <w:r>
        <w:rPr>
          <w:rFonts w:ascii="宋体" w:hAnsi="宋体" w:cs="宋体"/>
          <w:kern w:val="0"/>
          <w:szCs w:val="21"/>
        </w:rPr>
        <w:t>、通过内地与香港股票市场交易互联互通机制投资于港股通标的股票的风险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本基金可根据投资策略需要或不同配置地</w:t>
      </w:r>
      <w:r>
        <w:rPr>
          <w:rFonts w:ascii="宋体" w:hAnsi="宋体" w:cs="宋体"/>
          <w:kern w:val="0"/>
          <w:szCs w:val="21"/>
        </w:rPr>
        <w:t>市场环境的变化，选择将部分基金资产投资于港股或选择不将基金资产投资于港股，基金资产并非必然投资港股。</w:t>
      </w:r>
      <w:r>
        <w:rPr>
          <w:rFonts w:ascii="宋体" w:hAnsi="宋体" w:cs="宋体"/>
          <w:kern w:val="0"/>
          <w:szCs w:val="21"/>
        </w:rPr>
        <w:t xml:space="preserve">  </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本基金的投资范围包括内地与香港股票市场交易互联互通机制允许买卖的港股通标的股票，除与其他投资于境内市场股票的基金所面临的共同风险外，本基金还将面临以下特有风险，包括但不限于：</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）投资于香港证券市场的特有风险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1</w:t>
      </w:r>
      <w:r>
        <w:rPr>
          <w:rFonts w:ascii="宋体" w:hAnsi="宋体" w:cs="宋体"/>
          <w:kern w:val="0"/>
          <w:szCs w:val="21"/>
        </w:rPr>
        <w:t>）香港证券市场与内地证券市场规则差异的风险。香港证券市场与内地证券市场存在诸多差异，本基金参与港股通交易需遵守内地与香港相关法律、行政法规、部门规章、规范性文件和业务规则，对香港证券市场有所了</w:t>
      </w:r>
      <w:r>
        <w:rPr>
          <w:rFonts w:ascii="宋体" w:hAnsi="宋体" w:cs="宋体"/>
          <w:kern w:val="0"/>
          <w:szCs w:val="21"/>
        </w:rPr>
        <w:t>解。以上情形可能增加本基金的投资风险。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2</w:t>
      </w:r>
      <w:r>
        <w:rPr>
          <w:rFonts w:ascii="宋体" w:hAnsi="宋体" w:cs="宋体"/>
          <w:kern w:val="0"/>
          <w:szCs w:val="21"/>
        </w:rPr>
        <w:t>）股价较大波动的风险。港股股票可能出现因公司基本面变化、第三方研究分析报告的观点、异常交易情形等原因引起股价较大波动。此外，港股市场实行</w:t>
      </w:r>
      <w:r>
        <w:rPr>
          <w:rFonts w:ascii="宋体" w:hAnsi="宋体" w:cs="宋体"/>
          <w:kern w:val="0"/>
          <w:szCs w:val="21"/>
        </w:rPr>
        <w:t xml:space="preserve"> T+0 </w:t>
      </w:r>
      <w:r>
        <w:rPr>
          <w:rFonts w:ascii="宋体" w:hAnsi="宋体" w:cs="宋体"/>
          <w:kern w:val="0"/>
          <w:szCs w:val="21"/>
        </w:rPr>
        <w:t>回转交易机制，且个股涨跌幅不设限制，加之香港市场结构性产品和衍生品种类相对丰富以及做空机制的存在，港股股价受到意外事件影响可能表现出更为剧烈的股价波动，由此增加本基金净值的波动风险。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3</w:t>
      </w:r>
      <w:r>
        <w:rPr>
          <w:rFonts w:ascii="宋体" w:hAnsi="宋体" w:cs="宋体"/>
          <w:kern w:val="0"/>
          <w:szCs w:val="21"/>
        </w:rPr>
        <w:t>）中小市值公司投资风险。中小市值公司存在业绩不稳定、股价波动性较大、市场流动性较差等风险，若本基金投资中小市值股票，本基金的投资风险可能增</w:t>
      </w:r>
      <w:r>
        <w:rPr>
          <w:rFonts w:ascii="宋体" w:hAnsi="宋体" w:cs="宋体"/>
          <w:kern w:val="0"/>
          <w:szCs w:val="21"/>
        </w:rPr>
        <w:t>加。</w:t>
      </w:r>
    </w:p>
    <w:p w:rsidR="00796C66" w:rsidRDefault="00FB6202">
      <w:pPr>
        <w:pStyle w:val="div"/>
        <w:spacing w:line="360" w:lineRule="auto"/>
        <w:ind w:firstLine="420"/>
        <w:rPr>
          <w:rFonts w:eastAsia="Times New Roman"/>
          <w:kern w:val="0"/>
          <w:szCs w:val="21"/>
        </w:rPr>
      </w:pPr>
      <w:r>
        <w:rPr>
          <w:rFonts w:ascii="宋体" w:hAnsi="宋体" w:cs="宋体"/>
          <w:kern w:val="0"/>
          <w:szCs w:val="21"/>
        </w:rPr>
        <w:t>4</w:t>
      </w:r>
      <w:r>
        <w:rPr>
          <w:rFonts w:ascii="宋体" w:hAnsi="宋体" w:cs="宋体"/>
          <w:kern w:val="0"/>
          <w:szCs w:val="21"/>
        </w:rPr>
        <w:t>）股份数量、股票面值大幅变化的风险。部分港股上市公司基本面变化大，股票价格低，可能存在大比例折价供股或配股、频繁分拆合并股份的行为，投资者持有的股份数量、股票面值可能发生大幅变化，由此可能增加本基金的投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5</w:t>
      </w:r>
      <w:r>
        <w:rPr>
          <w:rFonts w:ascii="宋体" w:hAnsi="宋体" w:cs="宋体"/>
          <w:kern w:val="0"/>
          <w:szCs w:val="21"/>
        </w:rPr>
        <w:t>）停牌风险。与内地市场相比，香港市场股票停牌制度存在一定差异，港股股票可能出现长时间停牌现象，由此可能增加本基金的投资风险。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6</w:t>
      </w:r>
      <w:r>
        <w:rPr>
          <w:rFonts w:ascii="宋体" w:hAnsi="宋体" w:cs="宋体"/>
          <w:kern w:val="0"/>
          <w:szCs w:val="21"/>
        </w:rPr>
        <w:t>）直接退市风险。与内地市场相比，香港市场股票交易没有退市风险警示、退市整理等安排，相关股票存在直接退市的风险。港股股票一旦退市，本基金将面临无法继续通过港股通买卖相关股票的风险。此外，港股通标的股票退市后，中国证券登记结算有限责任公司通过香港结算机构继续为本基金提供的退市股票名义持有人服务可能会受限。以上情况可能增加本基金的投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7</w:t>
      </w:r>
      <w:r>
        <w:rPr>
          <w:rFonts w:ascii="宋体" w:hAnsi="宋体" w:cs="宋体"/>
          <w:kern w:val="0"/>
          <w:szCs w:val="21"/>
        </w:rPr>
        <w:t>）交收制度带来的风险。香港证券市场与内地证券市场在证券资金的交收期安排上存</w:t>
      </w:r>
      <w:r>
        <w:rPr>
          <w:rFonts w:ascii="宋体" w:hAnsi="宋体" w:cs="宋体"/>
          <w:kern w:val="0"/>
          <w:szCs w:val="21"/>
        </w:rPr>
        <w:lastRenderedPageBreak/>
        <w:t>在差异，香港证券市场的交收期为</w:t>
      </w:r>
      <w:r>
        <w:rPr>
          <w:rFonts w:ascii="宋体" w:hAnsi="宋体" w:cs="宋体"/>
          <w:kern w:val="0"/>
          <w:szCs w:val="21"/>
        </w:rPr>
        <w:t>T+2</w:t>
      </w:r>
      <w:r>
        <w:rPr>
          <w:rFonts w:ascii="宋体" w:hAnsi="宋体" w:cs="宋体"/>
          <w:kern w:val="0"/>
          <w:szCs w:val="21"/>
        </w:rPr>
        <w:t>日，卖出资金回到本基金人民币账户的周期比内地证券市场要长，此</w:t>
      </w:r>
      <w:r>
        <w:rPr>
          <w:rFonts w:ascii="宋体" w:hAnsi="宋体" w:cs="宋体"/>
          <w:kern w:val="0"/>
          <w:szCs w:val="21"/>
        </w:rPr>
        <w:t>外港股的交收可能因香港出现台风或黑色暴雨等发生延迟交易。因此，本基金可能面临卖出港股后资金不能及时到账，而造成支付赎回款日期比正常情况延后而带来流动性风险。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）通过内地与香港股票市场交易互联互通机制投资的特有风险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1</w:t>
      </w:r>
      <w:r>
        <w:rPr>
          <w:rFonts w:ascii="宋体" w:hAnsi="宋体" w:cs="宋体"/>
          <w:kern w:val="0"/>
          <w:szCs w:val="21"/>
        </w:rPr>
        <w:t>）港股通规则变动带来的风险。本基金将通过内地与香港股票市场交易互联互通机制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rsidR="00796C66" w:rsidRDefault="00FB6202">
      <w:pPr>
        <w:pStyle w:val="div"/>
        <w:spacing w:line="360" w:lineRule="auto"/>
        <w:ind w:firstLine="420"/>
        <w:rPr>
          <w:rFonts w:eastAsia="Times New Roman"/>
          <w:kern w:val="0"/>
          <w:szCs w:val="21"/>
        </w:rPr>
      </w:pPr>
      <w:r>
        <w:rPr>
          <w:rFonts w:ascii="宋体" w:hAnsi="宋体" w:cs="宋体"/>
          <w:kern w:val="0"/>
          <w:szCs w:val="21"/>
        </w:rPr>
        <w:t>2</w:t>
      </w:r>
      <w:r>
        <w:rPr>
          <w:rFonts w:ascii="宋体" w:hAnsi="宋体" w:cs="宋体"/>
          <w:kern w:val="0"/>
          <w:szCs w:val="21"/>
        </w:rPr>
        <w:t>）港股通标的股票范围受限及动态调整的风险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本基金可以通过港股通买卖的股票存在一定的范围限制，且港股通标的股票名单会动态调整。对于被调出的港股通标的股票，自调整之日起，本基金将不得再行买入。以上情形可能对本基金带来</w:t>
      </w:r>
      <w:r>
        <w:rPr>
          <w:rFonts w:ascii="宋体" w:hAnsi="宋体" w:cs="宋体"/>
          <w:kern w:val="0"/>
          <w:szCs w:val="21"/>
        </w:rPr>
        <w:t>不利影响。</w:t>
      </w:r>
    </w:p>
    <w:p w:rsidR="00796C66" w:rsidRDefault="00FB6202">
      <w:pPr>
        <w:pStyle w:val="div"/>
        <w:spacing w:line="360" w:lineRule="auto"/>
        <w:ind w:firstLine="420"/>
        <w:rPr>
          <w:rFonts w:eastAsia="Times New Roman"/>
          <w:kern w:val="0"/>
          <w:szCs w:val="21"/>
        </w:rPr>
      </w:pPr>
      <w:r>
        <w:rPr>
          <w:rFonts w:ascii="宋体" w:hAnsi="宋体" w:cs="宋体"/>
          <w:kern w:val="0"/>
          <w:szCs w:val="21"/>
        </w:rPr>
        <w:t>3</w:t>
      </w:r>
      <w:r>
        <w:rPr>
          <w:rFonts w:ascii="宋体" w:hAnsi="宋体" w:cs="宋体"/>
          <w:kern w:val="0"/>
          <w:szCs w:val="21"/>
        </w:rPr>
        <w:t>）基金净值波动风险。在内地与香港股票市场交易互联互通机制下，只有内地和香港两地均为交易日且能够满足结算安排的交易日才为港股通交易日，存在港股通交易日不连贯的情形，而导致基金所持的港股组合在后续港股通交易日开市交易中集中体现市场反应而造成其价格波动骤然增大，进而导致本基金所持港股组合在资产估值上出现波动增大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4</w:t>
      </w:r>
      <w:r>
        <w:rPr>
          <w:rFonts w:ascii="宋体" w:hAnsi="宋体" w:cs="宋体"/>
          <w:kern w:val="0"/>
          <w:szCs w:val="21"/>
        </w:rPr>
        <w:t>）交易失败及交易中断的风险。在内地与香港股票市场交易互联互通机制下，港股通交易存在每日额度限制，本基金可能面临每日额度不足而交易失败的风险。若香港联交所与内地交易所的证券交易服务公</w:t>
      </w:r>
      <w:r>
        <w:rPr>
          <w:rFonts w:ascii="宋体" w:hAnsi="宋体" w:cs="宋体"/>
          <w:kern w:val="0"/>
          <w:szCs w:val="21"/>
        </w:rPr>
        <w:t>司之间的报盘系统或者通信链路出现故障，可能导致</w:t>
      </w:r>
      <w:r>
        <w:rPr>
          <w:rFonts w:ascii="宋体" w:hAnsi="宋体" w:cs="宋体"/>
          <w:kern w:val="0"/>
          <w:szCs w:val="21"/>
        </w:rPr>
        <w:t>15</w:t>
      </w:r>
      <w:r>
        <w:rPr>
          <w:rFonts w:ascii="宋体" w:hAnsi="宋体" w:cs="宋体"/>
          <w:kern w:val="0"/>
          <w:szCs w:val="21"/>
        </w:rPr>
        <w:t>分钟以上不能申报和撤销申报的交易中断风险。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5</w:t>
      </w:r>
      <w:r>
        <w:rPr>
          <w:rFonts w:ascii="宋体" w:hAnsi="宋体" w:cs="宋体"/>
          <w:kern w:val="0"/>
          <w:szCs w:val="21"/>
        </w:rPr>
        <w:t>）无法进行交易的风险。香港出现台风、黑色暴雨或者联交所规定的其他情形时，香港证券市场将可能停市，投资者将面临在停市期间无法进行港股交易的风险；出现内地证券交易服务公司认定的交易异常情况时，将可能暂停提供部分或者全部港股通服务，本基金将面临在暂停服务期间无法进行港股通交易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6</w:t>
      </w:r>
      <w:r>
        <w:rPr>
          <w:rFonts w:ascii="宋体" w:hAnsi="宋体" w:cs="宋体"/>
          <w:kern w:val="0"/>
          <w:szCs w:val="21"/>
        </w:rPr>
        <w:t>）汇率风险。在内地与香港股票市场交易互联互通机制下，港股的买卖是以港币报价、人民币支付，本基金承担港币对人民币汇率波动的风险；同时，由</w:t>
      </w:r>
      <w:r>
        <w:rPr>
          <w:rFonts w:ascii="宋体" w:hAnsi="宋体" w:cs="宋体"/>
          <w:kern w:val="0"/>
          <w:szCs w:val="21"/>
        </w:rPr>
        <w:t>于在交易时间内提交订单依据的港币买入参考汇率和卖出参考汇率，并不等于最终结算汇率，最终结算汇率为相关机构日终确定的数值。此外，若因汇率大幅波动等原因，可能会导致本基金的账户透支风险。因此，本基金面临汇率波动的不确定性风险，由此可能增加本基金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7</w:t>
      </w:r>
      <w:r>
        <w:rPr>
          <w:rFonts w:ascii="宋体" w:hAnsi="宋体" w:cs="宋体"/>
          <w:kern w:val="0"/>
          <w:szCs w:val="21"/>
        </w:rPr>
        <w:t>）交易价格受限的风险。港股通标的股票不设置涨跌幅限制，但根据联交所业务规则，适用市场波动调节机制的港股通标的股票的买卖申报可能受到价格限制。此外，对于适用收市竞价交易的港股通标的股票，收市竞价交易时段的买卖申报也将受到价格限制。以上</w:t>
      </w:r>
      <w:r>
        <w:rPr>
          <w:rFonts w:ascii="宋体" w:hAnsi="宋体" w:cs="宋体"/>
          <w:kern w:val="0"/>
          <w:szCs w:val="21"/>
        </w:rPr>
        <w:lastRenderedPageBreak/>
        <w:t>情形可能增加本基金的投资风险</w:t>
      </w:r>
      <w:r>
        <w:rPr>
          <w:rFonts w:ascii="宋体" w:hAnsi="宋体" w:cs="宋体"/>
          <w:kern w:val="0"/>
          <w:szCs w:val="21"/>
        </w:rPr>
        <w:t>。</w:t>
      </w:r>
    </w:p>
    <w:p w:rsidR="00796C66" w:rsidRDefault="00FB6202">
      <w:pPr>
        <w:pStyle w:val="div"/>
        <w:spacing w:line="360" w:lineRule="auto"/>
        <w:ind w:firstLine="420"/>
        <w:rPr>
          <w:rFonts w:eastAsia="Times New Roman"/>
          <w:kern w:val="0"/>
          <w:szCs w:val="21"/>
        </w:rPr>
      </w:pPr>
      <w:r>
        <w:rPr>
          <w:rFonts w:ascii="宋体" w:hAnsi="宋体" w:cs="宋体"/>
          <w:kern w:val="0"/>
          <w:szCs w:val="21"/>
        </w:rPr>
        <w:t>8</w:t>
      </w:r>
      <w:r>
        <w:rPr>
          <w:rFonts w:ascii="宋体" w:hAnsi="宋体" w:cs="宋体"/>
          <w:kern w:val="0"/>
          <w:szCs w:val="21"/>
        </w:rPr>
        <w:t>）港股通制度下对公司行为的处理规则带来的风险。本基金因所持香港证券市场股票权益分派、转换、上市公司被收购等情形或者异常情况，所取得的港股通标的股票以外的香港联交所上市证券，只能通过港股通卖出，但不得买入；因港股通标的股票权益分派或者转换等情形取得的香港联交所上市股票的认购权利在联交所上市的，可以通过港股通卖出，但不得行权；因港股通标的股票权益分派、转换或者上市公司被收购等所取得的非联交所上市证券，可以享有相关权益，但不得通过港股通买入或卖出。本基金存在因上述规则，利益得不到最大化甚至受损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9</w:t>
      </w:r>
      <w:r>
        <w:rPr>
          <w:rFonts w:ascii="宋体" w:hAnsi="宋体" w:cs="宋体"/>
          <w:kern w:val="0"/>
          <w:szCs w:val="21"/>
        </w:rPr>
        <w:t>）</w:t>
      </w:r>
      <w:r>
        <w:rPr>
          <w:rFonts w:ascii="宋体" w:hAnsi="宋体" w:cs="宋体"/>
          <w:kern w:val="0"/>
          <w:szCs w:val="21"/>
        </w:rPr>
        <w:t>结算风险。香港结算机构可能因极端情况存在无法交付证券和资金的结算风险；另外港股通境内结算实施分级结算原则，本基金可能面临以下风险：因结算参与人未完成与中国结算的集中交收，导致本基金应收资金或证券被暂不交付或处置；结算参与人对本基金出现交收违约导致本基金未能取得应收证券或资金；结算参与人向中国结算发送的有关本基金的证券划付指令有误的导致本基金权益受损；其他因结算参与人未遵守相关业务规则导致本基金利益受到损害的情况。</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）其他可能的风险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除上述风险外，本基金投资内地与香港股票市场交易互联互通机制允许买卖的香港</w:t>
      </w:r>
      <w:r>
        <w:rPr>
          <w:rFonts w:ascii="宋体" w:hAnsi="宋体" w:cs="宋体"/>
          <w:kern w:val="0"/>
          <w:szCs w:val="21"/>
        </w:rPr>
        <w:t>证券市场股票，还可能面临的其他风险，包括但不限于：</w:t>
      </w:r>
    </w:p>
    <w:p w:rsidR="00796C66" w:rsidRDefault="00FB6202">
      <w:pPr>
        <w:pStyle w:val="div"/>
        <w:spacing w:line="360" w:lineRule="auto"/>
        <w:ind w:firstLine="420"/>
        <w:rPr>
          <w:rFonts w:eastAsia="Times New Roman"/>
          <w:kern w:val="0"/>
          <w:szCs w:val="21"/>
        </w:rPr>
      </w:pPr>
      <w:r>
        <w:rPr>
          <w:rFonts w:ascii="宋体" w:hAnsi="宋体" w:cs="宋体"/>
          <w:kern w:val="0"/>
          <w:szCs w:val="21"/>
        </w:rPr>
        <w:t>1</w:t>
      </w:r>
      <w:r>
        <w:rPr>
          <w:rFonts w:ascii="宋体" w:hAnsi="宋体" w:cs="宋体"/>
          <w:kern w:val="0"/>
          <w:szCs w:val="21"/>
        </w:rPr>
        <w:t>）本基金的开放日为上海证券交易所、深圳证券交易所的交易日，但若该交易日为非港股通交易日，则本基金有权不开放申购和赎回，投资人将可能无法进行申购与赎回；</w:t>
      </w:r>
    </w:p>
    <w:p w:rsidR="00796C66" w:rsidRDefault="00FB6202">
      <w:pPr>
        <w:pStyle w:val="div"/>
        <w:spacing w:line="360" w:lineRule="auto"/>
        <w:ind w:firstLine="420"/>
        <w:rPr>
          <w:rFonts w:eastAsia="Times New Roman"/>
          <w:kern w:val="0"/>
          <w:szCs w:val="21"/>
        </w:rPr>
      </w:pPr>
      <w:r>
        <w:rPr>
          <w:rFonts w:ascii="宋体" w:hAnsi="宋体" w:cs="宋体"/>
          <w:kern w:val="0"/>
          <w:szCs w:val="21"/>
        </w:rPr>
        <w:t>2</w:t>
      </w:r>
      <w:r>
        <w:rPr>
          <w:rFonts w:ascii="宋体" w:hAnsi="宋体" w:cs="宋体"/>
          <w:kern w:val="0"/>
          <w:szCs w:val="21"/>
        </w:rPr>
        <w:t>）因港股通交易当日额度使用完毕而暂停或停止接受买入申报，或者发生证券交易服务公司等机构认定的交易异常情况并决定暂停提供部分或者全部港股通服务，或者发生其他影响通过股票市场交易互联互通机制进行正常交易的情形，本基金可能发生拒绝或暂停申购，暂停赎回或延缓支付赎回款的情形，可能影响投资人的申购以及份额持有人的</w:t>
      </w:r>
      <w:r>
        <w:rPr>
          <w:rFonts w:ascii="宋体" w:hAnsi="宋体" w:cs="宋体"/>
          <w:kern w:val="0"/>
          <w:szCs w:val="21"/>
        </w:rPr>
        <w:t>赎回。</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）本基金可根据投资策略需要或不同配置地市场环境的变化，选择将部分基金资产投资于港股或选择不将基金资产投资于港股，基金资产并非必然投资港股。</w:t>
      </w:r>
    </w:p>
    <w:p w:rsidR="00796C66" w:rsidRDefault="00FB6202">
      <w:pPr>
        <w:pStyle w:val="div"/>
        <w:spacing w:line="360" w:lineRule="auto"/>
        <w:ind w:firstLine="420"/>
        <w:rPr>
          <w:rFonts w:eastAsia="Times New Roman"/>
          <w:kern w:val="0"/>
          <w:szCs w:val="21"/>
        </w:rPr>
      </w:pPr>
      <w:r>
        <w:rPr>
          <w:rFonts w:ascii="宋体" w:hAnsi="宋体" w:cs="宋体"/>
          <w:kern w:val="0"/>
          <w:szCs w:val="21"/>
        </w:rPr>
        <w:t>7</w:t>
      </w:r>
      <w:r>
        <w:rPr>
          <w:rFonts w:ascii="宋体" w:hAnsi="宋体" w:cs="宋体"/>
          <w:kern w:val="0"/>
          <w:szCs w:val="21"/>
        </w:rPr>
        <w:t>、存托凭证投资风险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的投资范围包括存托凭证。存托凭证是新证券品种，本基金投资存托凭证在承担境内上市交易股票投资的共同风险外，还将承担与存托凭证、创新企业发行、境外发行人以及交易机制相关的特有风险，包括存托凭证持有人与境外基础证券发行人的股东在法律地位、享有权利等方面存在差异可能引发的风险；存托凭证持有人在分红派息、行使表决权等方面的特殊安排可能引发的</w:t>
      </w:r>
      <w:r>
        <w:rPr>
          <w:rFonts w:ascii="宋体" w:hAnsi="宋体" w:cs="宋体"/>
          <w:kern w:val="0"/>
          <w:szCs w:val="21"/>
        </w:rPr>
        <w:t>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证券交易机制、法律制度、监管环境差异可能导致的其他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lastRenderedPageBreak/>
        <w:t>8</w:t>
      </w:r>
      <w:r>
        <w:rPr>
          <w:rFonts w:ascii="宋体" w:hAnsi="宋体" w:cs="宋体"/>
          <w:kern w:val="0"/>
          <w:szCs w:val="21"/>
        </w:rPr>
        <w:t>、其他风险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）技术风险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计算机、通讯系统、交易网络等技术保障系统或信息网络支持出现异常情况，可能导致基金日常的申购赎回无法按正常时限完成、注册登记系统瘫痪、核算系统无法按正常时限显示产生净值、基金的投资交易指令无法及时传输</w:t>
      </w:r>
      <w:r>
        <w:rPr>
          <w:rFonts w:ascii="宋体" w:hAnsi="宋体" w:cs="宋体"/>
          <w:kern w:val="0"/>
          <w:szCs w:val="21"/>
        </w:rPr>
        <w:t>等风险。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）战争、自然灾害等不可抗力因素的出现，将会严重影响证券市场的运行，可能导致基金资产的损失。</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）金融市场危机、行业竞争、代理机构违约、托管行违约等超出基金管理人自身直接控制能力之外的风险，可能导致基金或者基金份额持有人的利益受损。</w:t>
      </w:r>
    </w:p>
    <w:p w:rsidR="00796C66" w:rsidRDefault="00FB6202">
      <w:pPr>
        <w:pStyle w:val="div"/>
        <w:spacing w:line="360" w:lineRule="auto"/>
        <w:ind w:firstLine="420"/>
        <w:rPr>
          <w:rFonts w:eastAsia="Times New Roman"/>
          <w:kern w:val="0"/>
          <w:szCs w:val="21"/>
        </w:rPr>
      </w:pPr>
      <w:r>
        <w:rPr>
          <w:rFonts w:ascii="宋体" w:hAnsi="宋体" w:cs="宋体"/>
          <w:kern w:val="0"/>
          <w:szCs w:val="21"/>
        </w:rPr>
        <w:t>（二）声明</w:t>
      </w:r>
    </w:p>
    <w:p w:rsidR="00796C66" w:rsidRDefault="00FB6202">
      <w:pPr>
        <w:pStyle w:val="div"/>
        <w:spacing w:line="360" w:lineRule="auto"/>
        <w:ind w:firstLine="420"/>
        <w:rPr>
          <w:rFonts w:eastAsia="Times New Roman"/>
          <w:kern w:val="0"/>
          <w:szCs w:val="21"/>
        </w:rPr>
      </w:pPr>
      <w:r>
        <w:rPr>
          <w:rFonts w:ascii="宋体" w:hAnsi="宋体" w:cs="宋体"/>
          <w:kern w:val="0"/>
          <w:szCs w:val="21"/>
        </w:rPr>
        <w:t>1</w:t>
      </w:r>
      <w:r>
        <w:rPr>
          <w:rFonts w:ascii="宋体" w:hAnsi="宋体" w:cs="宋体"/>
          <w:kern w:val="0"/>
          <w:szCs w:val="21"/>
        </w:rPr>
        <w:t>、本基金未经任何一级政府、机构及部门担保。投资者自愿投资于本基金，须自行承担投资风险。</w:t>
      </w:r>
    </w:p>
    <w:p w:rsidR="00796C66" w:rsidRDefault="00FB6202">
      <w:pPr>
        <w:pStyle w:val="div"/>
        <w:spacing w:line="360" w:lineRule="auto"/>
        <w:ind w:firstLine="420"/>
        <w:rPr>
          <w:rFonts w:eastAsia="Times New Roman"/>
          <w:kern w:val="0"/>
          <w:szCs w:val="21"/>
        </w:rPr>
      </w:pPr>
      <w:r>
        <w:rPr>
          <w:rFonts w:ascii="宋体" w:hAnsi="宋体" w:cs="宋体"/>
          <w:kern w:val="0"/>
          <w:szCs w:val="21"/>
        </w:rPr>
        <w:t>2</w:t>
      </w:r>
      <w:r>
        <w:rPr>
          <w:rFonts w:ascii="宋体" w:hAnsi="宋体" w:cs="宋体"/>
          <w:kern w:val="0"/>
          <w:szCs w:val="21"/>
        </w:rPr>
        <w:t>、除基金管理人直接办理本基金的销售外，本基金还通过代销机构销售，但是，本基金并不是代销机构的存款或负债，也没有经代销机构担保或者背书，代销机构并不能保证其收益或本金安全。</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基金管理人承诺以诚实信用、勤勉尽责的原则管理和运用基金资产，但不保证本基金一定盈利，也不保证最低收益。本基金的过往业绩及其净值高低并不预示其未来业绩表现。基金管理人提醒投资者基金投资的</w:t>
      </w:r>
      <w:r>
        <w:rPr>
          <w:rFonts w:ascii="宋体" w:hAnsi="宋体" w:cs="宋体"/>
          <w:kern w:val="0"/>
          <w:szCs w:val="21"/>
        </w:rPr>
        <w:t>“</w:t>
      </w:r>
      <w:r>
        <w:rPr>
          <w:rFonts w:ascii="宋体" w:hAnsi="宋体" w:cs="宋体"/>
          <w:kern w:val="0"/>
          <w:szCs w:val="21"/>
        </w:rPr>
        <w:t>买者自负</w:t>
      </w:r>
      <w:r>
        <w:rPr>
          <w:rFonts w:ascii="宋体" w:hAnsi="宋体" w:cs="宋体"/>
          <w:kern w:val="0"/>
          <w:szCs w:val="21"/>
        </w:rPr>
        <w:t>”</w:t>
      </w:r>
      <w:r>
        <w:rPr>
          <w:rFonts w:ascii="宋体" w:hAnsi="宋体" w:cs="宋体"/>
          <w:kern w:val="0"/>
          <w:szCs w:val="21"/>
        </w:rPr>
        <w:t>原则，在做出投资决策后，基金运营状况与基金净值变化引致的投资风险，由投资者自行负担。</w:t>
      </w:r>
      <w:r>
        <w:rPr>
          <w:rFonts w:ascii="宋体" w:hAnsi="宋体" w:cs="宋体"/>
          <w:kern w:val="0"/>
          <w:szCs w:val="21"/>
        </w:rPr>
        <w:br w:type="page"/>
      </w:r>
    </w:p>
    <w:p w:rsidR="00796C66" w:rsidRDefault="00FB6202">
      <w:pPr>
        <w:pStyle w:val="ae"/>
        <w:outlineLvl w:val="0"/>
      </w:pPr>
      <w:bookmarkStart w:id="21" w:name="_Toc256000020"/>
      <w:r>
        <w:rPr>
          <w:noProof/>
        </w:rPr>
        <w:lastRenderedPageBreak/>
        <w:t>二十</w:t>
      </w:r>
      <w:r>
        <w:rPr>
          <w:rStyle w:val="Char5"/>
          <w:b/>
          <w:bCs/>
          <w:noProof/>
        </w:rPr>
        <w:t>、</w:t>
      </w:r>
      <w:r>
        <w:rPr>
          <w:noProof/>
        </w:rPr>
        <w:t>基金合同的变更、终止与基金财产的清算</w:t>
      </w:r>
      <w:bookmarkEnd w:id="21"/>
    </w:p>
    <w:p w:rsidR="00796C66" w:rsidRDefault="00FB6202">
      <w:pPr>
        <w:pStyle w:val="div"/>
        <w:spacing w:line="360" w:lineRule="auto"/>
        <w:ind w:firstLine="480"/>
        <w:rPr>
          <w:rFonts w:eastAsia="Times New Roman"/>
          <w:kern w:val="0"/>
          <w:szCs w:val="21"/>
        </w:rPr>
      </w:pPr>
      <w:r>
        <w:rPr>
          <w:rFonts w:ascii="宋体" w:hAnsi="宋体" w:cs="宋体"/>
          <w:kern w:val="0"/>
          <w:szCs w:val="21"/>
        </w:rPr>
        <w:t>（一）《基</w:t>
      </w:r>
      <w:r>
        <w:rPr>
          <w:rFonts w:ascii="宋体" w:hAnsi="宋体" w:cs="宋体"/>
          <w:kern w:val="0"/>
          <w:szCs w:val="21"/>
        </w:rPr>
        <w:t>金合同》的变更</w:t>
      </w:r>
    </w:p>
    <w:p w:rsidR="00796C66" w:rsidRDefault="00FB6202">
      <w:pPr>
        <w:pStyle w:val="div"/>
        <w:spacing w:line="360" w:lineRule="auto"/>
        <w:ind w:firstLine="480"/>
        <w:jc w:val="left"/>
        <w:rPr>
          <w:rFonts w:eastAsia="Times New Roman"/>
          <w:kern w:val="0"/>
          <w:szCs w:val="21"/>
        </w:rPr>
      </w:pPr>
      <w:r>
        <w:rPr>
          <w:rFonts w:ascii="宋体" w:hAnsi="宋体" w:cs="宋体"/>
          <w:kern w:val="0"/>
          <w:szCs w:val="21"/>
        </w:rPr>
        <w:t>1</w:t>
      </w:r>
      <w:r>
        <w:rPr>
          <w:rFonts w:ascii="宋体" w:hAnsi="宋体" w:cs="宋体"/>
          <w:kern w:val="0"/>
          <w:szCs w:val="21"/>
        </w:rPr>
        <w:t>、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、关于《基金合同》变更的基金份额持有人大会决议自生效后方可执行，自决议生效后按规定在规定媒介公告。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（二）《基金合同》的终止事由</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有下列情形之一的，经履行相关程序后，《基金合同》应当终止：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、基金份额持有人大会决定终止的；</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、基金管理人</w:t>
      </w:r>
      <w:r>
        <w:rPr>
          <w:rFonts w:ascii="宋体" w:hAnsi="宋体" w:cs="宋体"/>
          <w:kern w:val="0"/>
          <w:szCs w:val="21"/>
        </w:rPr>
        <w:t>、基金托管人职责终止，在</w:t>
      </w:r>
      <w:r>
        <w:rPr>
          <w:rFonts w:ascii="宋体" w:hAnsi="宋体" w:cs="宋体"/>
          <w:kern w:val="0"/>
          <w:szCs w:val="21"/>
        </w:rPr>
        <w:t>6</w:t>
      </w:r>
      <w:r>
        <w:rPr>
          <w:rFonts w:ascii="宋体" w:hAnsi="宋体" w:cs="宋体"/>
          <w:kern w:val="0"/>
          <w:szCs w:val="21"/>
        </w:rPr>
        <w:t>个月内没有新基金管理人、新基金托管人承接的；</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、本基金连续</w:t>
      </w:r>
      <w:r>
        <w:rPr>
          <w:rFonts w:ascii="宋体" w:hAnsi="宋体" w:cs="宋体"/>
          <w:kern w:val="0"/>
          <w:szCs w:val="21"/>
        </w:rPr>
        <w:t>50</w:t>
      </w:r>
      <w:r>
        <w:rPr>
          <w:rFonts w:ascii="宋体" w:hAnsi="宋体" w:cs="宋体"/>
          <w:kern w:val="0"/>
          <w:szCs w:val="21"/>
        </w:rPr>
        <w:t>个工作日出现基金份额持有人数量不满</w:t>
      </w:r>
      <w:r>
        <w:rPr>
          <w:rFonts w:ascii="宋体" w:hAnsi="宋体" w:cs="宋体"/>
          <w:kern w:val="0"/>
          <w:szCs w:val="21"/>
        </w:rPr>
        <w:t>200</w:t>
      </w:r>
      <w:r>
        <w:rPr>
          <w:rFonts w:ascii="宋体" w:hAnsi="宋体" w:cs="宋体"/>
          <w:kern w:val="0"/>
          <w:szCs w:val="21"/>
        </w:rPr>
        <w:t>人或者基金资产净值低于</w:t>
      </w:r>
      <w:r>
        <w:rPr>
          <w:rFonts w:ascii="宋体" w:hAnsi="宋体" w:cs="宋体"/>
          <w:kern w:val="0"/>
          <w:szCs w:val="21"/>
        </w:rPr>
        <w:t>5000</w:t>
      </w:r>
      <w:r>
        <w:rPr>
          <w:rFonts w:ascii="宋体" w:hAnsi="宋体" w:cs="宋体"/>
          <w:kern w:val="0"/>
          <w:szCs w:val="21"/>
        </w:rPr>
        <w:t>万元情形的；</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、《基金合同》约定的其他情形；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、相关法律法规和中国证监会规定的其他情况。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（三）基金财产的清算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、基金财产清算小组：自出现《基金合同》终止事由之日起</w:t>
      </w:r>
      <w:r>
        <w:rPr>
          <w:rFonts w:ascii="宋体" w:hAnsi="宋体" w:cs="宋体"/>
          <w:kern w:val="0"/>
          <w:szCs w:val="21"/>
        </w:rPr>
        <w:t>30</w:t>
      </w:r>
      <w:r>
        <w:rPr>
          <w:rFonts w:ascii="宋体" w:hAnsi="宋体" w:cs="宋体"/>
          <w:kern w:val="0"/>
          <w:szCs w:val="21"/>
        </w:rPr>
        <w:t>个工作日内成立清算小组，基金管理人组织基金财产清算小组并在中国证监会的监督下进行基金清算。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、基金财产清算小组组成：基金财产清算小组成员由基金管理人、基金托管人、符合《证券法》</w:t>
      </w:r>
      <w:r>
        <w:rPr>
          <w:rFonts w:ascii="宋体" w:hAnsi="宋体" w:cs="宋体"/>
          <w:kern w:val="0"/>
          <w:szCs w:val="21"/>
        </w:rPr>
        <w:t>规定的注册会计师、律师以及中国证监会指定的人员组成。基金财产清算小组可以聘用必要的工作人员。</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、基金财产清算小组职责：基金财产清算小组负责基金财产的保管、清理、估价、变现和分配。基金财产清算小组可以依法进行必要的民事活动。</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、基金财产清算程序：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）《基金合同》终止情形出现时，由基金财产清算小组统一接管基金财产；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）对基金财产和债权债务进行清理和确认；</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）对基金财产进行估值和变现；</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）制作清算报告；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）聘请符合《证券法》规定的会计师事务所对清算报告进行外部审计，聘请律师事务所对清算报告出具法律意见书；</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）将清算报告报中国证监会备案并公告；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）对基金剩余财产进行分配。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5</w:t>
      </w:r>
      <w:r>
        <w:rPr>
          <w:rFonts w:ascii="宋体" w:hAnsi="宋体" w:cs="宋体"/>
          <w:kern w:val="0"/>
          <w:szCs w:val="21"/>
        </w:rPr>
        <w:t>、基金财产清算的期限为</w:t>
      </w:r>
      <w:r>
        <w:rPr>
          <w:rFonts w:ascii="宋体" w:hAnsi="宋体" w:cs="宋体"/>
          <w:kern w:val="0"/>
          <w:szCs w:val="21"/>
        </w:rPr>
        <w:t>6</w:t>
      </w:r>
      <w:r>
        <w:rPr>
          <w:rFonts w:ascii="宋体" w:hAnsi="宋体" w:cs="宋体"/>
          <w:kern w:val="0"/>
          <w:szCs w:val="21"/>
        </w:rPr>
        <w:t>个月，但因本基金所持证券或基金的流动性受到限制而不能及时变现的，清算期限相应顺延。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（四）清算费用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清算费用是指基金财产清算小组在进行基金清算过程中发生的所有合理费用，清算费用由基金财产清算小组优先从基金财产中支付。</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（五）基金财产清算剩余资产的分配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依据基金财产清算的分配方案，将基金财产清算后的全部剩余资产扣除基金财产清算费用、交纳所欠税款并清偿基金债务后，按各类基金份额持有人持有的相应类别基金份额比例进行分配。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（六）基金财产清算的公告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w:t>
      </w:r>
      <w:r>
        <w:rPr>
          <w:rFonts w:ascii="宋体" w:hAnsi="宋体" w:cs="宋体"/>
          <w:kern w:val="0"/>
          <w:szCs w:val="21"/>
        </w:rPr>
        <w:t>5</w:t>
      </w:r>
      <w:r>
        <w:rPr>
          <w:rFonts w:ascii="宋体" w:hAnsi="宋体" w:cs="宋体"/>
          <w:kern w:val="0"/>
          <w:szCs w:val="21"/>
        </w:rPr>
        <w:t>个工作日内由基金财产清算小组进行公告，基金财产清算小组应当将清算报告登载在规定网站上，并将清算报告提示性公告登载在规定报</w:t>
      </w:r>
      <w:r>
        <w:rPr>
          <w:rFonts w:ascii="宋体" w:hAnsi="宋体" w:cs="宋体"/>
          <w:kern w:val="0"/>
          <w:szCs w:val="21"/>
        </w:rPr>
        <w:t>刊上。</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（七）基金财产清算账册及文件的保存</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基金财产清算账册及有关文件由基金托管人保存</w:t>
      </w:r>
      <w:r>
        <w:rPr>
          <w:rFonts w:ascii="宋体" w:hAnsi="宋体" w:cs="宋体"/>
          <w:kern w:val="0"/>
          <w:szCs w:val="21"/>
        </w:rPr>
        <w:t>20</w:t>
      </w:r>
      <w:r>
        <w:rPr>
          <w:rFonts w:ascii="宋体" w:hAnsi="宋体" w:cs="宋体"/>
          <w:kern w:val="0"/>
          <w:szCs w:val="21"/>
        </w:rPr>
        <w:t>年以上，法律法规或监管部门另有规定的除外。</w:t>
      </w:r>
      <w:r>
        <w:rPr>
          <w:rFonts w:ascii="宋体" w:hAnsi="宋体" w:cs="宋体"/>
          <w:kern w:val="0"/>
          <w:szCs w:val="21"/>
        </w:rPr>
        <w:br w:type="page"/>
      </w:r>
    </w:p>
    <w:p w:rsidR="00796C66" w:rsidRDefault="00FB6202">
      <w:pPr>
        <w:pStyle w:val="ae"/>
        <w:outlineLvl w:val="0"/>
      </w:pPr>
      <w:bookmarkStart w:id="22" w:name="_Toc256000021"/>
      <w:r>
        <w:rPr>
          <w:noProof/>
        </w:rPr>
        <w:lastRenderedPageBreak/>
        <w:t>二十一</w:t>
      </w:r>
      <w:r>
        <w:rPr>
          <w:rStyle w:val="Char5"/>
          <w:b/>
          <w:bCs/>
          <w:noProof/>
        </w:rPr>
        <w:t>、</w:t>
      </w:r>
      <w:r>
        <w:rPr>
          <w:noProof/>
        </w:rPr>
        <w:t>基金合同的内容摘要</w:t>
      </w:r>
      <w:bookmarkEnd w:id="22"/>
    </w:p>
    <w:p w:rsidR="00796C66" w:rsidRDefault="00FB6202">
      <w:pPr>
        <w:pStyle w:val="div"/>
        <w:spacing w:line="360" w:lineRule="auto"/>
        <w:ind w:firstLine="480"/>
        <w:rPr>
          <w:rFonts w:eastAsia="Times New Roman"/>
          <w:kern w:val="0"/>
          <w:szCs w:val="21"/>
        </w:rPr>
      </w:pPr>
      <w:r>
        <w:rPr>
          <w:rFonts w:ascii="宋体" w:hAnsi="宋体" w:cs="宋体"/>
          <w:kern w:val="0"/>
          <w:szCs w:val="21"/>
        </w:rPr>
        <w:t>A</w:t>
      </w:r>
      <w:r>
        <w:rPr>
          <w:rFonts w:ascii="宋体" w:hAnsi="宋体" w:cs="宋体"/>
          <w:kern w:val="0"/>
          <w:szCs w:val="21"/>
        </w:rPr>
        <w:t>、基金份额持有人、基金管理人和基金托管人的权利、义务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（一）基金管理人的权利与义务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、根据《基金法》、《运作办法》及其他有关规定，基金管理人的权利包括但不限于：</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）依法募集资金；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）自《基金合同》生效之日起，根据法律法规和《基金合同》独立运用并管理基金财产；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）依照《基金合同》收取基金管理费以及法律法规规定或中国证监会批准的其他费</w:t>
      </w:r>
      <w:r>
        <w:rPr>
          <w:rFonts w:ascii="宋体" w:hAnsi="宋体" w:cs="宋体"/>
          <w:kern w:val="0"/>
          <w:szCs w:val="21"/>
        </w:rPr>
        <w:t>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）销售基金份额；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）按照规定召集基金份额持有人大会；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）依据《基金合同》及有关法律规定监督基金托管人，如认为基金托管人违反了《基金合同》及国家有关法律规定，应呈报中国证监会和其他监管部门，并采取必要措施保护基金投资者的利益；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）在基金托管人更换时，提名新的基金托管人；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）选择、更换基金销售机构，对基金销售机构的相关行为进行监督和处理；</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）担任或委托其他符合条件的机构担任基金登记机构办理基金登记业务并获得《基金合同》规定的费用；</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）依据《基金合同》及有关法律规定决定基金</w:t>
      </w:r>
      <w:r>
        <w:rPr>
          <w:rFonts w:ascii="宋体" w:hAnsi="宋体" w:cs="宋体"/>
          <w:kern w:val="0"/>
          <w:szCs w:val="21"/>
        </w:rPr>
        <w:t>收益的分配方案；</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11</w:t>
      </w:r>
      <w:r>
        <w:rPr>
          <w:rFonts w:ascii="宋体" w:hAnsi="宋体" w:cs="宋体"/>
          <w:kern w:val="0"/>
          <w:szCs w:val="21"/>
        </w:rPr>
        <w:t>）在《基金合同》约定的范围内，拒绝或暂停受理申购、赎回和转换申请；</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12</w:t>
      </w:r>
      <w:r>
        <w:rPr>
          <w:rFonts w:ascii="宋体" w:hAnsi="宋体" w:cs="宋体"/>
          <w:kern w:val="0"/>
          <w:szCs w:val="21"/>
        </w:rPr>
        <w:t>）依照法律法规为基金的利益对被投资公司和被投资基金行使股东或债权人权利和基金份额持有人权利，为基金的利益行使因基金财产投资于证券、基金所产生的权利；</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13</w:t>
      </w:r>
      <w:r>
        <w:rPr>
          <w:rFonts w:ascii="宋体" w:hAnsi="宋体" w:cs="宋体"/>
          <w:kern w:val="0"/>
          <w:szCs w:val="21"/>
        </w:rPr>
        <w:t>）在法律法规允许的前提下，为基金的利益依法为基金进行融资；</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14</w:t>
      </w:r>
      <w:r>
        <w:rPr>
          <w:rFonts w:ascii="宋体" w:hAnsi="宋体" w:cs="宋体"/>
          <w:kern w:val="0"/>
          <w:szCs w:val="21"/>
        </w:rPr>
        <w:t>）以基金管理人的名义，代表基金份额持有人的利益行使诉讼权利或者实施其他法律行为；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15</w:t>
      </w:r>
      <w:r>
        <w:rPr>
          <w:rFonts w:ascii="宋体" w:hAnsi="宋体" w:cs="宋体"/>
          <w:kern w:val="0"/>
          <w:szCs w:val="21"/>
        </w:rPr>
        <w:t>）选择、更换律师事务所、会计师事务所、证券经纪商或其他为基金提供服务的外部机构；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16</w:t>
      </w:r>
      <w:r>
        <w:rPr>
          <w:rFonts w:ascii="宋体" w:hAnsi="宋体" w:cs="宋体"/>
          <w:kern w:val="0"/>
          <w:szCs w:val="21"/>
        </w:rPr>
        <w:t>）在符合有关法律、法规的前提下，制订和调整有关基金认购、申购、赎回、转换、定期定额投资和非交易过户等业务规则；</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17</w:t>
      </w:r>
      <w:r>
        <w:rPr>
          <w:rFonts w:ascii="宋体" w:hAnsi="宋体" w:cs="宋体"/>
          <w:kern w:val="0"/>
          <w:szCs w:val="21"/>
        </w:rPr>
        <w:t>）以基金管理人的名义，参与本基金持有的基金所召开的基金份额持有人大会，并在遵循基金中基金份额持有人利益优先原则的前提下行使相关投票权利；</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18</w:t>
      </w:r>
      <w:r>
        <w:rPr>
          <w:rFonts w:ascii="宋体" w:hAnsi="宋体" w:cs="宋体"/>
          <w:kern w:val="0"/>
          <w:szCs w:val="21"/>
        </w:rPr>
        <w:t>）法律法规及中国证监会规定的和《基金合同》约定的其他权利。</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、根据《基金法》、《运作办法》及其他有关规定，基金管理人的义务包括但不限</w:t>
      </w:r>
      <w:r>
        <w:rPr>
          <w:rFonts w:ascii="宋体" w:hAnsi="宋体" w:cs="宋体"/>
          <w:kern w:val="0"/>
          <w:szCs w:val="21"/>
        </w:rPr>
        <w:lastRenderedPageBreak/>
        <w:t>于：</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）依法募集资金，办理或者委托经中国证监会认定的其他机构代为办理基金份额的发售、申购、赎回和登记事宜；</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）办理基金备案手续；</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）自《基金合同》生效之日起，以诚实信用、谨慎勤勉的原则管理和运用基金财产；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）配备足够的具有专业资格的人员进行基金投资分析、决策，以专业化的经营方式管理和运作基金财产；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）建立健全内部风险控制、监察与稽核、财务管理及人事管理等制度，保证所管理的基金财产和基金管理人的财产相互独立，对所管理的不同基金分别管理，分别记账，进行证券、基金投资；</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）除依据《基金法》、《基金合同》及其他有关规定外，不得利用基金财产为自己及任何第三人谋取利益，不得委托第三人运作基金财产；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）依法接受基金托管人的监督；</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）采取适当合理的措施使计算基金份额认购、申购、赎回和注销价格的方法符合《基金合同》等法律文件的规定，按有关规定计算并公告基金净值信息，确定基金份额申购、赎回的价格；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）进行基金会计核算并编制基金财务会计报告；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）编制季度、中期和年度基金报告；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11</w:t>
      </w:r>
      <w:r>
        <w:rPr>
          <w:rFonts w:ascii="宋体" w:hAnsi="宋体" w:cs="宋体"/>
          <w:kern w:val="0"/>
          <w:szCs w:val="21"/>
        </w:rPr>
        <w:t>）严格按照《基金法》、《基金合同》及其他有关规定，履行信息披露及报告义务；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12</w:t>
      </w:r>
      <w:r>
        <w:rPr>
          <w:rFonts w:ascii="宋体" w:hAnsi="宋体" w:cs="宋体"/>
          <w:kern w:val="0"/>
          <w:szCs w:val="21"/>
        </w:rPr>
        <w:t>）保守基金商业秘密，不泄露基金投资计划、投资意向等。除《基金法》、《基金合同》及其他有关规定另有规定外，在基金信息公开披露前应予保密</w:t>
      </w:r>
      <w:r>
        <w:rPr>
          <w:rFonts w:ascii="宋体" w:hAnsi="宋体" w:cs="宋体"/>
          <w:kern w:val="0"/>
          <w:szCs w:val="21"/>
        </w:rPr>
        <w:t>，不向他人泄露，但应监管机构、司法机关等有权机关的要求，或因审计、法律等外部专业顾问提供服务需要提供的情况除外；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13</w:t>
      </w:r>
      <w:r>
        <w:rPr>
          <w:rFonts w:ascii="宋体" w:hAnsi="宋体" w:cs="宋体"/>
          <w:kern w:val="0"/>
          <w:szCs w:val="21"/>
        </w:rPr>
        <w:t>）按《基金合同》的约定确定基金收益分配方案，及时向基金份额持有人分配基金收益；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14</w:t>
      </w:r>
      <w:r>
        <w:rPr>
          <w:rFonts w:ascii="宋体" w:hAnsi="宋体" w:cs="宋体"/>
          <w:kern w:val="0"/>
          <w:szCs w:val="21"/>
        </w:rPr>
        <w:t>）按规定受理申购与赎回申请，及时、足额支付赎回款项；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15</w:t>
      </w:r>
      <w:r>
        <w:rPr>
          <w:rFonts w:ascii="宋体" w:hAnsi="宋体" w:cs="宋体"/>
          <w:kern w:val="0"/>
          <w:szCs w:val="21"/>
        </w:rPr>
        <w:t>）依据《基金法》、《基金合同》及其他有关规定召集基金份额持有人大会或配合基金托管人、基金份额持有人依法召集基金份额持有人大会；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16</w:t>
      </w:r>
      <w:r>
        <w:rPr>
          <w:rFonts w:ascii="宋体" w:hAnsi="宋体" w:cs="宋体"/>
          <w:kern w:val="0"/>
          <w:szCs w:val="21"/>
        </w:rPr>
        <w:t>）按规定保存基金财产管理业务活动的会计账册、报表、记录和其他相关资料</w:t>
      </w:r>
      <w:r>
        <w:rPr>
          <w:rFonts w:ascii="宋体" w:hAnsi="宋体" w:cs="宋体"/>
          <w:kern w:val="0"/>
          <w:szCs w:val="21"/>
        </w:rPr>
        <w:t>20</w:t>
      </w:r>
      <w:r>
        <w:rPr>
          <w:rFonts w:ascii="宋体" w:hAnsi="宋体" w:cs="宋体"/>
          <w:kern w:val="0"/>
          <w:szCs w:val="21"/>
        </w:rPr>
        <w:t>年以上，法律法规或监管部门另有规定的除外</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17</w:t>
      </w:r>
      <w:r>
        <w:rPr>
          <w:rFonts w:ascii="宋体" w:hAnsi="宋体" w:cs="宋体"/>
          <w:kern w:val="0"/>
          <w:szCs w:val="21"/>
        </w:rPr>
        <w:t>）确保需要向基金投资者提供的各项文件或资料在规定时间发出，并且保证投资者能够按照《基金合同》规定的时间和方式，随时查阅到与基金有关的公开资料，并在支</w:t>
      </w:r>
      <w:r>
        <w:rPr>
          <w:rFonts w:ascii="宋体" w:hAnsi="宋体" w:cs="宋体"/>
          <w:kern w:val="0"/>
          <w:szCs w:val="21"/>
        </w:rPr>
        <w:lastRenderedPageBreak/>
        <w:t>付合理成本的条件下得到有关资料的复印件；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18</w:t>
      </w:r>
      <w:r>
        <w:rPr>
          <w:rFonts w:ascii="宋体" w:hAnsi="宋体" w:cs="宋体"/>
          <w:kern w:val="0"/>
          <w:szCs w:val="21"/>
        </w:rPr>
        <w:t>）组织并参加基金财产清算小组，参与基金财产的保管、清理、估价、变现和分配；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19</w:t>
      </w:r>
      <w:r>
        <w:rPr>
          <w:rFonts w:ascii="宋体" w:hAnsi="宋体" w:cs="宋体"/>
          <w:kern w:val="0"/>
          <w:szCs w:val="21"/>
        </w:rPr>
        <w:t>）面临解散、依法被撤销或者被依法宣告破产时，及时报告中国证监会并通知基金托管人；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20</w:t>
      </w:r>
      <w:r>
        <w:rPr>
          <w:rFonts w:ascii="宋体" w:hAnsi="宋体" w:cs="宋体"/>
          <w:kern w:val="0"/>
          <w:szCs w:val="21"/>
        </w:rPr>
        <w:t>）因违反《基金合同》导致基金财产的损失或损害基金份额持有人合法权益时，应当承担赔偿责任，其赔偿责任不因其退任而免除；</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21</w:t>
      </w:r>
      <w:r>
        <w:rPr>
          <w:rFonts w:ascii="宋体" w:hAnsi="宋体" w:cs="宋体"/>
          <w:kern w:val="0"/>
          <w:szCs w:val="21"/>
        </w:rPr>
        <w:t>）监督基金托</w:t>
      </w:r>
      <w:r>
        <w:rPr>
          <w:rFonts w:ascii="宋体" w:hAnsi="宋体" w:cs="宋体"/>
          <w:kern w:val="0"/>
          <w:szCs w:val="21"/>
        </w:rPr>
        <w:t>管人按法律法规和《基金合同》规定履行自己的义务，基金托管人违反《基金合同》造成基金财产损失时，基金管理人应为基金份额持有人利益向基金托管人追偿；</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22</w:t>
      </w:r>
      <w:r>
        <w:rPr>
          <w:rFonts w:ascii="宋体" w:hAnsi="宋体" w:cs="宋体"/>
          <w:kern w:val="0"/>
          <w:szCs w:val="21"/>
        </w:rPr>
        <w:t>）当基金管理人将其义务委托第三方处理时，应当对第三方处理有关基金事务的行为承担责任；</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23</w:t>
      </w:r>
      <w:r>
        <w:rPr>
          <w:rFonts w:ascii="宋体" w:hAnsi="宋体" w:cs="宋体"/>
          <w:kern w:val="0"/>
          <w:szCs w:val="21"/>
        </w:rPr>
        <w:t>）以基金管理人名义，代表基金份额持有人利益行使诉讼权利或实施其他法律行为；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24</w:t>
      </w:r>
      <w:r>
        <w:rPr>
          <w:rFonts w:ascii="宋体" w:hAnsi="宋体" w:cs="宋体"/>
          <w:kern w:val="0"/>
          <w:szCs w:val="21"/>
        </w:rPr>
        <w:t>）基金管理人在募集期间未能达到基金的备案条件，《基金合同》不能生效，基金管理人承担全部募集费用，将已募集资金并加计银行同期活期存款利息（税后）在基金募集期结束后</w:t>
      </w:r>
      <w:r>
        <w:rPr>
          <w:rFonts w:ascii="宋体" w:hAnsi="宋体" w:cs="宋体"/>
          <w:kern w:val="0"/>
          <w:szCs w:val="21"/>
        </w:rPr>
        <w:t>30</w:t>
      </w:r>
      <w:r>
        <w:rPr>
          <w:rFonts w:ascii="宋体" w:hAnsi="宋体" w:cs="宋体"/>
          <w:kern w:val="0"/>
          <w:szCs w:val="21"/>
        </w:rPr>
        <w:t>日内退还基金认购人；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25</w:t>
      </w:r>
      <w:r>
        <w:rPr>
          <w:rFonts w:ascii="宋体" w:hAnsi="宋体" w:cs="宋体"/>
          <w:kern w:val="0"/>
          <w:szCs w:val="21"/>
        </w:rPr>
        <w:t>）执行生效的基金份额持有人大会的决议；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26</w:t>
      </w:r>
      <w:r>
        <w:rPr>
          <w:rFonts w:ascii="宋体" w:hAnsi="宋体" w:cs="宋体"/>
          <w:kern w:val="0"/>
          <w:szCs w:val="21"/>
        </w:rPr>
        <w:t>）建立并保存基金份额持有人名册；</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27</w:t>
      </w:r>
      <w:r>
        <w:rPr>
          <w:rFonts w:ascii="宋体" w:hAnsi="宋体" w:cs="宋体"/>
          <w:kern w:val="0"/>
          <w:szCs w:val="21"/>
        </w:rPr>
        <w:t>）法律法规及中国证监会规定的和《基金合同》约定的其他义务。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（二）基金托管人的权利与义务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、根据《基金法》、《运作办法》及其他有关规定，基金托管人的权利包括但不限于：</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）自《基金合同》生效之日起，依法律法规和《基金合同》的规定安全保管基金财产；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）依《基金合同》约定获得基金托管费以及法律法规规定或监管部门批准的其他费用；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）监督基金管理人对本基金的投资运作，如发现基金管理人有违反《基金合同》及国家法律法</w:t>
      </w:r>
      <w:r>
        <w:rPr>
          <w:rFonts w:ascii="宋体" w:hAnsi="宋体" w:cs="宋体"/>
          <w:kern w:val="0"/>
          <w:szCs w:val="21"/>
        </w:rPr>
        <w:t>规行为，对基金财产、其他当事人的利益造成重大损失的情形，应呈报中国证监会，并采取必要措施保护基金投资者的利益；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）根据相关市场规则，为基金开设资金账户、证券账户等投资所需账户，为基金办理证券、基金交易资金清算；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）提议召开或召集基金份额持有人大会；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）在基金管理人更换时，提名新的基金管理人；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w:t>
      </w:r>
      <w:r>
        <w:rPr>
          <w:rFonts w:ascii="宋体" w:hAnsi="宋体" w:cs="宋体"/>
          <w:kern w:val="0"/>
          <w:szCs w:val="21"/>
        </w:rPr>
        <w:t>7</w:t>
      </w:r>
      <w:r>
        <w:rPr>
          <w:rFonts w:ascii="宋体" w:hAnsi="宋体" w:cs="宋体"/>
          <w:kern w:val="0"/>
          <w:szCs w:val="21"/>
        </w:rPr>
        <w:t>）法律法规及中国证监会规定的和《基金合同》约定的其他权利。</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、根据《基金法》、《运作办法》及其他有关规定，基金托管人的义务包括但不限于：</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）以诚实信用、勤勉尽责的原则持有并安全保管基金财产；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）设立专门的基金托管部门，具有符合要求的营业场所，配备足够的、合格的熟悉基金托管业务的专职人员，负责基金财产托管事宜；</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）除依据《基金法》、《基金合同》及其他有关规定外，不得利用基金财产为自己及任何第三人谋取利益，不得委托第三人托管基金</w:t>
      </w:r>
      <w:r>
        <w:rPr>
          <w:rFonts w:ascii="宋体" w:hAnsi="宋体" w:cs="宋体"/>
          <w:kern w:val="0"/>
          <w:szCs w:val="21"/>
        </w:rPr>
        <w:t>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）保管由基金管理人代表基金签订的与基金有关的重大合同及有关凭证；</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）按规定开设基金财产的资金账户和证券账户等投资所需账户，按照《基金合同》的约定，根据基金管理人的投资指令，及时办理清算、交割事宜；</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保守基金商业秘密，除《基金法》、《基金合同》及其他有关规定另有规定外，在基金信息公开披露前予以保密，不得向他人泄露，但应监管机构、司法机关等有权机关的要求，或因审计、法律等外部专业顾问提供服务需要提供的情况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）复核、审查基金管理人计算的基金资产净值、基金份额净值、基金份额申购、赎回</w:t>
      </w:r>
      <w:r>
        <w:rPr>
          <w:rFonts w:ascii="宋体" w:hAnsi="宋体" w:cs="宋体"/>
          <w:kern w:val="0"/>
          <w:szCs w:val="21"/>
        </w:rPr>
        <w:t>价格；</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）办理与基金托管业务活动有关的信息披露事项；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11</w:t>
      </w:r>
      <w:r>
        <w:rPr>
          <w:rFonts w:ascii="宋体" w:hAnsi="宋体" w:cs="宋体"/>
          <w:kern w:val="0"/>
          <w:szCs w:val="21"/>
        </w:rPr>
        <w:t>）保存基金托管业务活动的记录、账册、报表和其他相关资料</w:t>
      </w:r>
      <w:r>
        <w:rPr>
          <w:rFonts w:ascii="宋体" w:hAnsi="宋体" w:cs="宋体"/>
          <w:kern w:val="0"/>
          <w:szCs w:val="21"/>
        </w:rPr>
        <w:t>20</w:t>
      </w:r>
      <w:r>
        <w:rPr>
          <w:rFonts w:ascii="宋体" w:hAnsi="宋体" w:cs="宋体"/>
          <w:kern w:val="0"/>
          <w:szCs w:val="21"/>
        </w:rPr>
        <w:t>年以上，法律法规或监管部门另有规定的除外；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12</w:t>
      </w:r>
      <w:r>
        <w:rPr>
          <w:rFonts w:ascii="宋体" w:hAnsi="宋体" w:cs="宋体"/>
          <w:kern w:val="0"/>
          <w:szCs w:val="21"/>
        </w:rPr>
        <w:t>）从基金管理人或其委托的登记机构处接收并保存基金份额持有人名册；</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13</w:t>
      </w:r>
      <w:r>
        <w:rPr>
          <w:rFonts w:ascii="宋体" w:hAnsi="宋体" w:cs="宋体"/>
          <w:kern w:val="0"/>
          <w:szCs w:val="21"/>
        </w:rPr>
        <w:t>）按规定制作相关账册并与基金管理人核对；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14</w:t>
      </w:r>
      <w:r>
        <w:rPr>
          <w:rFonts w:ascii="宋体" w:hAnsi="宋体" w:cs="宋体"/>
          <w:kern w:val="0"/>
          <w:szCs w:val="21"/>
        </w:rPr>
        <w:t>）依据基金管理人的指令或有关规定向基金份额持有人支付基金收益和赎回款项；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15</w:t>
      </w:r>
      <w:r>
        <w:rPr>
          <w:rFonts w:ascii="宋体" w:hAnsi="宋体" w:cs="宋体"/>
          <w:kern w:val="0"/>
          <w:szCs w:val="21"/>
        </w:rPr>
        <w:t>）依据《基金法》、《基金合同》及其他有关规定，召集基金份额持有人大会或配合基金管理人、基金份额持有人依法召集基金份额持有人大会；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16</w:t>
      </w:r>
      <w:r>
        <w:rPr>
          <w:rFonts w:ascii="宋体" w:hAnsi="宋体" w:cs="宋体"/>
          <w:kern w:val="0"/>
          <w:szCs w:val="21"/>
        </w:rPr>
        <w:t>）按照法律法规和《基金合同》的规定监督基金管理人的投资运作；</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17</w:t>
      </w:r>
      <w:r>
        <w:rPr>
          <w:rFonts w:ascii="宋体" w:hAnsi="宋体" w:cs="宋体"/>
          <w:kern w:val="0"/>
          <w:szCs w:val="21"/>
        </w:rPr>
        <w:t>）参加基金财产清算小组，参与基金财产的保管、清理、估价、变现和分配；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18</w:t>
      </w:r>
      <w:r>
        <w:rPr>
          <w:rFonts w:ascii="宋体" w:hAnsi="宋体" w:cs="宋体"/>
          <w:kern w:val="0"/>
          <w:szCs w:val="21"/>
        </w:rPr>
        <w:t>）面临解散、依法被撤销或者被依法宣告破产时，及时报告中国证监会和银行业</w:t>
      </w:r>
      <w:r>
        <w:rPr>
          <w:rFonts w:ascii="宋体" w:hAnsi="宋体" w:cs="宋体"/>
          <w:kern w:val="0"/>
          <w:szCs w:val="21"/>
        </w:rPr>
        <w:lastRenderedPageBreak/>
        <w:t>监督管理机构，并通知基金管理人；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19</w:t>
      </w:r>
      <w:r>
        <w:rPr>
          <w:rFonts w:ascii="宋体" w:hAnsi="宋体" w:cs="宋体"/>
          <w:kern w:val="0"/>
          <w:szCs w:val="21"/>
        </w:rPr>
        <w:t>）因违反《基金合同》导致基金财产损失时，应承担赔偿责任，其赔偿责任不因其退任而免除；</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20</w:t>
      </w:r>
      <w:r>
        <w:rPr>
          <w:rFonts w:ascii="宋体" w:hAnsi="宋体" w:cs="宋体"/>
          <w:kern w:val="0"/>
          <w:szCs w:val="21"/>
        </w:rPr>
        <w:t>）按规定监督基金管理人按法律法规和《基金合同》规定履行自己的义务，基金管理人因违反《基金合同》造成基金财产损失时，应为基金份额持有人利益向基金管理人追偿；</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21</w:t>
      </w:r>
      <w:r>
        <w:rPr>
          <w:rFonts w:ascii="宋体" w:hAnsi="宋体" w:cs="宋体"/>
          <w:kern w:val="0"/>
          <w:szCs w:val="21"/>
        </w:rPr>
        <w:t>）执行生效的基金份额持有人大会的决议；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22</w:t>
      </w:r>
      <w:r>
        <w:rPr>
          <w:rFonts w:ascii="宋体" w:hAnsi="宋体" w:cs="宋体"/>
          <w:kern w:val="0"/>
          <w:szCs w:val="21"/>
        </w:rPr>
        <w:t>）法律法规及中国证监会规定的和《基金合同》约定的其他义务。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（三）基金份额持有人的权利、义务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基金投资者持有本基金基金份额的行为即视为对《基金合同》的承认和接受，基金投资者自依据《基金合同》取得基金份额，即</w:t>
      </w:r>
      <w:r>
        <w:rPr>
          <w:rFonts w:ascii="宋体" w:hAnsi="宋体" w:cs="宋体"/>
          <w:kern w:val="0"/>
          <w:szCs w:val="21"/>
        </w:rPr>
        <w:t>成为本基金份额持有人和《基金合同》的当事人，直至其不再持有本基金的基金份额。基金份额持有人作为《基金合同》当事人并不以在《基金合同》上书面签章或签字为必要条件。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除法律法规另有规定或本基金合同另有约定外，同一类别内每份基金份额具有同等的合法权益。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、根据《基金法》、《运作办法》及其他有关规定，基金份额持有人的权利包括但不限于：</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）分享基金财产收益；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）参与分配清算后的剩余基金财产；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）依法转让或者申请赎回其持有的基金份额；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）按照规定要求召开基金份额持有人大会或者召集基金份额持有人大会；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）出席或者委派代表出席基金份额持有人大会，对基金份额持有人大会审议事项行使表决权；</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）查阅或者复制公开披露的基金信息资料；</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）监督基金管理人的投资运作；</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）对基金管理人、基金托管人、基金服务机构损害其合法权益的行为依法提起诉讼或仲裁；</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）法律法规及中国证监会规定的和《基金合同》约定的其他权利。</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、根据《基金法》、《运作办法》及其他有关规定，基金份额持有人的义务包括但不限于：</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）认真阅读并遵守《基金合同》、招募说明书等信息披露文件；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）了解所投资基金产品，了解自身风险承受能力，自</w:t>
      </w:r>
      <w:r>
        <w:rPr>
          <w:rFonts w:ascii="宋体" w:hAnsi="宋体" w:cs="宋体"/>
          <w:kern w:val="0"/>
          <w:szCs w:val="21"/>
        </w:rPr>
        <w:t>主判断基金的投资价值，自主做出投资决策，自行承担投资风险；</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）关注基金信息披露，及时行使权利和履行义务；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w:t>
      </w:r>
      <w:r>
        <w:rPr>
          <w:rFonts w:ascii="宋体" w:hAnsi="宋体" w:cs="宋体"/>
          <w:kern w:val="0"/>
          <w:szCs w:val="21"/>
        </w:rPr>
        <w:t>4</w:t>
      </w:r>
      <w:r>
        <w:rPr>
          <w:rFonts w:ascii="宋体" w:hAnsi="宋体" w:cs="宋体"/>
          <w:kern w:val="0"/>
          <w:szCs w:val="21"/>
        </w:rPr>
        <w:t>）交纳基金认购、申购款项及法律法规和《基金合同》所规定的费用；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）在其持有的基金份额范围内，承担基金亏损或者《基金合同》终止的有限责任；</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）不从事任何有损基金及其他《基金合同》当事人合法权益的活动；</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）执行生效的基金份额持有人大会的决议；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）返还在基金交易过程中因任何原因获得的不当得利；</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）遵守基金管理人、基金托管人、销售机构和登记机构的相关交易及业务规则；</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）提供基金管理人和监管机构依法要求提供的信息，以及不时的更新和补充，并保证其真实性；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11</w:t>
      </w:r>
      <w:r>
        <w:rPr>
          <w:rFonts w:ascii="宋体" w:hAnsi="宋体" w:cs="宋体"/>
          <w:kern w:val="0"/>
          <w:szCs w:val="21"/>
        </w:rPr>
        <w:t>）法律法规及中国证监会规定的和《基金合同》约定的其他义务。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B</w:t>
      </w:r>
      <w:r>
        <w:rPr>
          <w:rFonts w:ascii="宋体" w:hAnsi="宋体" w:cs="宋体"/>
          <w:kern w:val="0"/>
          <w:szCs w:val="21"/>
        </w:rPr>
        <w:t>、基金份额持有人大会召集、议事及表决的程序和规则</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由基金份额持有人组成，基金份额持有人的合法授权代表有权代表基金份额持有人出席会议并表决。除法律法规另有规定或本基金合同另有约定外，基金份额持有人持有的每一基金份额拥有平等的投票权。若将来法律法规对基金份额持有人大会另有规定的，以届时有效的法律法规为准。</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本基金份额持有人大会不设日常机</w:t>
      </w:r>
      <w:r>
        <w:rPr>
          <w:rFonts w:ascii="宋体" w:hAnsi="宋体" w:cs="宋体"/>
          <w:kern w:val="0"/>
          <w:szCs w:val="21"/>
        </w:rPr>
        <w:t>构。</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（一）召开事由</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、当出现或需要决定下列事由之一的，除法律法规、中国证监会另有规定或《基金合同》另有约定外，应当召开基金份额持有人大会：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）终止《基金合同》；</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）更换基金管理人；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）更换基金托管人；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）转换基金运作方式；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）调整基金管理人、基金托管人的报酬标准或提高销售服务费；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）变更基金类别；</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）本基金与其他基金的合并；</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）变更基金投资目标、范围或策略；</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）变更基金份额持有人大会程序；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）基金管理人或基金托管人要求召开基金份额持有人大会；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11</w:t>
      </w:r>
      <w:r>
        <w:rPr>
          <w:rFonts w:ascii="宋体" w:hAnsi="宋体" w:cs="宋体"/>
          <w:kern w:val="0"/>
          <w:szCs w:val="21"/>
        </w:rPr>
        <w:t>）单独或合计持有本基金总份额</w:t>
      </w:r>
      <w:r>
        <w:rPr>
          <w:rFonts w:ascii="宋体" w:hAnsi="宋体" w:cs="宋体"/>
          <w:kern w:val="0"/>
          <w:szCs w:val="21"/>
        </w:rPr>
        <w:t>10%</w:t>
      </w:r>
      <w:r>
        <w:rPr>
          <w:rFonts w:ascii="宋体" w:hAnsi="宋体" w:cs="宋体"/>
          <w:kern w:val="0"/>
          <w:szCs w:val="21"/>
        </w:rPr>
        <w:t>以上（含</w:t>
      </w:r>
      <w:r>
        <w:rPr>
          <w:rFonts w:ascii="宋体" w:hAnsi="宋体" w:cs="宋体"/>
          <w:kern w:val="0"/>
          <w:szCs w:val="21"/>
        </w:rPr>
        <w:t>10%</w:t>
      </w:r>
      <w:r>
        <w:rPr>
          <w:rFonts w:ascii="宋体" w:hAnsi="宋体" w:cs="宋体"/>
          <w:kern w:val="0"/>
          <w:szCs w:val="21"/>
        </w:rPr>
        <w:t>）基金份额的基金份额持有人（以基金管理人收到提议当日的基金份额计算，下同）就同一事项书面要求召开基金份额持有人大会；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12</w:t>
      </w:r>
      <w:r>
        <w:rPr>
          <w:rFonts w:ascii="宋体" w:hAnsi="宋体" w:cs="宋体"/>
          <w:kern w:val="0"/>
          <w:szCs w:val="21"/>
        </w:rPr>
        <w:t>）对基金合同当事人权利和义务产生重大影响的其他事项；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13</w:t>
      </w:r>
      <w:r>
        <w:rPr>
          <w:rFonts w:ascii="宋体" w:hAnsi="宋体" w:cs="宋体"/>
          <w:kern w:val="0"/>
          <w:szCs w:val="21"/>
        </w:rPr>
        <w:t>）法律法规、《基金合同》或中国证监会规定的其他应当召开基金份额持有人大会的事项。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2</w:t>
      </w:r>
      <w:r>
        <w:rPr>
          <w:rFonts w:ascii="宋体" w:hAnsi="宋体" w:cs="宋体"/>
          <w:kern w:val="0"/>
          <w:szCs w:val="21"/>
        </w:rPr>
        <w:t>、在法律法规规定和《基金合同》约定的范围内且对基金份额持有人利益无实质性不利影响的前提下，以下情况可由基金管理人和基金托管人协商后修改，不需召开基金份额持有人大会：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）法律法规要求增加的</w:t>
      </w:r>
      <w:r>
        <w:rPr>
          <w:rFonts w:ascii="宋体" w:hAnsi="宋体" w:cs="宋体"/>
          <w:kern w:val="0"/>
          <w:szCs w:val="21"/>
        </w:rPr>
        <w:t>基金费用的收取；</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）调整本基金的申购费率、调低赎回费率或调低销售服务费率，或变更收费方式，或增加、减少或调整基金份额类别设置及对基金份额分类办法、规则进行调整；</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）因相应的法律法规发生变动而应当对《基金合同》进行修改；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）对《基金合同》的修改对基金份额持有人利益无实质性不利影响或修改不涉及《基金合同》当事人权利义务关系发生重大变化；</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）基金管理人、登记机构、基金销售机构调整有关申购、赎回、转换、非交易过户、转托管等业务规则；</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）基金推出新业务或服务；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）按照法律法规和《基金合同》规定不需召开基金份额持有人大会的其他情形。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（二）会议召集人及召集方式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、除法律法规规定或《基金合同》另有约定外，基金份额持有人大会由基金管理人召集。</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、基金管理人未按规定召集或不能召集时，由基金托管人召集。</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、基金托管人认为有必要召开基金份额持有人大会的，应当向基金管理人提出书面提议。基金管理人应当自收到书面提议之日起</w:t>
      </w:r>
      <w:r>
        <w:rPr>
          <w:rFonts w:ascii="宋体" w:hAnsi="宋体" w:cs="宋体"/>
          <w:kern w:val="0"/>
          <w:szCs w:val="21"/>
        </w:rPr>
        <w:t>10</w:t>
      </w:r>
      <w:r>
        <w:rPr>
          <w:rFonts w:ascii="宋体" w:hAnsi="宋体" w:cs="宋体"/>
          <w:kern w:val="0"/>
          <w:szCs w:val="21"/>
        </w:rPr>
        <w:t>日内决定是否召集，并书面告知基金托管人。基金管理人决定召集的，应当自出具书面决定之日起</w:t>
      </w:r>
      <w:r>
        <w:rPr>
          <w:rFonts w:ascii="宋体" w:hAnsi="宋体" w:cs="宋体"/>
          <w:kern w:val="0"/>
          <w:szCs w:val="21"/>
        </w:rPr>
        <w:t xml:space="preserve">       </w:t>
      </w:r>
    </w:p>
    <w:p w:rsidR="00796C66" w:rsidRDefault="00FB6202">
      <w:pPr>
        <w:pStyle w:val="div"/>
        <w:spacing w:line="360" w:lineRule="auto"/>
        <w:rPr>
          <w:rFonts w:eastAsia="Times New Roman"/>
          <w:kern w:val="0"/>
          <w:szCs w:val="21"/>
        </w:rPr>
      </w:pPr>
      <w:r>
        <w:rPr>
          <w:rFonts w:ascii="宋体" w:hAnsi="宋体" w:cs="宋体"/>
          <w:kern w:val="0"/>
          <w:szCs w:val="21"/>
        </w:rPr>
        <w:t>60</w:t>
      </w:r>
      <w:r>
        <w:rPr>
          <w:rFonts w:ascii="宋体" w:hAnsi="宋体" w:cs="宋体"/>
          <w:kern w:val="0"/>
          <w:szCs w:val="21"/>
        </w:rPr>
        <w:t>日内召开；基金管理人决定不召集，基金托管人</w:t>
      </w:r>
      <w:r>
        <w:rPr>
          <w:rFonts w:ascii="宋体" w:hAnsi="宋体" w:cs="宋体"/>
          <w:kern w:val="0"/>
          <w:szCs w:val="21"/>
        </w:rPr>
        <w:t>仍认为有必要召开的，应当由基金托管人自行召集，并自出具书面决定之日起</w:t>
      </w:r>
      <w:r>
        <w:rPr>
          <w:rFonts w:ascii="宋体" w:hAnsi="宋体" w:cs="宋体"/>
          <w:kern w:val="0"/>
          <w:szCs w:val="21"/>
        </w:rPr>
        <w:t>60</w:t>
      </w:r>
      <w:r>
        <w:rPr>
          <w:rFonts w:ascii="宋体" w:hAnsi="宋体" w:cs="宋体"/>
          <w:kern w:val="0"/>
          <w:szCs w:val="21"/>
        </w:rPr>
        <w:t>日内召开并告知基金管理人，基金管理人应当配合。</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、代表基金份额</w:t>
      </w:r>
      <w:r>
        <w:rPr>
          <w:rFonts w:ascii="宋体" w:hAnsi="宋体" w:cs="宋体"/>
          <w:kern w:val="0"/>
          <w:szCs w:val="21"/>
        </w:rPr>
        <w:t>10%</w:t>
      </w:r>
      <w:r>
        <w:rPr>
          <w:rFonts w:ascii="宋体" w:hAnsi="宋体" w:cs="宋体"/>
          <w:kern w:val="0"/>
          <w:szCs w:val="21"/>
        </w:rPr>
        <w:t>以上（含</w:t>
      </w:r>
      <w:r>
        <w:rPr>
          <w:rFonts w:ascii="宋体" w:hAnsi="宋体" w:cs="宋体"/>
          <w:kern w:val="0"/>
          <w:szCs w:val="21"/>
        </w:rPr>
        <w:t>10%</w:t>
      </w:r>
      <w:r>
        <w:rPr>
          <w:rFonts w:ascii="宋体" w:hAnsi="宋体" w:cs="宋体"/>
          <w:kern w:val="0"/>
          <w:szCs w:val="21"/>
        </w:rPr>
        <w:t>）的基金份额持有人就同一事项书面要求召开基金份额持有人大会，应当向基金管理人提出书面提议。基金管理人应当自收到书面提议之日起</w:t>
      </w:r>
      <w:r>
        <w:rPr>
          <w:rFonts w:ascii="宋体" w:hAnsi="宋体" w:cs="宋体"/>
          <w:kern w:val="0"/>
          <w:szCs w:val="21"/>
        </w:rPr>
        <w:t>10</w:t>
      </w:r>
      <w:r>
        <w:rPr>
          <w:rFonts w:ascii="宋体" w:hAnsi="宋体" w:cs="宋体"/>
          <w:kern w:val="0"/>
          <w:szCs w:val="21"/>
        </w:rPr>
        <w:t>日内决定是否召集，并书面告知提出提议的基金份额持有人代表和基金托管人。基金管理人决定召集的，应当自出具书面决定之日起</w:t>
      </w:r>
    </w:p>
    <w:p w:rsidR="00796C66" w:rsidRDefault="00FB6202">
      <w:pPr>
        <w:pStyle w:val="div"/>
        <w:spacing w:line="360" w:lineRule="auto"/>
        <w:rPr>
          <w:rFonts w:eastAsia="Times New Roman"/>
          <w:kern w:val="0"/>
          <w:szCs w:val="21"/>
        </w:rPr>
      </w:pPr>
      <w:r>
        <w:rPr>
          <w:rFonts w:ascii="宋体" w:hAnsi="宋体" w:cs="宋体"/>
          <w:kern w:val="0"/>
          <w:szCs w:val="21"/>
        </w:rPr>
        <w:t>60</w:t>
      </w:r>
      <w:r>
        <w:rPr>
          <w:rFonts w:ascii="宋体" w:hAnsi="宋体" w:cs="宋体"/>
          <w:kern w:val="0"/>
          <w:szCs w:val="21"/>
        </w:rPr>
        <w:t>日内召开；基金管理人决定不召集，代表基金份额</w:t>
      </w:r>
      <w:r>
        <w:rPr>
          <w:rFonts w:ascii="宋体" w:hAnsi="宋体" w:cs="宋体"/>
          <w:kern w:val="0"/>
          <w:szCs w:val="21"/>
        </w:rPr>
        <w:t>10%</w:t>
      </w:r>
      <w:r>
        <w:rPr>
          <w:rFonts w:ascii="宋体" w:hAnsi="宋体" w:cs="宋体"/>
          <w:kern w:val="0"/>
          <w:szCs w:val="21"/>
        </w:rPr>
        <w:t>以上（含</w:t>
      </w:r>
      <w:r>
        <w:rPr>
          <w:rFonts w:ascii="宋体" w:hAnsi="宋体" w:cs="宋体"/>
          <w:kern w:val="0"/>
          <w:szCs w:val="21"/>
        </w:rPr>
        <w:t>10%</w:t>
      </w:r>
      <w:r>
        <w:rPr>
          <w:rFonts w:ascii="宋体" w:hAnsi="宋体" w:cs="宋体"/>
          <w:kern w:val="0"/>
          <w:szCs w:val="21"/>
        </w:rPr>
        <w:t>）的基金份额持有人仍认为有必要召开的，应当</w:t>
      </w:r>
      <w:r>
        <w:rPr>
          <w:rFonts w:ascii="宋体" w:hAnsi="宋体" w:cs="宋体"/>
          <w:kern w:val="0"/>
          <w:szCs w:val="21"/>
        </w:rPr>
        <w:t>向基金托管人提出书面提议。基金托管人应当自收到书面提议之日起</w:t>
      </w:r>
      <w:r>
        <w:rPr>
          <w:rFonts w:ascii="宋体" w:hAnsi="宋体" w:cs="宋体"/>
          <w:kern w:val="0"/>
          <w:szCs w:val="21"/>
        </w:rPr>
        <w:t>10</w:t>
      </w:r>
      <w:r>
        <w:rPr>
          <w:rFonts w:ascii="宋体" w:hAnsi="宋体" w:cs="宋体"/>
          <w:kern w:val="0"/>
          <w:szCs w:val="21"/>
        </w:rPr>
        <w:t>日内决定是否召集，并书面告知提出提议的基金份额持有人代表和基金管理人；基金托管人决定召集的，应当自出具书面决定之日起</w:t>
      </w:r>
      <w:r>
        <w:rPr>
          <w:rFonts w:ascii="宋体" w:hAnsi="宋体" w:cs="宋体"/>
          <w:kern w:val="0"/>
          <w:szCs w:val="21"/>
        </w:rPr>
        <w:t>60</w:t>
      </w:r>
      <w:r>
        <w:rPr>
          <w:rFonts w:ascii="宋体" w:hAnsi="宋体" w:cs="宋体"/>
          <w:kern w:val="0"/>
          <w:szCs w:val="21"/>
        </w:rPr>
        <w:t>日内召开，并告知基金管理人，基金管理人应当配合。</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、代表基金份额</w:t>
      </w:r>
      <w:r>
        <w:rPr>
          <w:rFonts w:ascii="宋体" w:hAnsi="宋体" w:cs="宋体"/>
          <w:kern w:val="0"/>
          <w:szCs w:val="21"/>
        </w:rPr>
        <w:t>10%</w:t>
      </w:r>
      <w:r>
        <w:rPr>
          <w:rFonts w:ascii="宋体" w:hAnsi="宋体" w:cs="宋体"/>
          <w:kern w:val="0"/>
          <w:szCs w:val="21"/>
        </w:rPr>
        <w:t>以上（含</w:t>
      </w:r>
      <w:r>
        <w:rPr>
          <w:rFonts w:ascii="宋体" w:hAnsi="宋体" w:cs="宋体"/>
          <w:kern w:val="0"/>
          <w:szCs w:val="21"/>
        </w:rPr>
        <w:t>10%</w:t>
      </w:r>
      <w:r>
        <w:rPr>
          <w:rFonts w:ascii="宋体" w:hAnsi="宋体" w:cs="宋体"/>
          <w:kern w:val="0"/>
          <w:szCs w:val="21"/>
        </w:rPr>
        <w:t>）的基金份额持有人就同一事项要求召开基金份额持有人大会，而基金管理人、基金托管人都不召集的，单独或合计代表基金份额</w:t>
      </w:r>
      <w:r>
        <w:rPr>
          <w:rFonts w:ascii="宋体" w:hAnsi="宋体" w:cs="宋体"/>
          <w:kern w:val="0"/>
          <w:szCs w:val="21"/>
        </w:rPr>
        <w:t>10%</w:t>
      </w:r>
      <w:r>
        <w:rPr>
          <w:rFonts w:ascii="宋体" w:hAnsi="宋体" w:cs="宋体"/>
          <w:kern w:val="0"/>
          <w:szCs w:val="21"/>
        </w:rPr>
        <w:t>以上</w:t>
      </w:r>
      <w:r>
        <w:rPr>
          <w:rFonts w:ascii="宋体" w:hAnsi="宋体" w:cs="宋体"/>
          <w:kern w:val="0"/>
          <w:szCs w:val="21"/>
        </w:rPr>
        <w:lastRenderedPageBreak/>
        <w:t>（含</w:t>
      </w:r>
      <w:r>
        <w:rPr>
          <w:rFonts w:ascii="宋体" w:hAnsi="宋体" w:cs="宋体"/>
          <w:kern w:val="0"/>
          <w:szCs w:val="21"/>
        </w:rPr>
        <w:t>10%</w:t>
      </w:r>
      <w:r>
        <w:rPr>
          <w:rFonts w:ascii="宋体" w:hAnsi="宋体" w:cs="宋体"/>
          <w:kern w:val="0"/>
          <w:szCs w:val="21"/>
        </w:rPr>
        <w:t>）的基金份额持有人有权自行召集，并至少提前</w:t>
      </w:r>
      <w:r>
        <w:rPr>
          <w:rFonts w:ascii="宋体" w:hAnsi="宋体" w:cs="宋体"/>
          <w:kern w:val="0"/>
          <w:szCs w:val="21"/>
        </w:rPr>
        <w:t>30</w:t>
      </w:r>
      <w:r>
        <w:rPr>
          <w:rFonts w:ascii="宋体" w:hAnsi="宋体" w:cs="宋体"/>
          <w:kern w:val="0"/>
          <w:szCs w:val="21"/>
        </w:rPr>
        <w:t>日报中国证监会备案。基金份额持有人依法自行召集基金份额持有人大</w:t>
      </w:r>
      <w:r>
        <w:rPr>
          <w:rFonts w:ascii="宋体" w:hAnsi="宋体" w:cs="宋体"/>
          <w:kern w:val="0"/>
          <w:szCs w:val="21"/>
        </w:rPr>
        <w:t>会的，基金管理人、基金托管人应当配合，不得阻碍、干扰。</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、基金份额持有人会议的召集人负责选择确定开会时间、地点、方式和权益登记日。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（三）召开基金份额持有人大会的通知时间、通知内容、通知方式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、召开基金份额持有人大会，召集人应于会议召开前</w:t>
      </w:r>
      <w:r>
        <w:rPr>
          <w:rFonts w:ascii="宋体" w:hAnsi="宋体" w:cs="宋体"/>
          <w:kern w:val="0"/>
          <w:szCs w:val="21"/>
        </w:rPr>
        <w:t>30</w:t>
      </w:r>
      <w:r>
        <w:rPr>
          <w:rFonts w:ascii="宋体" w:hAnsi="宋体" w:cs="宋体"/>
          <w:kern w:val="0"/>
          <w:szCs w:val="21"/>
        </w:rPr>
        <w:t>日，在规定媒介公告。基金份额持有人大会通知应至少载明以下内容：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）会议召开的时间、地点和会议形式；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）会议拟审议的事项、议事程序和表决方式；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）有权出席基金份额持有人大会的基金份额持有人的权益登记日；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）授权委托证明的内容要求（包括但不限于代理人身份</w:t>
      </w:r>
      <w:r>
        <w:rPr>
          <w:rFonts w:ascii="宋体" w:hAnsi="宋体" w:cs="宋体"/>
          <w:kern w:val="0"/>
          <w:szCs w:val="21"/>
        </w:rPr>
        <w:t>，代理权限和代理有效期限等）、送达时间和地点；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）会务常设联系人姓名及联系电话；</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）出席会议者必须准备的文件和必须履行的手续；</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）召集人需要通知的其他事项。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、如召集人为基金管理人，还应另行书面通知基金托管人到指定地点对表决意见的计票进行监督；如召集人为基金托管人，则应另行书面通知基金管理人到指定地点对表决意</w:t>
      </w:r>
      <w:r>
        <w:rPr>
          <w:rFonts w:ascii="宋体" w:hAnsi="宋体" w:cs="宋体"/>
          <w:kern w:val="0"/>
          <w:szCs w:val="21"/>
        </w:rPr>
        <w:t>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（四）基金份额持有人出席会议的方式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基金份额持有人大会可通过现场开会方式、通讯开会方式或法律法规、监管机构允许的其他方式召开，会议的召开方式由会议召集人确定。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、现场开会。由基金份额持有人本人出席或以代理投票授权委托证明委派代表出席，现场开会时基金管理人和基金托管人的授权代表应当列席基金份额持有人大会，</w:t>
      </w:r>
      <w:r>
        <w:rPr>
          <w:rFonts w:ascii="宋体" w:hAnsi="宋体" w:cs="宋体"/>
          <w:kern w:val="0"/>
          <w:szCs w:val="21"/>
        </w:rPr>
        <w:t>基金管理人或基金托管人不派代表列席的，不影响表决效力。现场开会同时符合以下条件时，可以进行基金份额持有人大会议程：</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）经核对，汇总到会者出示的在权益登记日持有基金份额的凭证显示，有效的基</w:t>
      </w:r>
      <w:r>
        <w:rPr>
          <w:rFonts w:ascii="宋体" w:hAnsi="宋体" w:cs="宋体"/>
          <w:kern w:val="0"/>
          <w:szCs w:val="21"/>
        </w:rPr>
        <w:lastRenderedPageBreak/>
        <w:t>金份额不少于本基金在权益登记日基金总份额的二分之一（含二分之一）。若到会者在权益登记日代表的有效的基金份额少</w:t>
      </w:r>
      <w:r>
        <w:rPr>
          <w:rFonts w:ascii="宋体" w:hAnsi="宋体" w:cs="宋体"/>
          <w:kern w:val="0"/>
          <w:szCs w:val="21"/>
        </w:rPr>
        <w:t>于本基金在权益登记日基金总份额的二分之一，召集人可以在原公告的基金份额持有人大会召开时间的</w:t>
      </w:r>
      <w:r>
        <w:rPr>
          <w:rFonts w:ascii="宋体" w:hAnsi="宋体" w:cs="宋体"/>
          <w:kern w:val="0"/>
          <w:szCs w:val="21"/>
        </w:rPr>
        <w:t>3</w:t>
      </w:r>
      <w:r>
        <w:rPr>
          <w:rFonts w:ascii="宋体" w:hAnsi="宋体" w:cs="宋体"/>
          <w:kern w:val="0"/>
          <w:szCs w:val="21"/>
        </w:rPr>
        <w:t>个月以后、</w:t>
      </w:r>
      <w:r>
        <w:rPr>
          <w:rFonts w:ascii="宋体" w:hAnsi="宋体" w:cs="宋体"/>
          <w:kern w:val="0"/>
          <w:szCs w:val="21"/>
        </w:rPr>
        <w:t>6</w:t>
      </w:r>
      <w:r>
        <w:rPr>
          <w:rFonts w:ascii="宋体" w:hAnsi="宋体" w:cs="宋体"/>
          <w:kern w:val="0"/>
          <w:szCs w:val="21"/>
        </w:rPr>
        <w:t>个月以内，就原定审议事项重新召集基金份额持有人大会。重新召集的基金份额持有人大会到会者在权益登记日代表的有效的基金份额应不少于本基金在权益登记日基金总份额的三分之一（含三分之一）。</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通讯开会。通讯开会系指基金份额持有人将其对表决事项的投票以书面形式或大会公告载明的其他方式在表决截止日以前送达至召集人指定的地址或系统。通讯开会应以书面方式或大会公告载明的其他方式进行表决。</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在同时符合以下条件时，通讯开会的方式视为有效：</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）会议召集人按《基金合同》约定公布会议通知后，在</w:t>
      </w:r>
      <w:r>
        <w:rPr>
          <w:rFonts w:ascii="宋体" w:hAnsi="宋体" w:cs="宋体"/>
          <w:kern w:val="0"/>
          <w:szCs w:val="21"/>
        </w:rPr>
        <w:t>2</w:t>
      </w:r>
      <w:r>
        <w:rPr>
          <w:rFonts w:ascii="宋体" w:hAnsi="宋体" w:cs="宋体"/>
          <w:kern w:val="0"/>
          <w:szCs w:val="21"/>
        </w:rPr>
        <w:t>个工作日内连续公布相关提示性公告；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）本人直接出具表决意见或授权他人代表出具表决意见的</w:t>
      </w:r>
      <w:r>
        <w:rPr>
          <w:rFonts w:ascii="宋体" w:hAnsi="宋体" w:cs="宋体"/>
          <w:kern w:val="0"/>
          <w:szCs w:val="21"/>
        </w:rPr>
        <w:t>，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Pr>
          <w:rFonts w:ascii="宋体" w:hAnsi="宋体" w:cs="宋体"/>
          <w:kern w:val="0"/>
          <w:szCs w:val="21"/>
        </w:rPr>
        <w:t>3</w:t>
      </w:r>
      <w:r>
        <w:rPr>
          <w:rFonts w:ascii="宋体" w:hAnsi="宋体" w:cs="宋体"/>
          <w:kern w:val="0"/>
          <w:szCs w:val="21"/>
        </w:rPr>
        <w:t>个月以后、</w:t>
      </w:r>
      <w:r>
        <w:rPr>
          <w:rFonts w:ascii="宋体" w:hAnsi="宋体" w:cs="宋体"/>
          <w:kern w:val="0"/>
          <w:szCs w:val="21"/>
        </w:rPr>
        <w:t>6</w:t>
      </w:r>
      <w:r>
        <w:rPr>
          <w:rFonts w:ascii="宋体" w:hAnsi="宋体" w:cs="宋体"/>
          <w:kern w:val="0"/>
          <w:szCs w:val="21"/>
        </w:rPr>
        <w:t>个月以内，就原定审议事项重新召集基金份额持有人大会。重新召集的基金份额持有人大会应当有代表三分之一以上（含三分之一）基金份额的持有人直接出具表决意见或授权他人代表出具表决意见；</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）上述第（</w:t>
      </w:r>
      <w:r>
        <w:rPr>
          <w:rFonts w:ascii="宋体" w:hAnsi="宋体" w:cs="宋体"/>
          <w:kern w:val="0"/>
          <w:szCs w:val="21"/>
        </w:rPr>
        <w:t>3</w:t>
      </w:r>
      <w:r>
        <w:rPr>
          <w:rFonts w:ascii="宋体" w:hAnsi="宋体" w:cs="宋体"/>
          <w:kern w:val="0"/>
          <w:szCs w:val="21"/>
        </w:rPr>
        <w:t>）项中直接出具表决意见的基金份额持有人或受托代表他人出</w:t>
      </w:r>
      <w:r>
        <w:rPr>
          <w:rFonts w:ascii="宋体" w:hAnsi="宋体" w:cs="宋体"/>
          <w:kern w:val="0"/>
          <w:szCs w:val="21"/>
        </w:rPr>
        <w:t>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在不违反法律法规或监管机构规定的情况下，经会议通知载明，基金份额持有人大会可通过网络、电话或其他方式召开，基金份额持有人也可以采用网络、电话或其他方式进行表决，或者采用网络、电话或其他方式授权他人代为出席会议并表决。</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（五）议事内容与程序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、议事内容及提案权</w:t>
      </w:r>
    </w:p>
    <w:p w:rsidR="00796C66" w:rsidRDefault="00FB6202">
      <w:pPr>
        <w:pStyle w:val="div"/>
        <w:spacing w:line="360" w:lineRule="auto"/>
        <w:ind w:firstLine="480"/>
        <w:rPr>
          <w:rFonts w:eastAsia="Times New Roman"/>
          <w:kern w:val="0"/>
          <w:szCs w:val="21"/>
        </w:rPr>
      </w:pPr>
      <w:r>
        <w:rPr>
          <w:rFonts w:ascii="宋体" w:hAnsi="宋体" w:cs="宋体"/>
          <w:kern w:val="0"/>
          <w:szCs w:val="21"/>
        </w:rPr>
        <w:t>议事内容为关系基金份额持有人利益的重大事项，如《基金合同》的重大修改、决定终止《基金合同》、更换基金管理人、更换基金托管人、与其他基金合并、法律法规及</w:t>
      </w:r>
      <w:r>
        <w:rPr>
          <w:rFonts w:ascii="宋体" w:hAnsi="宋体" w:cs="宋体"/>
          <w:kern w:val="0"/>
          <w:szCs w:val="21"/>
        </w:rPr>
        <w:lastRenderedPageBreak/>
        <w:t>《基金合同》规定的其他事项以及会议召集人认为需提交基金份额持有人大会讨论的其他事项。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基金份额持有人大会的召集人发出召集会议的通知后，对原有提案的修改应当在基金份额持有人大会召开前及时公告。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基金份额持有人大会不得对未事先公告的议事内容进行表决。</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、议事程序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）现场开会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在现场开会的方式下，首先由大会主持人按照下列第（七）条规定程序确定和公布监票人，然后</w:t>
      </w:r>
      <w:r>
        <w:rPr>
          <w:rFonts w:ascii="宋体" w:hAnsi="宋体" w:cs="宋体"/>
          <w:kern w:val="0"/>
          <w:szCs w:val="21"/>
        </w:rPr>
        <w:t>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ascii="宋体" w:hAnsi="宋体" w:cs="宋体"/>
          <w:kern w:val="0"/>
          <w:szCs w:val="21"/>
        </w:rPr>
        <w:t>50%</w:t>
      </w:r>
      <w:r>
        <w:rPr>
          <w:rFonts w:ascii="宋体" w:hAnsi="宋体" w:cs="宋体"/>
          <w:kern w:val="0"/>
          <w:szCs w:val="21"/>
        </w:rPr>
        <w:t>以上（含</w:t>
      </w:r>
      <w:r>
        <w:rPr>
          <w:rFonts w:ascii="宋体" w:hAnsi="宋体" w:cs="宋体"/>
          <w:kern w:val="0"/>
          <w:szCs w:val="21"/>
        </w:rPr>
        <w:t>50%</w:t>
      </w:r>
      <w:r>
        <w:rPr>
          <w:rFonts w:ascii="宋体" w:hAnsi="宋体" w:cs="宋体"/>
          <w:kern w:val="0"/>
          <w:szCs w:val="21"/>
        </w:rPr>
        <w:t>）选举产生一名基金份额持有人作为该次基金份额持有人大会的主持人。基金管理人和基金托管人拒不出席或主持基金份额持有人大会，不影响基金份额持有人大会作出的决议的效力。</w:t>
      </w:r>
    </w:p>
    <w:p w:rsidR="00796C66" w:rsidRDefault="00FB6202">
      <w:pPr>
        <w:pStyle w:val="div"/>
        <w:spacing w:line="360" w:lineRule="auto"/>
        <w:ind w:firstLine="480"/>
        <w:rPr>
          <w:rFonts w:eastAsia="Times New Roman"/>
          <w:kern w:val="0"/>
          <w:szCs w:val="21"/>
        </w:rPr>
      </w:pPr>
      <w:r>
        <w:rPr>
          <w:rFonts w:ascii="宋体" w:hAnsi="宋体" w:cs="宋体"/>
          <w:kern w:val="0"/>
          <w:szCs w:val="21"/>
        </w:rPr>
        <w:t>会议召集人应当制作出席会议人员的签名册。签名</w:t>
      </w:r>
      <w:r>
        <w:rPr>
          <w:rFonts w:ascii="宋体" w:hAnsi="宋体" w:cs="宋体"/>
          <w:kern w:val="0"/>
          <w:szCs w:val="21"/>
        </w:rPr>
        <w:t>册载明参加会议人员姓名（或单位名称）、身份证明文件号码、持有或代表有表决权的基金份额、委托人姓名（或单位名称）和联系方式等事项。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）通讯开会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在通讯开会的情况下，首先由召集人提前</w:t>
      </w:r>
      <w:r>
        <w:rPr>
          <w:rFonts w:ascii="宋体" w:hAnsi="宋体" w:cs="宋体"/>
          <w:kern w:val="0"/>
          <w:szCs w:val="21"/>
        </w:rPr>
        <w:t>30</w:t>
      </w:r>
      <w:r>
        <w:rPr>
          <w:rFonts w:ascii="宋体" w:hAnsi="宋体" w:cs="宋体"/>
          <w:kern w:val="0"/>
          <w:szCs w:val="21"/>
        </w:rPr>
        <w:t>日公布提案，在所通知的表决截止日期后</w:t>
      </w:r>
      <w:r>
        <w:rPr>
          <w:rFonts w:ascii="宋体" w:hAnsi="宋体" w:cs="宋体"/>
          <w:kern w:val="0"/>
          <w:szCs w:val="21"/>
        </w:rPr>
        <w:t>2</w:t>
      </w:r>
      <w:r>
        <w:rPr>
          <w:rFonts w:ascii="宋体" w:hAnsi="宋体" w:cs="宋体"/>
          <w:kern w:val="0"/>
          <w:szCs w:val="21"/>
        </w:rPr>
        <w:t>个工作日内在公证机关监督下由召集人统计全部有效表决，在公证机关监督下形成决议。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（六）表决</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基金份额持有人所持每份基金份额有一票表决权。</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基金份额持有人大会决议分为一般决议和特别决议：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、一般决议，一般决议须经参加大会的基金份额持有人或其代理人所持表决权的二分之一以上（含二分之一）通过</w:t>
      </w:r>
      <w:r>
        <w:rPr>
          <w:rFonts w:ascii="宋体" w:hAnsi="宋体" w:cs="宋体"/>
          <w:kern w:val="0"/>
          <w:szCs w:val="21"/>
        </w:rPr>
        <w:t>方为有效；除下列第</w:t>
      </w:r>
      <w:r>
        <w:rPr>
          <w:rFonts w:ascii="宋体" w:hAnsi="宋体" w:cs="宋体"/>
          <w:kern w:val="0"/>
          <w:szCs w:val="21"/>
        </w:rPr>
        <w:t>2</w:t>
      </w:r>
      <w:r>
        <w:rPr>
          <w:rFonts w:ascii="宋体" w:hAnsi="宋体" w:cs="宋体"/>
          <w:kern w:val="0"/>
          <w:szCs w:val="21"/>
        </w:rPr>
        <w:t>项所规定的须以特别决议通过事项以外的其他事项均以一般决议的方式通过。</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特别决议，特别决议应当经参加大会的基金份额持有人或其代理人所持表决权的三分之二以上（含三分之二）通过方可做出。除法律法规、中国证监会另有规定或基金合同另有约定外，转换基金运作方式、更换基金管理人或者基金托管人、终止《基金合同》、本基金与其他基金合并以特别决议通过方为有效。</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基金份额持有人大会采取记名方式进行投票表决。</w:t>
      </w:r>
    </w:p>
    <w:p w:rsidR="00796C66" w:rsidRDefault="00FB6202">
      <w:pPr>
        <w:pStyle w:val="div"/>
        <w:spacing w:line="360" w:lineRule="auto"/>
        <w:ind w:firstLine="480"/>
        <w:rPr>
          <w:rFonts w:eastAsia="Times New Roman"/>
          <w:kern w:val="0"/>
          <w:szCs w:val="21"/>
        </w:rPr>
      </w:pPr>
      <w:r>
        <w:rPr>
          <w:rFonts w:ascii="宋体" w:hAnsi="宋体" w:cs="宋体"/>
          <w:kern w:val="0"/>
          <w:szCs w:val="21"/>
        </w:rPr>
        <w:t>采取通讯方式进行表决时，除非在计票时有充分的相反证据证明，否则提交符合会议通知中规定的确认投资者身</w:t>
      </w:r>
      <w:r>
        <w:rPr>
          <w:rFonts w:ascii="宋体" w:hAnsi="宋体" w:cs="宋体"/>
          <w:kern w:val="0"/>
          <w:szCs w:val="21"/>
        </w:rPr>
        <w:t>份文件的表决视为有效出席的投资者，表面符合会议通知规定</w:t>
      </w:r>
      <w:r>
        <w:rPr>
          <w:rFonts w:ascii="宋体" w:hAnsi="宋体" w:cs="宋体"/>
          <w:kern w:val="0"/>
          <w:szCs w:val="21"/>
        </w:rPr>
        <w:lastRenderedPageBreak/>
        <w:t>的表决意见视为有效表决，表决意见模糊不清或相互矛盾的视为弃权表决，但应当计入出具表决意见的基金份额持有人所代表的基金份额总数。</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基金份额持有人大会的各项提案或同一项提案内并列的各项议题应当分开审议、逐项表决。</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（七）计票</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、现场开会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w:t>
      </w:r>
      <w:r>
        <w:rPr>
          <w:rFonts w:ascii="宋体" w:hAnsi="宋体" w:cs="宋体"/>
          <w:kern w:val="0"/>
          <w:szCs w:val="21"/>
        </w:rPr>
        <w:t>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）监票人应当在基金份额持有人表决后立即进行清点并由大会主持人当场公布计票结果。</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）计票过程应由公证机关予以公证，基金管理人或基金托管人拒不出席大会的，不影响计票的效力。</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、通讯开会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在通讯开会的情况下，计票方式为：由大会召集人授权的两名监督员在基金托管人授权代表（若由基金托管人召集，则为基金管理人授权代表）的监督下进行计票，并由公证机关对其计票过程予以公证。基金管理人</w:t>
      </w:r>
      <w:r>
        <w:rPr>
          <w:rFonts w:ascii="宋体" w:hAnsi="宋体" w:cs="宋体"/>
          <w:kern w:val="0"/>
          <w:szCs w:val="21"/>
        </w:rPr>
        <w:t>或基金托管人拒派代表对表决意见的计票进行监督的，不影响计票和表决结果。</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（八）生效与公告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基金份额持有人大会的决议，召集人应当自通过之日起</w:t>
      </w:r>
      <w:r>
        <w:rPr>
          <w:rFonts w:ascii="宋体" w:hAnsi="宋体" w:cs="宋体"/>
          <w:kern w:val="0"/>
          <w:szCs w:val="21"/>
        </w:rPr>
        <w:t>5</w:t>
      </w:r>
      <w:r>
        <w:rPr>
          <w:rFonts w:ascii="宋体" w:hAnsi="宋体" w:cs="宋体"/>
          <w:kern w:val="0"/>
          <w:szCs w:val="21"/>
        </w:rPr>
        <w:t>日内报中国证监会备案。</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基金份额持有人大会的决议自表决通过之日起生效。</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基金份额持有人大会决议自生效之日起按规定在规定媒介上公告。如果采用通讯方式进行表决，在公告基金份额持有人大会决议时，必须将公证书全文、公证机构、公证员姓名等一同公告。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基金管理人、基金托管人和基金份额持有人应当执行生效的基金份额持有人大会的决议。生效的基金份额持有人大会决议对全体基金份额持有人、基金</w:t>
      </w:r>
      <w:r>
        <w:rPr>
          <w:rFonts w:ascii="宋体" w:hAnsi="宋体" w:cs="宋体"/>
          <w:kern w:val="0"/>
          <w:szCs w:val="21"/>
        </w:rPr>
        <w:t>管理人、基金托管人均有约束力。</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九）本基金持有的基金召开基金份额持有人大会时，本基金的基金管理人应当代表其基金份额持有人的利益，根据基金合同的约定参与所持有基金的基金份额持有人大会，并在遵循本基金基金份额持有人利益优先原则的前提下行使相关投票权利，无需事先召开本基金的基金份额持有人大会。基金管理人需将表决意见事先征求基金托管人的意见，并将表决意见在定期报告中予以披露。投资者持有本基金基金份额的行为即视为同意本基金管理人直接参与本基金持有的基金的基金份额持有人大会并行使相关投票权利。法律法规或监管部门另有规</w:t>
      </w:r>
      <w:r>
        <w:rPr>
          <w:rFonts w:ascii="宋体" w:hAnsi="宋体" w:cs="宋体"/>
          <w:kern w:val="0"/>
          <w:szCs w:val="21"/>
        </w:rPr>
        <w:t>定的从其规定。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（十）实施侧袋机制期间基金份额持有人大会的特殊约定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、基金份额持有人行使提议权、召集权、提名权所需单独或合计代表相关基金份额</w:t>
      </w:r>
      <w:r>
        <w:rPr>
          <w:rFonts w:ascii="宋体" w:hAnsi="宋体" w:cs="宋体"/>
          <w:kern w:val="0"/>
          <w:szCs w:val="21"/>
        </w:rPr>
        <w:t>10%</w:t>
      </w:r>
      <w:r>
        <w:rPr>
          <w:rFonts w:ascii="宋体" w:hAnsi="宋体" w:cs="宋体"/>
          <w:kern w:val="0"/>
          <w:szCs w:val="21"/>
        </w:rPr>
        <w:t>以上（含</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、现场开会的到会者在权益登记日代表的基金份额不少于本基金在权益登记日相关基金份额的二分之一（</w:t>
      </w:r>
      <w:r>
        <w:rPr>
          <w:rFonts w:ascii="宋体" w:hAnsi="宋体" w:cs="宋体"/>
          <w:kern w:val="0"/>
          <w:szCs w:val="21"/>
        </w:rPr>
        <w:t>含二分之一）；</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、通讯开会的直接出具表决意见或授权他人代表出具表决意见的基金份额持有人所持有的基金份额不小于在权益登记日相关基金份额的二分之一（含二分之一）；</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、当参与基金份额持有人大会投票的基金份额持有人所持有的基金份额小于在权益登记日相关基金份额的二分之一，召集人在原公告的基金份额持有人大会召开时间的</w:t>
      </w:r>
      <w:r>
        <w:rPr>
          <w:rFonts w:ascii="宋体" w:hAnsi="宋体" w:cs="宋体"/>
          <w:kern w:val="0"/>
          <w:szCs w:val="21"/>
        </w:rPr>
        <w:t>3</w:t>
      </w:r>
      <w:r>
        <w:rPr>
          <w:rFonts w:ascii="宋体" w:hAnsi="宋体" w:cs="宋体"/>
          <w:kern w:val="0"/>
          <w:szCs w:val="21"/>
        </w:rPr>
        <w:t>个月以后、</w:t>
      </w:r>
      <w:r>
        <w:rPr>
          <w:rFonts w:ascii="宋体" w:hAnsi="宋体" w:cs="宋体"/>
          <w:kern w:val="0"/>
          <w:szCs w:val="21"/>
        </w:rPr>
        <w:t>6</w:t>
      </w:r>
      <w:r>
        <w:rPr>
          <w:rFonts w:ascii="宋体" w:hAnsi="宋体" w:cs="宋体"/>
          <w:kern w:val="0"/>
          <w:szCs w:val="21"/>
        </w:rPr>
        <w:t>个月以内就原定审议事项重新召集的基金份额持有人大会应当有代表三分之一以上（含三分之一）相关基金份额的持有人参与或授权他人参与基金份额持有人大会投票；</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、现场开会由出席大会的基金份额持有人</w:t>
      </w:r>
      <w:r>
        <w:rPr>
          <w:rFonts w:ascii="宋体" w:hAnsi="宋体" w:cs="宋体"/>
          <w:kern w:val="0"/>
          <w:szCs w:val="21"/>
        </w:rPr>
        <w:t>和代理人所持表决权的</w:t>
      </w:r>
      <w:r>
        <w:rPr>
          <w:rFonts w:ascii="宋体" w:hAnsi="宋体" w:cs="宋体"/>
          <w:kern w:val="0"/>
          <w:szCs w:val="21"/>
        </w:rPr>
        <w:t>50%</w:t>
      </w:r>
      <w:r>
        <w:rPr>
          <w:rFonts w:ascii="宋体" w:hAnsi="宋体" w:cs="宋体"/>
          <w:kern w:val="0"/>
          <w:szCs w:val="21"/>
        </w:rPr>
        <w:t>以上（含</w:t>
      </w:r>
      <w:r>
        <w:rPr>
          <w:rFonts w:ascii="宋体" w:hAnsi="宋体" w:cs="宋体"/>
          <w:kern w:val="0"/>
          <w:szCs w:val="21"/>
        </w:rPr>
        <w:t>50%</w:t>
      </w:r>
      <w:r>
        <w:rPr>
          <w:rFonts w:ascii="宋体" w:hAnsi="宋体" w:cs="宋体"/>
          <w:kern w:val="0"/>
          <w:szCs w:val="21"/>
        </w:rPr>
        <w:t>）选举产生一名基金份额持有人作为该次基金份额持有人大会的主持人；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6</w:t>
      </w:r>
      <w:r>
        <w:rPr>
          <w:rFonts w:ascii="宋体" w:hAnsi="宋体" w:cs="宋体"/>
          <w:kern w:val="0"/>
          <w:szCs w:val="21"/>
        </w:rPr>
        <w:t>、一般决议须经参加大会的基金份额持有人或其代理人所持表决权的二分之一以上（含二分之一）通过；</w:t>
      </w:r>
    </w:p>
    <w:p w:rsidR="00796C66" w:rsidRDefault="00FB6202">
      <w:pPr>
        <w:pStyle w:val="div"/>
        <w:spacing w:line="360" w:lineRule="auto"/>
        <w:ind w:firstLine="480"/>
        <w:rPr>
          <w:rFonts w:eastAsia="Times New Roman"/>
          <w:kern w:val="0"/>
          <w:szCs w:val="21"/>
        </w:rPr>
      </w:pPr>
      <w:r>
        <w:rPr>
          <w:rFonts w:ascii="宋体" w:hAnsi="宋体" w:cs="宋体"/>
          <w:kern w:val="0"/>
          <w:szCs w:val="21"/>
        </w:rPr>
        <w:t>7</w:t>
      </w:r>
      <w:r>
        <w:rPr>
          <w:rFonts w:ascii="宋体" w:hAnsi="宋体" w:cs="宋体"/>
          <w:kern w:val="0"/>
          <w:szCs w:val="21"/>
        </w:rPr>
        <w:t>、特别决议应当经参加大会的基金份额持有人或其代理人所持表决权的三分之二以上（含三分之二）通过。</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基金份额持有人大会审议事项涉及主袋账户和侧袋账户的，应分别由主袋账户、侧袋账户的基金份额持有人进行表决，同一主侧袋账户内的同一类别每份基金份额具有平等的表决权。表决事项未涉及侧袋账户的，侧袋账户</w:t>
      </w:r>
      <w:r>
        <w:rPr>
          <w:rFonts w:ascii="宋体" w:hAnsi="宋体" w:cs="宋体"/>
          <w:kern w:val="0"/>
          <w:szCs w:val="21"/>
        </w:rPr>
        <w:t>份额无表决权。</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侧袋机制实施期间，关于基金份额持有人大会的相关规定以本节特殊约定内容为准，本节没有规定的适用上文相关约定。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（十一）本部分关于基金份额持有人大会召开事由、召开条件、议事程序、表决条件</w:t>
      </w:r>
      <w:r>
        <w:rPr>
          <w:rFonts w:ascii="宋体" w:hAnsi="宋体" w:cs="宋体"/>
          <w:kern w:val="0"/>
          <w:szCs w:val="21"/>
        </w:rPr>
        <w:lastRenderedPageBreak/>
        <w:t>等规定，凡是直接引用法律法规或监管规则的部分，如将来法律法规或监管规则修改导致相关内容被取消或变更的，基金管理人经与基金托管人协商一致并履行适当程序后，可直接对本部分内容进行修改和调整，无需召开基金份额持有人大会审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C</w:t>
      </w:r>
      <w:r>
        <w:rPr>
          <w:rFonts w:ascii="宋体" w:hAnsi="宋体" w:cs="宋体"/>
          <w:kern w:val="0"/>
          <w:szCs w:val="21"/>
        </w:rPr>
        <w:t>、基金合同变更和终止的事由、程序以及基金财产清算方式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（一）《基金合同》的变更</w:t>
      </w:r>
    </w:p>
    <w:p w:rsidR="00796C66" w:rsidRDefault="00FB6202">
      <w:pPr>
        <w:pStyle w:val="div"/>
        <w:spacing w:line="360" w:lineRule="auto"/>
        <w:ind w:firstLine="480"/>
        <w:jc w:val="left"/>
        <w:rPr>
          <w:rFonts w:eastAsia="Times New Roman"/>
          <w:kern w:val="0"/>
          <w:szCs w:val="21"/>
        </w:rPr>
      </w:pPr>
      <w:r>
        <w:rPr>
          <w:rFonts w:ascii="宋体" w:hAnsi="宋体" w:cs="宋体"/>
          <w:kern w:val="0"/>
          <w:szCs w:val="21"/>
        </w:rPr>
        <w:t>1</w:t>
      </w:r>
      <w:r>
        <w:rPr>
          <w:rFonts w:ascii="宋体" w:hAnsi="宋体" w:cs="宋体"/>
          <w:kern w:val="0"/>
          <w:szCs w:val="21"/>
        </w:rPr>
        <w:t>、变更基金合同涉及法律法规规定或本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rsidR="00796C66" w:rsidRDefault="00FB6202">
      <w:pPr>
        <w:pStyle w:val="div"/>
        <w:spacing w:line="360" w:lineRule="auto"/>
        <w:ind w:firstLine="480"/>
        <w:rPr>
          <w:rFonts w:eastAsia="Times New Roman"/>
          <w:kern w:val="0"/>
          <w:szCs w:val="21"/>
        </w:rPr>
      </w:pPr>
      <w:r>
        <w:rPr>
          <w:rFonts w:ascii="宋体" w:hAnsi="宋体" w:cs="宋体"/>
          <w:kern w:val="0"/>
          <w:szCs w:val="21"/>
        </w:rPr>
        <w:t xml:space="preserve"> 2</w:t>
      </w:r>
      <w:r>
        <w:rPr>
          <w:rFonts w:ascii="宋体" w:hAnsi="宋体" w:cs="宋体"/>
          <w:kern w:val="0"/>
          <w:szCs w:val="21"/>
        </w:rPr>
        <w:t>、关于《基金合同》变更的基金份额持有人大会决议自生效后方可执行，自决议生效后按规定在规定媒介公告。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（二）《基金合同》的终止事由</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有下列情形之一的，经履行相关程序后，《基金合同》应当终止：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、基金份额持有人大会决定终止的；</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、基金管理人、基金托管人职责终止，在</w:t>
      </w:r>
      <w:r>
        <w:rPr>
          <w:rFonts w:ascii="宋体" w:hAnsi="宋体" w:cs="宋体"/>
          <w:kern w:val="0"/>
          <w:szCs w:val="21"/>
        </w:rPr>
        <w:t>6</w:t>
      </w:r>
      <w:r>
        <w:rPr>
          <w:rFonts w:ascii="宋体" w:hAnsi="宋体" w:cs="宋体"/>
          <w:kern w:val="0"/>
          <w:szCs w:val="21"/>
        </w:rPr>
        <w:t>个月内没有新基金管理人、新基金托管人承接的；</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、本基金连续</w:t>
      </w:r>
      <w:r>
        <w:rPr>
          <w:rFonts w:ascii="宋体" w:hAnsi="宋体" w:cs="宋体"/>
          <w:kern w:val="0"/>
          <w:szCs w:val="21"/>
        </w:rPr>
        <w:t>50</w:t>
      </w:r>
      <w:r>
        <w:rPr>
          <w:rFonts w:ascii="宋体" w:hAnsi="宋体" w:cs="宋体"/>
          <w:kern w:val="0"/>
          <w:szCs w:val="21"/>
        </w:rPr>
        <w:t>个工作日出现基金份额持有人数量不满</w:t>
      </w:r>
      <w:r>
        <w:rPr>
          <w:rFonts w:ascii="宋体" w:hAnsi="宋体" w:cs="宋体"/>
          <w:kern w:val="0"/>
          <w:szCs w:val="21"/>
        </w:rPr>
        <w:t>200</w:t>
      </w:r>
      <w:r>
        <w:rPr>
          <w:rFonts w:ascii="宋体" w:hAnsi="宋体" w:cs="宋体"/>
          <w:kern w:val="0"/>
          <w:szCs w:val="21"/>
        </w:rPr>
        <w:t>人或者基金资产净值低于</w:t>
      </w:r>
      <w:r>
        <w:rPr>
          <w:rFonts w:ascii="宋体" w:hAnsi="宋体" w:cs="宋体"/>
          <w:kern w:val="0"/>
          <w:szCs w:val="21"/>
        </w:rPr>
        <w:t>5000</w:t>
      </w:r>
      <w:r>
        <w:rPr>
          <w:rFonts w:ascii="宋体" w:hAnsi="宋体" w:cs="宋体"/>
          <w:kern w:val="0"/>
          <w:szCs w:val="21"/>
        </w:rPr>
        <w:t>万元情形的；</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、《基金合同》约定的其他情形；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、相关法律法规和中国证监会规定的其他情况。</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（三）基金财产的清算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、基金财产清算小组：自出现《基金合同》终止事由之日起</w:t>
      </w:r>
      <w:r>
        <w:rPr>
          <w:rFonts w:ascii="宋体" w:hAnsi="宋体" w:cs="宋体"/>
          <w:kern w:val="0"/>
          <w:szCs w:val="21"/>
        </w:rPr>
        <w:t>30</w:t>
      </w:r>
      <w:r>
        <w:rPr>
          <w:rFonts w:ascii="宋体" w:hAnsi="宋体" w:cs="宋体"/>
          <w:kern w:val="0"/>
          <w:szCs w:val="21"/>
        </w:rPr>
        <w:t>个工作日内成立清算小组，基金管理人组织基金财产清算小组并在中国证监会的监督下进行基金清算。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、基金财产清算小组组成：基金财产清算小组成员由基金管理人、基金托管人、</w:t>
      </w:r>
      <w:r>
        <w:rPr>
          <w:rFonts w:ascii="宋体" w:hAnsi="宋体" w:cs="宋体"/>
          <w:kern w:val="0"/>
          <w:szCs w:val="21"/>
        </w:rPr>
        <w:t>符合《证券法》规定的注册会计师、律师以及中国证监会指定的人员组成。基金财产清算小组可以聘用必要的工作人员。</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、基金财产清算小组职责：基金财产清算小组负责基金财产的保管、清理、估价、变现和分配。基金财产清算小组可以依法进行必要的民事活动。</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、基金财产清算程序：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）《基金合同》终止情形出现时，由基金财产清算小组统一接管基金财产；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）对基金财产和债权债务进行清理和确认；</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）对基金财产进行估值和变现；</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）制作清算报告；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）聘请符合《证券法》规定的会计师事务所对清算报告进行外部审计，聘请律师</w:t>
      </w:r>
      <w:r>
        <w:rPr>
          <w:rFonts w:ascii="宋体" w:hAnsi="宋体" w:cs="宋体"/>
          <w:kern w:val="0"/>
          <w:szCs w:val="21"/>
        </w:rPr>
        <w:lastRenderedPageBreak/>
        <w:t>事</w:t>
      </w:r>
      <w:r>
        <w:rPr>
          <w:rFonts w:ascii="宋体" w:hAnsi="宋体" w:cs="宋体"/>
          <w:kern w:val="0"/>
          <w:szCs w:val="21"/>
        </w:rPr>
        <w:t>务所对清算报告出具法律意见书；</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6</w:t>
      </w:r>
      <w:r>
        <w:rPr>
          <w:rFonts w:ascii="宋体" w:hAnsi="宋体" w:cs="宋体"/>
          <w:kern w:val="0"/>
          <w:szCs w:val="21"/>
        </w:rPr>
        <w:t>）将清算报告报中国证监会备案并公告；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）对基金剩余财产进行分配。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、基金财产清算的期限为</w:t>
      </w:r>
      <w:r>
        <w:rPr>
          <w:rFonts w:ascii="宋体" w:hAnsi="宋体" w:cs="宋体"/>
          <w:kern w:val="0"/>
          <w:szCs w:val="21"/>
        </w:rPr>
        <w:t>6</w:t>
      </w:r>
      <w:r>
        <w:rPr>
          <w:rFonts w:ascii="宋体" w:hAnsi="宋体" w:cs="宋体"/>
          <w:kern w:val="0"/>
          <w:szCs w:val="21"/>
        </w:rPr>
        <w:t>个月，但因本基金所持证券或基金的流动性受到限制而不能及时变现的，清算期限相应顺延。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（四）清算费用</w:t>
      </w:r>
    </w:p>
    <w:p w:rsidR="00796C66" w:rsidRDefault="00FB6202">
      <w:pPr>
        <w:pStyle w:val="div"/>
        <w:spacing w:line="360" w:lineRule="auto"/>
        <w:ind w:firstLine="480"/>
        <w:rPr>
          <w:rFonts w:eastAsia="Times New Roman"/>
          <w:kern w:val="0"/>
          <w:szCs w:val="21"/>
        </w:rPr>
      </w:pPr>
      <w:r>
        <w:rPr>
          <w:rFonts w:ascii="宋体" w:hAnsi="宋体" w:cs="宋体"/>
          <w:kern w:val="0"/>
          <w:szCs w:val="21"/>
        </w:rPr>
        <w:t>清算费用是指基金财产清算小组在进行基金清算过程中发生的所有合理费用，清算费用由基金财产清算小组优先从基金财产中支付。</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（五）基金财产清算剩余资产的分配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t>依据基金财产清算的分配方案，将基金财产清算后的全部剩余资产扣除基金财产清算费用、交纳所欠税款并清偿基金债务后，按各类基金份额持有</w:t>
      </w:r>
      <w:r>
        <w:rPr>
          <w:rFonts w:ascii="宋体" w:hAnsi="宋体" w:cs="宋体"/>
          <w:kern w:val="0"/>
          <w:szCs w:val="21"/>
        </w:rPr>
        <w:t>人持有的相应类别基金份额比例进行分配。</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（六）基金财产清算的公告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w:t>
      </w:r>
      <w:r>
        <w:rPr>
          <w:rFonts w:ascii="宋体" w:hAnsi="宋体" w:cs="宋体"/>
          <w:kern w:val="0"/>
          <w:szCs w:val="21"/>
        </w:rPr>
        <w:t>5</w:t>
      </w:r>
      <w:r>
        <w:rPr>
          <w:rFonts w:ascii="宋体" w:hAnsi="宋体" w:cs="宋体"/>
          <w:kern w:val="0"/>
          <w:szCs w:val="21"/>
        </w:rPr>
        <w:t>个工作日内由基金财产清算小组进行公告，基金财产清算小组应当将清算报告登载在规定网站上，并将清算报告提示性公告登载在规定报刊上。</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（七）基金财产清算账册及文件的保存</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基金财产清算账册及有关文件由基金托管人保存</w:t>
      </w:r>
      <w:r>
        <w:rPr>
          <w:rFonts w:ascii="宋体" w:hAnsi="宋体" w:cs="宋体"/>
          <w:kern w:val="0"/>
          <w:szCs w:val="21"/>
        </w:rPr>
        <w:t>20</w:t>
      </w:r>
      <w:r>
        <w:rPr>
          <w:rFonts w:ascii="宋体" w:hAnsi="宋体" w:cs="宋体"/>
          <w:kern w:val="0"/>
          <w:szCs w:val="21"/>
        </w:rPr>
        <w:t>年以上，法律法规或监管部门另有规定的除</w:t>
      </w:r>
      <w:r>
        <w:rPr>
          <w:rFonts w:ascii="宋体" w:hAnsi="宋体" w:cs="宋体"/>
          <w:kern w:val="0"/>
          <w:szCs w:val="21"/>
        </w:rPr>
        <w:t>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D</w:t>
      </w:r>
      <w:r>
        <w:rPr>
          <w:rFonts w:ascii="宋体" w:hAnsi="宋体" w:cs="宋体"/>
          <w:kern w:val="0"/>
          <w:szCs w:val="21"/>
        </w:rPr>
        <w:t>、争议解决方式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各方当事人同意，因《基金合同》而产生的或与《基金合同》有关的一切争议，如经友好协商未能解决的，任何一方均有权将争议提交中国国际经济贸易仲裁委员会，按照其届时有效的仲裁规则进行仲裁，仲裁地点为北京。仲裁裁决是终局性的并对各方当事人具有约束力。除非仲裁裁决另有规定，仲裁费用由败诉方承担。</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争议处理期间，各方当事人应恪守各自的职责，继续忠实、勤勉、尽责地履行基金合同规定的义务，维护基金份额持有人的合法权益。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《基金合同》受中国法律（为本基金合同之目的，不包括香港特别行政区、澳门特别行政区和台湾地区法律）管辖并从其解释。</w:t>
      </w:r>
    </w:p>
    <w:p w:rsidR="00796C66" w:rsidRDefault="00FB6202">
      <w:pPr>
        <w:pStyle w:val="div"/>
        <w:spacing w:line="360" w:lineRule="auto"/>
        <w:ind w:firstLine="480"/>
        <w:rPr>
          <w:rFonts w:eastAsia="Times New Roman"/>
          <w:kern w:val="0"/>
          <w:szCs w:val="21"/>
        </w:rPr>
      </w:pPr>
      <w:r>
        <w:rPr>
          <w:rFonts w:ascii="宋体" w:hAnsi="宋体" w:cs="宋体"/>
          <w:kern w:val="0"/>
          <w:szCs w:val="21"/>
        </w:rPr>
        <w:t>E</w:t>
      </w:r>
      <w:r>
        <w:rPr>
          <w:rFonts w:ascii="宋体" w:hAnsi="宋体" w:cs="宋体"/>
          <w:kern w:val="0"/>
          <w:szCs w:val="21"/>
        </w:rPr>
        <w:t>、基金合同存放地和投资者取得基金合同的方式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《基金合同》可印制成册，供投资者在基金管理人、基金托管人、销售机构的办公场所和营业场所查阅。</w:t>
      </w:r>
      <w:r>
        <w:rPr>
          <w:rFonts w:ascii="宋体" w:hAnsi="宋体" w:cs="宋体"/>
          <w:kern w:val="0"/>
          <w:szCs w:val="21"/>
        </w:rPr>
        <w:br w:type="page"/>
      </w:r>
    </w:p>
    <w:p w:rsidR="00796C66" w:rsidRDefault="00FB6202">
      <w:pPr>
        <w:pStyle w:val="ae"/>
        <w:outlineLvl w:val="0"/>
      </w:pPr>
      <w:bookmarkStart w:id="23" w:name="_Toc256000022"/>
      <w:r>
        <w:rPr>
          <w:noProof/>
        </w:rPr>
        <w:lastRenderedPageBreak/>
        <w:t>二十二</w:t>
      </w:r>
      <w:r>
        <w:rPr>
          <w:rStyle w:val="Char5"/>
          <w:b/>
          <w:bCs/>
          <w:noProof/>
        </w:rPr>
        <w:t>、</w:t>
      </w:r>
      <w:r>
        <w:rPr>
          <w:noProof/>
        </w:rPr>
        <w:t>基金托管协议的内容摘要</w:t>
      </w:r>
      <w:bookmarkEnd w:id="23"/>
    </w:p>
    <w:p w:rsidR="00796C66" w:rsidRDefault="00FB6202">
      <w:pPr>
        <w:pStyle w:val="div"/>
        <w:spacing w:line="360" w:lineRule="auto"/>
        <w:ind w:firstLine="480"/>
        <w:rPr>
          <w:rFonts w:eastAsia="Times New Roman"/>
          <w:kern w:val="0"/>
          <w:szCs w:val="21"/>
        </w:rPr>
      </w:pPr>
      <w:r>
        <w:rPr>
          <w:rFonts w:ascii="宋体" w:hAnsi="宋体" w:cs="宋体"/>
          <w:kern w:val="0"/>
          <w:szCs w:val="21"/>
        </w:rPr>
        <w:t>一、托管协议当事人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（一）基金管理人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名称：华商基金管理有限公司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注册地址：北京市西城区平安里西大街</w:t>
      </w:r>
      <w:r>
        <w:rPr>
          <w:rFonts w:ascii="宋体" w:hAnsi="宋体" w:cs="宋体"/>
          <w:kern w:val="0"/>
          <w:szCs w:val="21"/>
        </w:rPr>
        <w:t>28</w:t>
      </w:r>
      <w:r>
        <w:rPr>
          <w:rFonts w:ascii="宋体" w:hAnsi="宋体" w:cs="宋体"/>
          <w:kern w:val="0"/>
          <w:szCs w:val="21"/>
        </w:rPr>
        <w:t>号楼</w:t>
      </w:r>
      <w:r>
        <w:rPr>
          <w:rFonts w:ascii="宋体" w:hAnsi="宋体" w:cs="宋体"/>
          <w:kern w:val="0"/>
          <w:szCs w:val="21"/>
        </w:rPr>
        <w:t>19</w:t>
      </w:r>
      <w:r>
        <w:rPr>
          <w:rFonts w:ascii="宋体" w:hAnsi="宋体" w:cs="宋体"/>
          <w:kern w:val="0"/>
          <w:szCs w:val="21"/>
        </w:rPr>
        <w:t>层</w:t>
      </w:r>
    </w:p>
    <w:p w:rsidR="00796C66" w:rsidRDefault="00FB6202">
      <w:pPr>
        <w:pStyle w:val="div"/>
        <w:spacing w:line="360" w:lineRule="auto"/>
        <w:ind w:firstLine="480"/>
        <w:rPr>
          <w:rFonts w:eastAsia="Times New Roman"/>
          <w:kern w:val="0"/>
          <w:szCs w:val="21"/>
        </w:rPr>
      </w:pPr>
      <w:r>
        <w:rPr>
          <w:rFonts w:ascii="宋体" w:hAnsi="宋体" w:cs="宋体"/>
          <w:kern w:val="0"/>
          <w:szCs w:val="21"/>
        </w:rPr>
        <w:t>办公地址：北京市西城区平安里西大街</w:t>
      </w:r>
      <w:r>
        <w:rPr>
          <w:rFonts w:ascii="宋体" w:hAnsi="宋体" w:cs="宋体"/>
          <w:kern w:val="0"/>
          <w:szCs w:val="21"/>
        </w:rPr>
        <w:t>28</w:t>
      </w:r>
      <w:r>
        <w:rPr>
          <w:rFonts w:ascii="宋体" w:hAnsi="宋体" w:cs="宋体"/>
          <w:kern w:val="0"/>
          <w:szCs w:val="21"/>
        </w:rPr>
        <w:t>号楼</w:t>
      </w:r>
      <w:r>
        <w:rPr>
          <w:rFonts w:ascii="宋体" w:hAnsi="宋体" w:cs="宋体"/>
          <w:kern w:val="0"/>
          <w:szCs w:val="21"/>
        </w:rPr>
        <w:t>19</w:t>
      </w:r>
      <w:r>
        <w:rPr>
          <w:rFonts w:ascii="宋体" w:hAnsi="宋体" w:cs="宋体"/>
          <w:kern w:val="0"/>
          <w:szCs w:val="21"/>
        </w:rPr>
        <w:t>层</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法定代表人：陈牧原</w:t>
      </w:r>
    </w:p>
    <w:p w:rsidR="00796C66" w:rsidRDefault="00FB6202">
      <w:pPr>
        <w:pStyle w:val="div"/>
        <w:spacing w:line="360" w:lineRule="auto"/>
        <w:ind w:firstLine="480"/>
        <w:rPr>
          <w:rFonts w:eastAsia="Times New Roman"/>
          <w:kern w:val="0"/>
          <w:szCs w:val="21"/>
        </w:rPr>
      </w:pPr>
      <w:r>
        <w:rPr>
          <w:rFonts w:ascii="宋体" w:hAnsi="宋体" w:cs="宋体"/>
          <w:kern w:val="0"/>
          <w:szCs w:val="21"/>
        </w:rPr>
        <w:t>成立日期：</w:t>
      </w:r>
      <w:r>
        <w:rPr>
          <w:rFonts w:ascii="宋体" w:hAnsi="宋体" w:cs="宋体"/>
          <w:kern w:val="0"/>
          <w:szCs w:val="21"/>
        </w:rPr>
        <w:t>2005</w:t>
      </w:r>
      <w:r>
        <w:rPr>
          <w:rFonts w:ascii="宋体" w:hAnsi="宋体" w:cs="宋体"/>
          <w:kern w:val="0"/>
          <w:szCs w:val="21"/>
        </w:rPr>
        <w:t>年</w:t>
      </w:r>
      <w:r>
        <w:rPr>
          <w:rFonts w:ascii="宋体" w:hAnsi="宋体" w:cs="宋体"/>
          <w:kern w:val="0"/>
          <w:szCs w:val="21"/>
        </w:rPr>
        <w:t>12</w:t>
      </w:r>
      <w:r>
        <w:rPr>
          <w:rFonts w:ascii="宋体" w:hAnsi="宋体" w:cs="宋体"/>
          <w:kern w:val="0"/>
          <w:szCs w:val="21"/>
        </w:rPr>
        <w:t>月</w:t>
      </w:r>
      <w:r>
        <w:rPr>
          <w:rFonts w:ascii="宋体" w:hAnsi="宋体" w:cs="宋体"/>
          <w:kern w:val="0"/>
          <w:szCs w:val="21"/>
        </w:rPr>
        <w:t>20</w:t>
      </w:r>
      <w:r>
        <w:rPr>
          <w:rFonts w:ascii="宋体" w:hAnsi="宋体" w:cs="宋体"/>
          <w:kern w:val="0"/>
          <w:szCs w:val="21"/>
        </w:rPr>
        <w:t>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批准设立机关及批准设立文号：中国证券监督管理委员会证监基金字【</w:t>
      </w:r>
      <w:r>
        <w:rPr>
          <w:rFonts w:ascii="宋体" w:hAnsi="宋体" w:cs="宋体"/>
          <w:kern w:val="0"/>
          <w:szCs w:val="21"/>
        </w:rPr>
        <w:t>2005</w:t>
      </w:r>
      <w:r>
        <w:rPr>
          <w:rFonts w:ascii="宋体" w:hAnsi="宋体" w:cs="宋体"/>
          <w:kern w:val="0"/>
          <w:szCs w:val="21"/>
        </w:rPr>
        <w:t>】</w:t>
      </w:r>
      <w:r>
        <w:rPr>
          <w:rFonts w:ascii="宋体" w:hAnsi="宋体" w:cs="宋体"/>
          <w:kern w:val="0"/>
          <w:szCs w:val="21"/>
        </w:rPr>
        <w:t>160</w:t>
      </w:r>
      <w:r>
        <w:rPr>
          <w:rFonts w:ascii="宋体" w:hAnsi="宋体" w:cs="宋体"/>
          <w:kern w:val="0"/>
          <w:szCs w:val="21"/>
        </w:rPr>
        <w:t>号</w:t>
      </w:r>
    </w:p>
    <w:p w:rsidR="00796C66" w:rsidRDefault="00FB6202">
      <w:pPr>
        <w:pStyle w:val="div"/>
        <w:spacing w:line="360" w:lineRule="auto"/>
        <w:ind w:firstLine="480"/>
        <w:rPr>
          <w:rFonts w:eastAsia="Times New Roman"/>
          <w:kern w:val="0"/>
          <w:szCs w:val="21"/>
        </w:rPr>
      </w:pPr>
      <w:r>
        <w:rPr>
          <w:rFonts w:ascii="宋体" w:hAnsi="宋体" w:cs="宋体"/>
          <w:kern w:val="0"/>
          <w:szCs w:val="21"/>
        </w:rPr>
        <w:t>组织形式：其他有限责任公司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注册资本：壹亿元人民币</w:t>
      </w:r>
    </w:p>
    <w:p w:rsidR="00796C66" w:rsidRDefault="00FB6202">
      <w:pPr>
        <w:pStyle w:val="div"/>
        <w:spacing w:line="360" w:lineRule="auto"/>
        <w:ind w:firstLine="480"/>
        <w:rPr>
          <w:rFonts w:eastAsia="Times New Roman"/>
          <w:kern w:val="0"/>
          <w:szCs w:val="21"/>
        </w:rPr>
      </w:pPr>
      <w:r>
        <w:rPr>
          <w:rFonts w:ascii="宋体" w:hAnsi="宋体" w:cs="宋体"/>
          <w:kern w:val="0"/>
          <w:szCs w:val="21"/>
        </w:rPr>
        <w:t>存续期间：持续经营</w:t>
      </w:r>
    </w:p>
    <w:p w:rsidR="00796C66" w:rsidRDefault="00FB6202">
      <w:pPr>
        <w:pStyle w:val="div"/>
        <w:spacing w:line="360" w:lineRule="auto"/>
        <w:ind w:firstLine="480"/>
        <w:rPr>
          <w:rFonts w:eastAsia="Times New Roman"/>
          <w:kern w:val="0"/>
          <w:szCs w:val="21"/>
        </w:rPr>
      </w:pPr>
      <w:r>
        <w:rPr>
          <w:rFonts w:ascii="宋体" w:hAnsi="宋体" w:cs="宋体"/>
          <w:kern w:val="0"/>
          <w:szCs w:val="21"/>
        </w:rPr>
        <w:t>经营范围：基金募集；基金销售；资产管理和中国证监会许可的其他业务。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（二）基金托管人</w:t>
      </w:r>
    </w:p>
    <w:p w:rsidR="00796C66" w:rsidRDefault="00FB6202">
      <w:pPr>
        <w:pStyle w:val="div"/>
        <w:spacing w:line="360" w:lineRule="auto"/>
        <w:ind w:firstLine="480"/>
        <w:rPr>
          <w:rFonts w:eastAsia="Times New Roman"/>
          <w:kern w:val="0"/>
          <w:szCs w:val="21"/>
        </w:rPr>
      </w:pPr>
      <w:r>
        <w:rPr>
          <w:rFonts w:ascii="宋体" w:hAnsi="宋体" w:cs="宋体"/>
          <w:kern w:val="0"/>
          <w:szCs w:val="21"/>
        </w:rPr>
        <w:t>名称：平安银行股份有限公司</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注册住所：广东省深圳市罗湖区深南东路</w:t>
      </w:r>
      <w:r>
        <w:rPr>
          <w:rFonts w:ascii="宋体" w:hAnsi="宋体" w:cs="宋体"/>
          <w:kern w:val="0"/>
          <w:szCs w:val="21"/>
        </w:rPr>
        <w:t>5047</w:t>
      </w:r>
      <w:r>
        <w:rPr>
          <w:rFonts w:ascii="宋体" w:hAnsi="宋体" w:cs="宋体"/>
          <w:kern w:val="0"/>
          <w:szCs w:val="21"/>
        </w:rPr>
        <w:t>号</w:t>
      </w:r>
    </w:p>
    <w:p w:rsidR="00796C66" w:rsidRDefault="00FB6202">
      <w:pPr>
        <w:pStyle w:val="div"/>
        <w:spacing w:line="360" w:lineRule="auto"/>
        <w:ind w:firstLine="480"/>
        <w:rPr>
          <w:rFonts w:eastAsia="Times New Roman"/>
          <w:kern w:val="0"/>
          <w:szCs w:val="21"/>
        </w:rPr>
      </w:pPr>
      <w:r>
        <w:rPr>
          <w:rFonts w:ascii="宋体" w:hAnsi="宋体" w:cs="宋体"/>
          <w:kern w:val="0"/>
          <w:szCs w:val="21"/>
        </w:rPr>
        <w:t>办公地址：广东省深圳市福田区益田路</w:t>
      </w:r>
      <w:r>
        <w:rPr>
          <w:rFonts w:ascii="宋体" w:hAnsi="宋体" w:cs="宋体"/>
          <w:kern w:val="0"/>
          <w:szCs w:val="21"/>
        </w:rPr>
        <w:t>5023</w:t>
      </w:r>
      <w:r>
        <w:rPr>
          <w:rFonts w:ascii="宋体" w:hAnsi="宋体" w:cs="宋体"/>
          <w:kern w:val="0"/>
          <w:szCs w:val="21"/>
        </w:rPr>
        <w:t>号</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法定代表人：谢永林</w:t>
      </w:r>
    </w:p>
    <w:p w:rsidR="00796C66" w:rsidRDefault="00FB6202">
      <w:pPr>
        <w:pStyle w:val="div"/>
        <w:spacing w:line="360" w:lineRule="auto"/>
        <w:ind w:firstLine="480"/>
        <w:rPr>
          <w:rFonts w:eastAsia="Times New Roman"/>
          <w:kern w:val="0"/>
          <w:szCs w:val="21"/>
        </w:rPr>
      </w:pPr>
      <w:r>
        <w:rPr>
          <w:rFonts w:ascii="宋体" w:hAnsi="宋体" w:cs="宋体"/>
          <w:kern w:val="0"/>
          <w:szCs w:val="21"/>
        </w:rPr>
        <w:t>成立日期：</w:t>
      </w:r>
      <w:r>
        <w:rPr>
          <w:rFonts w:ascii="宋体" w:hAnsi="宋体" w:cs="宋体"/>
          <w:kern w:val="0"/>
          <w:szCs w:val="21"/>
        </w:rPr>
        <w:t>1987</w:t>
      </w:r>
      <w:r>
        <w:rPr>
          <w:rFonts w:ascii="宋体" w:hAnsi="宋体" w:cs="宋体"/>
          <w:kern w:val="0"/>
          <w:szCs w:val="21"/>
        </w:rPr>
        <w:t>年</w:t>
      </w:r>
      <w:r>
        <w:rPr>
          <w:rFonts w:ascii="宋体" w:hAnsi="宋体" w:cs="宋体"/>
          <w:kern w:val="0"/>
          <w:szCs w:val="21"/>
        </w:rPr>
        <w:t>12</w:t>
      </w:r>
      <w:r>
        <w:rPr>
          <w:rFonts w:ascii="宋体" w:hAnsi="宋体" w:cs="宋体"/>
          <w:kern w:val="0"/>
          <w:szCs w:val="21"/>
        </w:rPr>
        <w:t>月</w:t>
      </w:r>
      <w:r>
        <w:rPr>
          <w:rFonts w:ascii="宋体" w:hAnsi="宋体" w:cs="宋体"/>
          <w:kern w:val="0"/>
          <w:szCs w:val="21"/>
        </w:rPr>
        <w:t>22</w:t>
      </w:r>
      <w:r>
        <w:rPr>
          <w:rFonts w:ascii="宋体" w:hAnsi="宋体" w:cs="宋体"/>
          <w:kern w:val="0"/>
          <w:szCs w:val="21"/>
        </w:rPr>
        <w:t>日</w:t>
      </w:r>
    </w:p>
    <w:p w:rsidR="00796C66" w:rsidRDefault="00FB6202">
      <w:pPr>
        <w:pStyle w:val="div"/>
        <w:spacing w:line="360" w:lineRule="auto"/>
        <w:ind w:firstLine="480"/>
        <w:rPr>
          <w:rFonts w:eastAsia="Times New Roman"/>
          <w:kern w:val="0"/>
          <w:szCs w:val="21"/>
        </w:rPr>
      </w:pPr>
      <w:r>
        <w:rPr>
          <w:rFonts w:ascii="宋体" w:hAnsi="宋体" w:cs="宋体"/>
          <w:kern w:val="0"/>
          <w:szCs w:val="21"/>
        </w:rPr>
        <w:t>组织形式：股份有限公司</w:t>
      </w:r>
    </w:p>
    <w:p w:rsidR="00796C66" w:rsidRDefault="00FB6202">
      <w:pPr>
        <w:pStyle w:val="div"/>
        <w:spacing w:line="360" w:lineRule="auto"/>
        <w:ind w:firstLine="480"/>
        <w:rPr>
          <w:rFonts w:eastAsia="Times New Roman"/>
          <w:kern w:val="0"/>
          <w:szCs w:val="21"/>
        </w:rPr>
      </w:pPr>
      <w:r>
        <w:rPr>
          <w:rFonts w:ascii="宋体" w:hAnsi="宋体" w:cs="宋体"/>
          <w:kern w:val="0"/>
          <w:szCs w:val="21"/>
        </w:rPr>
        <w:t>注册资本：</w:t>
      </w:r>
      <w:r>
        <w:rPr>
          <w:rFonts w:ascii="宋体" w:hAnsi="宋体" w:cs="宋体"/>
          <w:kern w:val="0"/>
          <w:szCs w:val="21"/>
        </w:rPr>
        <w:t>19,405,918,198</w:t>
      </w:r>
      <w:r>
        <w:rPr>
          <w:rFonts w:ascii="宋体" w:hAnsi="宋体" w:cs="宋体"/>
          <w:kern w:val="0"/>
          <w:szCs w:val="21"/>
        </w:rPr>
        <w:t>元人民币</w:t>
      </w:r>
    </w:p>
    <w:p w:rsidR="00796C66" w:rsidRDefault="00FB6202">
      <w:pPr>
        <w:pStyle w:val="div"/>
        <w:spacing w:line="360" w:lineRule="auto"/>
        <w:ind w:firstLine="480"/>
        <w:rPr>
          <w:rFonts w:eastAsia="Times New Roman"/>
          <w:kern w:val="0"/>
          <w:szCs w:val="21"/>
        </w:rPr>
      </w:pPr>
      <w:r>
        <w:rPr>
          <w:rFonts w:ascii="宋体" w:hAnsi="宋体" w:cs="宋体"/>
          <w:kern w:val="0"/>
          <w:szCs w:val="21"/>
        </w:rPr>
        <w:t>存续期间：持续经营</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基金托管资格批文及文号：中国证监会证监许可</w:t>
      </w:r>
      <w:r>
        <w:rPr>
          <w:rFonts w:ascii="宋体" w:hAnsi="宋体" w:cs="宋体"/>
          <w:kern w:val="0"/>
          <w:szCs w:val="21"/>
        </w:rPr>
        <w:t>[2008]1037</w:t>
      </w:r>
      <w:r>
        <w:rPr>
          <w:rFonts w:ascii="宋体" w:hAnsi="宋体" w:cs="宋体"/>
          <w:kern w:val="0"/>
          <w:szCs w:val="21"/>
        </w:rPr>
        <w:t>号</w:t>
      </w:r>
    </w:p>
    <w:p w:rsidR="00796C66" w:rsidRDefault="00FB6202">
      <w:pPr>
        <w:pStyle w:val="div"/>
        <w:spacing w:line="360" w:lineRule="auto"/>
        <w:ind w:firstLine="480"/>
        <w:rPr>
          <w:rFonts w:eastAsia="Times New Roman"/>
          <w:kern w:val="0"/>
          <w:szCs w:val="21"/>
        </w:rPr>
      </w:pPr>
      <w:r>
        <w:rPr>
          <w:rFonts w:ascii="宋体" w:hAnsi="宋体" w:cs="宋体"/>
          <w:kern w:val="0"/>
          <w:szCs w:val="21"/>
        </w:rPr>
        <w:t>联系人：刘华栋</w:t>
      </w:r>
    </w:p>
    <w:p w:rsidR="00796C66" w:rsidRDefault="00FB6202">
      <w:pPr>
        <w:pStyle w:val="div"/>
        <w:spacing w:line="360" w:lineRule="auto"/>
        <w:ind w:firstLine="480"/>
        <w:rPr>
          <w:rFonts w:eastAsia="Times New Roman"/>
          <w:kern w:val="0"/>
          <w:szCs w:val="21"/>
        </w:rPr>
      </w:pPr>
      <w:r>
        <w:rPr>
          <w:rFonts w:ascii="宋体" w:hAnsi="宋体" w:cs="宋体"/>
          <w:kern w:val="0"/>
          <w:szCs w:val="21"/>
        </w:rPr>
        <w:t>联系电话：</w:t>
      </w:r>
      <w:r>
        <w:rPr>
          <w:rFonts w:ascii="宋体" w:hAnsi="宋体" w:cs="宋体"/>
          <w:kern w:val="0"/>
          <w:szCs w:val="21"/>
        </w:rPr>
        <w:t>(0755) 2216 6388</w:t>
      </w:r>
    </w:p>
    <w:p w:rsidR="00796C66" w:rsidRDefault="00FB6202">
      <w:pPr>
        <w:pStyle w:val="div"/>
        <w:spacing w:line="360" w:lineRule="auto"/>
        <w:ind w:firstLine="480"/>
        <w:rPr>
          <w:rFonts w:eastAsia="Times New Roman"/>
          <w:kern w:val="0"/>
          <w:szCs w:val="21"/>
        </w:rPr>
      </w:pPr>
      <w:r>
        <w:rPr>
          <w:rFonts w:ascii="宋体" w:hAnsi="宋体" w:cs="宋体"/>
          <w:kern w:val="0"/>
          <w:szCs w:val="21"/>
        </w:rPr>
        <w:t>经营范围：办理人民币存、贷、结算、汇兑业务；人民币票据承兑和贴现；各项信托业务；经监管机构批准发行或买卖人民币有价证券；外汇存款、汇款；境内境外借款；在境内境外发行或代理发行外币有价证券；贸易、非贸易结算；外币票据的承兑和贴现；外汇放款；代客买卖外汇及外币有价证券，自营外汇买卖；资信调查、咨询、见证业务；保险兼业代理业务；黄金进口业务；经有关监管机构批准或允许的其他业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二、基金托</w:t>
      </w:r>
      <w:r>
        <w:rPr>
          <w:rFonts w:ascii="宋体" w:hAnsi="宋体" w:cs="宋体"/>
          <w:kern w:val="0"/>
          <w:szCs w:val="21"/>
        </w:rPr>
        <w:t>管人对基金管理人的业务监督和核查</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（一）基金托管人根据有关法律法规的规定，对基金管理人的下列投资运作进行监督：</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、本基金的投资范围包括经中国证监会依法核准或注册的公开募集证券投资基金（含</w:t>
      </w:r>
      <w:r>
        <w:rPr>
          <w:rFonts w:ascii="宋体" w:hAnsi="宋体" w:cs="宋体"/>
          <w:kern w:val="0"/>
          <w:szCs w:val="21"/>
        </w:rPr>
        <w:t>QDII</w:t>
      </w:r>
      <w:r>
        <w:rPr>
          <w:rFonts w:ascii="宋体" w:hAnsi="宋体" w:cs="宋体"/>
          <w:kern w:val="0"/>
          <w:szCs w:val="21"/>
        </w:rPr>
        <w:t>基金、香港互认基金）、国内依法发行或上市的股票（包括主板、创业板以及其</w:t>
      </w:r>
      <w:r>
        <w:rPr>
          <w:rFonts w:ascii="宋体" w:hAnsi="宋体" w:cs="宋体"/>
          <w:kern w:val="0"/>
          <w:szCs w:val="21"/>
        </w:rPr>
        <w:lastRenderedPageBreak/>
        <w:t>他依法发行或上市的股票、存托凭证）、内地与香港股票市场交易互联互通机制下允许买卖的香港联合交易所上市股票（以下简称</w:t>
      </w:r>
      <w:r>
        <w:rPr>
          <w:rFonts w:ascii="宋体" w:hAnsi="宋体" w:cs="宋体"/>
          <w:kern w:val="0"/>
          <w:szCs w:val="21"/>
        </w:rPr>
        <w:t>“</w:t>
      </w:r>
      <w:r>
        <w:rPr>
          <w:rFonts w:ascii="宋体" w:hAnsi="宋体" w:cs="宋体"/>
          <w:kern w:val="0"/>
          <w:szCs w:val="21"/>
        </w:rPr>
        <w:t>港股通标的股票</w:t>
      </w:r>
      <w:r>
        <w:rPr>
          <w:rFonts w:ascii="宋体" w:hAnsi="宋体" w:cs="宋体"/>
          <w:kern w:val="0"/>
          <w:szCs w:val="21"/>
        </w:rPr>
        <w:t>”</w:t>
      </w:r>
      <w:r>
        <w:rPr>
          <w:rFonts w:ascii="宋体" w:hAnsi="宋体" w:cs="宋体"/>
          <w:kern w:val="0"/>
          <w:szCs w:val="21"/>
        </w:rPr>
        <w:t>）、债券（包括国债、央行票据、地方政府债、金融债、企业债、公司债、次级债、中期票据、短期融资券、超短期融资券、可转</w:t>
      </w:r>
      <w:r>
        <w:rPr>
          <w:rFonts w:ascii="宋体" w:hAnsi="宋体" w:cs="宋体"/>
          <w:kern w:val="0"/>
          <w:szCs w:val="21"/>
        </w:rPr>
        <w:t>换债券（含分离交易可转债）、可交换债券等）、同业存单、资产支持证券、债券回购、银行存款及法律法规或中国证监会允许基金投资的其他金融工具（但须符合中国证监会相关规定）。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如法律法规或监管机构以后允许基金投资其他品种，基金管理人在履行适当程序后，可以将其纳入投资范围。</w:t>
      </w:r>
      <w:r>
        <w:rPr>
          <w:rFonts w:ascii="宋体" w:hAnsi="宋体" w:cs="宋体"/>
          <w:kern w:val="0"/>
          <w:szCs w:val="21"/>
        </w:rPr>
        <w:t xml:space="preserve"> </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本基金的投资组合比例为：投资于公开募集证券投资基金的比例不低于基金资产的</w:t>
      </w:r>
      <w:r>
        <w:rPr>
          <w:rFonts w:ascii="宋体" w:hAnsi="宋体" w:cs="宋体"/>
          <w:kern w:val="0"/>
          <w:szCs w:val="21"/>
        </w:rPr>
        <w:t>80%</w:t>
      </w:r>
      <w:r>
        <w:rPr>
          <w:rFonts w:ascii="宋体" w:hAnsi="宋体" w:cs="宋体"/>
          <w:kern w:val="0"/>
          <w:szCs w:val="21"/>
        </w:rPr>
        <w:t>，其中投资于股票、存托凭证、股票型基金</w:t>
      </w:r>
      <w:r>
        <w:rPr>
          <w:rFonts w:ascii="宋体" w:hAnsi="宋体" w:cs="宋体"/>
          <w:kern w:val="0"/>
          <w:szCs w:val="21"/>
        </w:rPr>
        <w:t>(</w:t>
      </w:r>
      <w:r>
        <w:rPr>
          <w:rFonts w:ascii="宋体" w:hAnsi="宋体" w:cs="宋体"/>
          <w:kern w:val="0"/>
          <w:szCs w:val="21"/>
        </w:rPr>
        <w:t>包括股票指数基金</w:t>
      </w:r>
      <w:r>
        <w:rPr>
          <w:rFonts w:ascii="宋体" w:hAnsi="宋体" w:cs="宋体"/>
          <w:kern w:val="0"/>
          <w:szCs w:val="21"/>
        </w:rPr>
        <w:t>)</w:t>
      </w:r>
      <w:r>
        <w:rPr>
          <w:rFonts w:ascii="宋体" w:hAnsi="宋体" w:cs="宋体"/>
          <w:kern w:val="0"/>
          <w:szCs w:val="21"/>
        </w:rPr>
        <w:t>、混合型基金等权益类资产的比例合计占基金资产的</w:t>
      </w:r>
      <w:r>
        <w:rPr>
          <w:rFonts w:ascii="宋体" w:hAnsi="宋体" w:cs="宋体"/>
          <w:kern w:val="0"/>
          <w:szCs w:val="21"/>
        </w:rPr>
        <w:t>0%-50%</w:t>
      </w:r>
      <w:r>
        <w:rPr>
          <w:rFonts w:ascii="宋体" w:hAnsi="宋体" w:cs="宋体"/>
          <w:kern w:val="0"/>
          <w:szCs w:val="21"/>
        </w:rPr>
        <w:t>；投资于港股通标的股票不超过股票资产的</w:t>
      </w:r>
      <w:r>
        <w:rPr>
          <w:rFonts w:ascii="宋体" w:hAnsi="宋体" w:cs="宋体"/>
          <w:kern w:val="0"/>
          <w:szCs w:val="21"/>
        </w:rPr>
        <w:t>50%</w:t>
      </w:r>
      <w:r>
        <w:rPr>
          <w:rFonts w:ascii="宋体" w:hAnsi="宋体" w:cs="宋体"/>
          <w:kern w:val="0"/>
          <w:szCs w:val="21"/>
        </w:rPr>
        <w:t>；投资</w:t>
      </w:r>
      <w:r>
        <w:rPr>
          <w:rFonts w:ascii="宋体" w:hAnsi="宋体" w:cs="宋体"/>
          <w:kern w:val="0"/>
          <w:szCs w:val="21"/>
        </w:rPr>
        <w:t>于货币市场基金的比例不得超过基金资产的</w:t>
      </w:r>
      <w:r>
        <w:rPr>
          <w:rFonts w:ascii="宋体" w:hAnsi="宋体" w:cs="宋体"/>
          <w:kern w:val="0"/>
          <w:szCs w:val="21"/>
        </w:rPr>
        <w:t>15%</w:t>
      </w:r>
      <w:r>
        <w:rPr>
          <w:rFonts w:ascii="宋体" w:hAnsi="宋体" w:cs="宋体"/>
          <w:kern w:val="0"/>
          <w:szCs w:val="21"/>
        </w:rPr>
        <w:t>；投资于</w:t>
      </w:r>
      <w:r>
        <w:rPr>
          <w:rFonts w:ascii="宋体" w:hAnsi="宋体" w:cs="宋体"/>
          <w:kern w:val="0"/>
          <w:szCs w:val="21"/>
        </w:rPr>
        <w:t>QDII</w:t>
      </w:r>
      <w:r>
        <w:rPr>
          <w:rFonts w:ascii="宋体" w:hAnsi="宋体" w:cs="宋体"/>
          <w:kern w:val="0"/>
          <w:szCs w:val="21"/>
        </w:rPr>
        <w:t>、香港互认基金的比例合计不得超过基金资产的</w:t>
      </w:r>
      <w:r>
        <w:rPr>
          <w:rFonts w:ascii="宋体" w:hAnsi="宋体" w:cs="宋体"/>
          <w:kern w:val="0"/>
          <w:szCs w:val="21"/>
        </w:rPr>
        <w:t>20%</w:t>
      </w:r>
      <w:r>
        <w:rPr>
          <w:rFonts w:ascii="宋体" w:hAnsi="宋体" w:cs="宋体"/>
          <w:kern w:val="0"/>
          <w:szCs w:val="21"/>
        </w:rPr>
        <w:t>。本基金持有现金或到期日在一年以内的政府债券的投资比例合计不低于基金资产净值的</w:t>
      </w:r>
      <w:r>
        <w:rPr>
          <w:rFonts w:ascii="宋体" w:hAnsi="宋体" w:cs="宋体"/>
          <w:kern w:val="0"/>
          <w:szCs w:val="21"/>
        </w:rPr>
        <w:t>5%</w:t>
      </w:r>
      <w:r>
        <w:rPr>
          <w:rFonts w:ascii="宋体" w:hAnsi="宋体" w:cs="宋体"/>
          <w:kern w:val="0"/>
          <w:szCs w:val="21"/>
        </w:rPr>
        <w:t>。其中，现金不包括结算备付金、存出保证金、应收申购款等。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计入上述权益类资产的混合型基金需符合下列两个条件之一：</w:t>
      </w:r>
      <w:r>
        <w:rPr>
          <w:rFonts w:ascii="宋体" w:hAnsi="宋体" w:cs="宋体"/>
          <w:kern w:val="0"/>
          <w:szCs w:val="21"/>
        </w:rPr>
        <w:t>1</w:t>
      </w:r>
      <w:r>
        <w:rPr>
          <w:rFonts w:ascii="宋体" w:hAnsi="宋体" w:cs="宋体"/>
          <w:kern w:val="0"/>
          <w:szCs w:val="21"/>
        </w:rPr>
        <w:t>、基金合同约定股票资产投资比例不低于基金资产</w:t>
      </w:r>
      <w:r>
        <w:rPr>
          <w:rFonts w:ascii="宋体" w:hAnsi="宋体" w:cs="宋体"/>
          <w:kern w:val="0"/>
          <w:szCs w:val="21"/>
        </w:rPr>
        <w:t>60%</w:t>
      </w:r>
      <w:r>
        <w:rPr>
          <w:rFonts w:ascii="宋体" w:hAnsi="宋体" w:cs="宋体"/>
          <w:kern w:val="0"/>
          <w:szCs w:val="21"/>
        </w:rPr>
        <w:t>的混合型基金；</w:t>
      </w:r>
      <w:r>
        <w:rPr>
          <w:rFonts w:ascii="宋体" w:hAnsi="宋体" w:cs="宋体"/>
          <w:kern w:val="0"/>
          <w:szCs w:val="21"/>
        </w:rPr>
        <w:t>2</w:t>
      </w:r>
      <w:r>
        <w:rPr>
          <w:rFonts w:ascii="宋体" w:hAnsi="宋体" w:cs="宋体"/>
          <w:kern w:val="0"/>
          <w:szCs w:val="21"/>
        </w:rPr>
        <w:t>、根据基金披露的定期报告，最近四个季度中任一季度股票资产占基金资产比例均不低于</w:t>
      </w:r>
      <w:r>
        <w:rPr>
          <w:rFonts w:ascii="宋体" w:hAnsi="宋体" w:cs="宋体"/>
          <w:kern w:val="0"/>
          <w:szCs w:val="21"/>
        </w:rPr>
        <w:t>60%</w:t>
      </w:r>
      <w:r>
        <w:rPr>
          <w:rFonts w:ascii="宋体" w:hAnsi="宋体" w:cs="宋体"/>
          <w:kern w:val="0"/>
          <w:szCs w:val="21"/>
        </w:rPr>
        <w:t>的混合型基金。</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如法律法规或监管机构变更投资品种的投资比例</w:t>
      </w:r>
      <w:r>
        <w:rPr>
          <w:rFonts w:ascii="宋体" w:hAnsi="宋体" w:cs="宋体"/>
          <w:kern w:val="0"/>
          <w:szCs w:val="21"/>
        </w:rPr>
        <w:t>限制，基金管理人在履行适当程序后，可以调整上述投资品种的投资比例。</w:t>
      </w:r>
    </w:p>
    <w:p w:rsidR="00796C66" w:rsidRDefault="00FB6202">
      <w:pPr>
        <w:pStyle w:val="div"/>
        <w:spacing w:line="360" w:lineRule="auto"/>
        <w:ind w:firstLine="600"/>
        <w:rPr>
          <w:rFonts w:eastAsia="Times New Roman"/>
          <w:kern w:val="0"/>
          <w:szCs w:val="21"/>
        </w:rPr>
      </w:pPr>
      <w:r>
        <w:rPr>
          <w:rFonts w:ascii="宋体" w:hAnsi="宋体" w:cs="宋体"/>
          <w:kern w:val="0"/>
          <w:szCs w:val="21"/>
        </w:rPr>
        <w:t>（二）基金托管人根据有关法律法规的规定及基金合同的约定，对基金投资比例进行监督。基金托管人按下述比例和调整期限进行监督：</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w:t>
      </w:r>
      <w:r>
        <w:rPr>
          <w:rFonts w:ascii="宋体" w:hAnsi="宋体" w:cs="宋体"/>
          <w:kern w:val="0"/>
          <w:szCs w:val="21"/>
        </w:rPr>
        <w:t>）本基金将不低于</w:t>
      </w:r>
      <w:r>
        <w:rPr>
          <w:rFonts w:ascii="宋体" w:hAnsi="宋体" w:cs="宋体"/>
          <w:kern w:val="0"/>
          <w:szCs w:val="21"/>
        </w:rPr>
        <w:t>80%</w:t>
      </w:r>
      <w:r>
        <w:rPr>
          <w:rFonts w:ascii="宋体" w:hAnsi="宋体" w:cs="宋体"/>
          <w:kern w:val="0"/>
          <w:szCs w:val="21"/>
        </w:rPr>
        <w:t>的基金资产投资于经中国证监会依法核准或注册的公开募集证券投资基金，其中，投资于货币市场基金的资产占基金资产不超过</w:t>
      </w:r>
      <w:r>
        <w:rPr>
          <w:rFonts w:ascii="宋体" w:hAnsi="宋体" w:cs="宋体"/>
          <w:kern w:val="0"/>
          <w:szCs w:val="21"/>
        </w:rPr>
        <w:t>15%</w:t>
      </w:r>
      <w:r>
        <w:rPr>
          <w:rFonts w:ascii="宋体" w:hAnsi="宋体" w:cs="宋体"/>
          <w:kern w:val="0"/>
          <w:szCs w:val="21"/>
        </w:rPr>
        <w:t>；投资于</w:t>
      </w:r>
      <w:r>
        <w:rPr>
          <w:rFonts w:ascii="宋体" w:hAnsi="宋体" w:cs="宋体"/>
          <w:kern w:val="0"/>
          <w:szCs w:val="21"/>
        </w:rPr>
        <w:t>QDII</w:t>
      </w:r>
      <w:r>
        <w:rPr>
          <w:rFonts w:ascii="宋体" w:hAnsi="宋体" w:cs="宋体"/>
          <w:kern w:val="0"/>
          <w:szCs w:val="21"/>
        </w:rPr>
        <w:t>、香港互认基金的比例合计不得超过基金资产的</w:t>
      </w:r>
      <w:r>
        <w:rPr>
          <w:rFonts w:ascii="宋体" w:hAnsi="宋体" w:cs="宋体"/>
          <w:kern w:val="0"/>
          <w:szCs w:val="21"/>
        </w:rPr>
        <w:t>20%</w:t>
      </w:r>
      <w:r>
        <w:rPr>
          <w:rFonts w:ascii="宋体" w:hAnsi="宋体" w:cs="宋体"/>
          <w:kern w:val="0"/>
          <w:szCs w:val="21"/>
        </w:rPr>
        <w:t>；</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2</w:t>
      </w:r>
      <w:r>
        <w:rPr>
          <w:rFonts w:ascii="宋体" w:hAnsi="宋体" w:cs="宋体"/>
          <w:kern w:val="0"/>
          <w:szCs w:val="21"/>
        </w:rPr>
        <w:t>）本基金投资于股票、存托凭证、股票型基金</w:t>
      </w:r>
      <w:r>
        <w:rPr>
          <w:rFonts w:ascii="宋体" w:hAnsi="宋体" w:cs="宋体"/>
          <w:kern w:val="0"/>
          <w:szCs w:val="21"/>
        </w:rPr>
        <w:t>(</w:t>
      </w:r>
      <w:r>
        <w:rPr>
          <w:rFonts w:ascii="宋体" w:hAnsi="宋体" w:cs="宋体"/>
          <w:kern w:val="0"/>
          <w:szCs w:val="21"/>
        </w:rPr>
        <w:t>包括股票指数基金</w:t>
      </w:r>
      <w:r>
        <w:rPr>
          <w:rFonts w:ascii="宋体" w:hAnsi="宋体" w:cs="宋体"/>
          <w:kern w:val="0"/>
          <w:szCs w:val="21"/>
        </w:rPr>
        <w:t>)</w:t>
      </w:r>
      <w:r>
        <w:rPr>
          <w:rFonts w:ascii="宋体" w:hAnsi="宋体" w:cs="宋体"/>
          <w:kern w:val="0"/>
          <w:szCs w:val="21"/>
        </w:rPr>
        <w:t>、混合型基金等权益类资产的比例合计占基金资产的</w:t>
      </w:r>
      <w:r>
        <w:rPr>
          <w:rFonts w:ascii="宋体" w:hAnsi="宋体" w:cs="宋体"/>
          <w:kern w:val="0"/>
          <w:szCs w:val="21"/>
        </w:rPr>
        <w:t>0%-50%</w:t>
      </w:r>
      <w:r>
        <w:rPr>
          <w:rFonts w:ascii="宋体" w:hAnsi="宋体" w:cs="宋体"/>
          <w:kern w:val="0"/>
          <w:szCs w:val="21"/>
        </w:rPr>
        <w:t>；投资于港股通标的股票不超过股票资产的</w:t>
      </w:r>
      <w:r>
        <w:rPr>
          <w:rFonts w:ascii="宋体" w:hAnsi="宋体" w:cs="宋体"/>
          <w:kern w:val="0"/>
          <w:szCs w:val="21"/>
        </w:rPr>
        <w:t>50%</w:t>
      </w:r>
      <w:r>
        <w:rPr>
          <w:rFonts w:ascii="宋体" w:hAnsi="宋体" w:cs="宋体"/>
          <w:kern w:val="0"/>
          <w:szCs w:val="21"/>
        </w:rPr>
        <w:t>；</w:t>
      </w:r>
      <w:r>
        <w:rPr>
          <w:rFonts w:ascii="宋体" w:hAnsi="宋体" w:cs="宋体"/>
          <w:kern w:val="0"/>
          <w:szCs w:val="21"/>
        </w:rPr>
        <w:t xml:space="preserve"> </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3</w:t>
      </w:r>
      <w:r>
        <w:rPr>
          <w:rFonts w:ascii="宋体" w:hAnsi="宋体" w:cs="宋体"/>
          <w:kern w:val="0"/>
          <w:szCs w:val="21"/>
        </w:rPr>
        <w:t>）本基金持有单只基金的市值，不高于本基金资产净值的</w:t>
      </w:r>
      <w:r>
        <w:rPr>
          <w:rFonts w:ascii="宋体" w:hAnsi="宋体" w:cs="宋体"/>
          <w:kern w:val="0"/>
          <w:szCs w:val="21"/>
        </w:rPr>
        <w:t>20%</w:t>
      </w:r>
      <w:r>
        <w:rPr>
          <w:rFonts w:ascii="宋体" w:hAnsi="宋体" w:cs="宋体"/>
          <w:kern w:val="0"/>
          <w:szCs w:val="21"/>
        </w:rPr>
        <w:t>，且不得持有其他基金中基金；</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4</w:t>
      </w:r>
      <w:r>
        <w:rPr>
          <w:rFonts w:ascii="宋体" w:hAnsi="宋体" w:cs="宋体"/>
          <w:kern w:val="0"/>
          <w:szCs w:val="21"/>
        </w:rPr>
        <w:t>）本基金管理人管理的全部基金（</w:t>
      </w:r>
      <w:r>
        <w:rPr>
          <w:rFonts w:ascii="宋体" w:hAnsi="宋体" w:cs="宋体"/>
          <w:kern w:val="0"/>
          <w:szCs w:val="21"/>
        </w:rPr>
        <w:t>ETF</w:t>
      </w:r>
      <w:r>
        <w:rPr>
          <w:rFonts w:ascii="宋体" w:hAnsi="宋体" w:cs="宋体"/>
          <w:kern w:val="0"/>
          <w:szCs w:val="21"/>
        </w:rPr>
        <w:t>联接基金除外）持有一只基金不得超过被投资基金净资产的</w:t>
      </w:r>
      <w:r>
        <w:rPr>
          <w:rFonts w:ascii="宋体" w:hAnsi="宋体" w:cs="宋体"/>
          <w:kern w:val="0"/>
          <w:szCs w:val="21"/>
        </w:rPr>
        <w:t>20%</w:t>
      </w:r>
      <w:r>
        <w:rPr>
          <w:rFonts w:ascii="宋体" w:hAnsi="宋体" w:cs="宋体"/>
          <w:kern w:val="0"/>
          <w:szCs w:val="21"/>
        </w:rPr>
        <w:t>，被投资基金净资产规模以最近定期报告披露的规模为准；</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5</w:t>
      </w:r>
      <w:r>
        <w:rPr>
          <w:rFonts w:ascii="宋体" w:hAnsi="宋体" w:cs="宋体"/>
          <w:kern w:val="0"/>
          <w:szCs w:val="21"/>
        </w:rPr>
        <w:t>）本基金不得持有具有复杂、衍生品性质的基金份额，包括分级基金和中国证监会认定的其他基金份额；</w:t>
      </w:r>
    </w:p>
    <w:p w:rsidR="00796C66" w:rsidRDefault="00FB6202">
      <w:pPr>
        <w:pStyle w:val="div"/>
        <w:spacing w:line="360" w:lineRule="auto"/>
        <w:ind w:firstLine="600"/>
        <w:rPr>
          <w:rFonts w:eastAsia="Times New Roman"/>
          <w:kern w:val="0"/>
          <w:szCs w:val="21"/>
        </w:rPr>
      </w:pPr>
      <w:r>
        <w:rPr>
          <w:rFonts w:ascii="宋体" w:hAnsi="宋体" w:cs="宋体"/>
          <w:kern w:val="0"/>
          <w:szCs w:val="21"/>
        </w:rPr>
        <w:lastRenderedPageBreak/>
        <w:t>（</w:t>
      </w:r>
      <w:r>
        <w:rPr>
          <w:rFonts w:ascii="宋体" w:hAnsi="宋体" w:cs="宋体"/>
          <w:kern w:val="0"/>
          <w:szCs w:val="21"/>
        </w:rPr>
        <w:t>6</w:t>
      </w:r>
      <w:r>
        <w:rPr>
          <w:rFonts w:ascii="宋体" w:hAnsi="宋体" w:cs="宋体"/>
          <w:kern w:val="0"/>
          <w:szCs w:val="21"/>
        </w:rPr>
        <w:t>）本基金投资其他基金，被投资基金的运作期限应当不少于</w:t>
      </w:r>
      <w:r>
        <w:rPr>
          <w:rFonts w:ascii="宋体" w:hAnsi="宋体" w:cs="宋体"/>
          <w:kern w:val="0"/>
          <w:szCs w:val="21"/>
        </w:rPr>
        <w:t>1</w:t>
      </w:r>
      <w:r>
        <w:rPr>
          <w:rFonts w:ascii="宋体" w:hAnsi="宋体" w:cs="宋体"/>
          <w:kern w:val="0"/>
          <w:szCs w:val="21"/>
        </w:rPr>
        <w:t>年、最近定期报告披露的基金净资产应当不低于</w:t>
      </w:r>
      <w:r>
        <w:rPr>
          <w:rFonts w:ascii="宋体" w:hAnsi="宋体" w:cs="宋体"/>
          <w:kern w:val="0"/>
          <w:szCs w:val="21"/>
        </w:rPr>
        <w:t>1</w:t>
      </w:r>
      <w:r>
        <w:rPr>
          <w:rFonts w:ascii="宋体" w:hAnsi="宋体" w:cs="宋体"/>
          <w:kern w:val="0"/>
          <w:szCs w:val="21"/>
        </w:rPr>
        <w:t>亿元；</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7</w:t>
      </w:r>
      <w:r>
        <w:rPr>
          <w:rFonts w:ascii="宋体" w:hAnsi="宋体" w:cs="宋体"/>
          <w:kern w:val="0"/>
          <w:szCs w:val="21"/>
        </w:rPr>
        <w:t>）本基金投资于封闭运作基金、定期开放基金等流通受限基金的比例合计不得超过基金资产净值的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8</w:t>
      </w:r>
      <w:r>
        <w:rPr>
          <w:rFonts w:ascii="宋体" w:hAnsi="宋体" w:cs="宋体"/>
          <w:kern w:val="0"/>
          <w:szCs w:val="21"/>
        </w:rPr>
        <w:t>）保持不低于基金资产净值</w:t>
      </w:r>
      <w:r>
        <w:rPr>
          <w:rFonts w:ascii="宋体" w:hAnsi="宋体" w:cs="宋体"/>
          <w:kern w:val="0"/>
          <w:szCs w:val="21"/>
        </w:rPr>
        <w:t>5%</w:t>
      </w:r>
      <w:r>
        <w:rPr>
          <w:rFonts w:ascii="宋体" w:hAnsi="宋体" w:cs="宋体"/>
          <w:kern w:val="0"/>
          <w:szCs w:val="21"/>
        </w:rPr>
        <w:t>的现金或者到期日在一年以内的政府债券；其中，现金不包括结算备付金、存出保证金、应收申购款等；</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9</w:t>
      </w:r>
      <w:r>
        <w:rPr>
          <w:rFonts w:ascii="宋体" w:hAnsi="宋体" w:cs="宋体"/>
          <w:kern w:val="0"/>
          <w:szCs w:val="21"/>
        </w:rPr>
        <w:t>）本基金持有一家公司发行的证券（不含本基金所投资的基金份额，同一家公司在内地和香港同时上市的</w:t>
      </w:r>
      <w:r>
        <w:rPr>
          <w:rFonts w:ascii="宋体" w:hAnsi="宋体" w:cs="宋体"/>
          <w:kern w:val="0"/>
          <w:szCs w:val="21"/>
        </w:rPr>
        <w:t>A+H</w:t>
      </w:r>
      <w:r>
        <w:rPr>
          <w:rFonts w:ascii="宋体" w:hAnsi="宋体" w:cs="宋体"/>
          <w:kern w:val="0"/>
          <w:szCs w:val="21"/>
        </w:rPr>
        <w:t>股合并计算），其市值不超过基金资产净值的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10</w:t>
      </w:r>
      <w:r>
        <w:rPr>
          <w:rFonts w:ascii="宋体" w:hAnsi="宋体" w:cs="宋体"/>
          <w:kern w:val="0"/>
          <w:szCs w:val="21"/>
        </w:rPr>
        <w:t>）本基金管理人管理且由本基金托管人托管的全部基金持有一家公司发行的证券（不含本基金所投资的基金份额，同一家公司在内地和香港同时上</w:t>
      </w:r>
      <w:r>
        <w:rPr>
          <w:rFonts w:ascii="宋体" w:hAnsi="宋体" w:cs="宋体"/>
          <w:kern w:val="0"/>
          <w:szCs w:val="21"/>
        </w:rPr>
        <w:t>市的</w:t>
      </w:r>
      <w:r>
        <w:rPr>
          <w:rFonts w:ascii="宋体" w:hAnsi="宋体" w:cs="宋体"/>
          <w:kern w:val="0"/>
          <w:szCs w:val="21"/>
        </w:rPr>
        <w:t>A+H</w:t>
      </w:r>
      <w:r>
        <w:rPr>
          <w:rFonts w:ascii="宋体" w:hAnsi="宋体" w:cs="宋体"/>
          <w:kern w:val="0"/>
          <w:szCs w:val="21"/>
        </w:rPr>
        <w:t>股合并计算），不超过该证券的</w:t>
      </w:r>
      <w:r>
        <w:rPr>
          <w:rFonts w:ascii="宋体" w:hAnsi="宋体" w:cs="宋体"/>
          <w:kern w:val="0"/>
          <w:szCs w:val="21"/>
        </w:rPr>
        <w:t>10%</w:t>
      </w:r>
      <w:r>
        <w:rPr>
          <w:rFonts w:ascii="宋体" w:hAnsi="宋体" w:cs="宋体"/>
          <w:kern w:val="0"/>
          <w:szCs w:val="21"/>
        </w:rPr>
        <w:t>；</w:t>
      </w:r>
      <w:r>
        <w:rPr>
          <w:rFonts w:ascii="宋体" w:hAnsi="宋体" w:cs="宋体"/>
          <w:kern w:val="0"/>
          <w:szCs w:val="21"/>
        </w:rPr>
        <w:t xml:space="preserve"> </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11</w:t>
      </w:r>
      <w:r>
        <w:rPr>
          <w:rFonts w:ascii="宋体" w:hAnsi="宋体" w:cs="宋体"/>
          <w:kern w:val="0"/>
          <w:szCs w:val="21"/>
        </w:rPr>
        <w:t>）本基金投资于同一原始权益人的各类资产支持证券的比例，不得超过基金资产净值的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12</w:t>
      </w:r>
      <w:r>
        <w:rPr>
          <w:rFonts w:ascii="宋体" w:hAnsi="宋体" w:cs="宋体"/>
          <w:kern w:val="0"/>
          <w:szCs w:val="21"/>
        </w:rPr>
        <w:t>）本基金持有的全部资产支持证券，其市值不得超过基金资产净值的</w:t>
      </w:r>
      <w:r>
        <w:rPr>
          <w:rFonts w:ascii="宋体" w:hAnsi="宋体" w:cs="宋体"/>
          <w:kern w:val="0"/>
          <w:szCs w:val="21"/>
        </w:rPr>
        <w:t>20%</w:t>
      </w:r>
      <w:r>
        <w:rPr>
          <w:rFonts w:ascii="宋体" w:hAnsi="宋体" w:cs="宋体"/>
          <w:kern w:val="0"/>
          <w:szCs w:val="21"/>
        </w:rPr>
        <w:t>；</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13</w:t>
      </w:r>
      <w:r>
        <w:rPr>
          <w:rFonts w:ascii="宋体" w:hAnsi="宋体" w:cs="宋体"/>
          <w:kern w:val="0"/>
          <w:szCs w:val="21"/>
        </w:rPr>
        <w:t>）本基金持有的同一（指同一信用级别）资产支持证券的比例，不得超过该资产支持证券规模的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14</w:t>
      </w:r>
      <w:r>
        <w:rPr>
          <w:rFonts w:ascii="宋体" w:hAnsi="宋体" w:cs="宋体"/>
          <w:kern w:val="0"/>
          <w:szCs w:val="21"/>
        </w:rPr>
        <w:t>）本基金管理人管理且由本基金托管人托管的全部基金投资于同一原始权益人的各类资产支持证券，不得超过其各类资产支持证券合计规模的</w:t>
      </w:r>
      <w:r>
        <w:rPr>
          <w:rFonts w:ascii="宋体" w:hAnsi="宋体" w:cs="宋体"/>
          <w:kern w:val="0"/>
          <w:szCs w:val="21"/>
        </w:rPr>
        <w:t>10%</w:t>
      </w:r>
      <w:r>
        <w:rPr>
          <w:rFonts w:ascii="宋体" w:hAnsi="宋体" w:cs="宋体"/>
          <w:kern w:val="0"/>
          <w:szCs w:val="21"/>
        </w:rPr>
        <w:t>；</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15</w:t>
      </w:r>
      <w:r>
        <w:rPr>
          <w:rFonts w:ascii="宋体" w:hAnsi="宋体" w:cs="宋体"/>
          <w:kern w:val="0"/>
          <w:szCs w:val="21"/>
        </w:rPr>
        <w:t>）本基金应投资于信用级别评级为</w:t>
      </w:r>
      <w:r>
        <w:rPr>
          <w:rFonts w:ascii="宋体" w:hAnsi="宋体" w:cs="宋体"/>
          <w:kern w:val="0"/>
          <w:szCs w:val="21"/>
        </w:rPr>
        <w:t>BBB</w:t>
      </w:r>
      <w:r>
        <w:rPr>
          <w:rFonts w:ascii="宋体" w:hAnsi="宋体" w:cs="宋体"/>
          <w:kern w:val="0"/>
          <w:szCs w:val="21"/>
        </w:rPr>
        <w:t>以上</w:t>
      </w:r>
      <w:r>
        <w:rPr>
          <w:rFonts w:ascii="宋体" w:hAnsi="宋体" w:cs="宋体"/>
          <w:kern w:val="0"/>
          <w:szCs w:val="21"/>
        </w:rPr>
        <w:t>(</w:t>
      </w:r>
      <w:r>
        <w:rPr>
          <w:rFonts w:ascii="宋体" w:hAnsi="宋体" w:cs="宋体"/>
          <w:kern w:val="0"/>
          <w:szCs w:val="21"/>
        </w:rPr>
        <w:t>含</w:t>
      </w:r>
      <w:r>
        <w:rPr>
          <w:rFonts w:ascii="宋体" w:hAnsi="宋体" w:cs="宋体"/>
          <w:kern w:val="0"/>
          <w:szCs w:val="21"/>
        </w:rPr>
        <w:t>BB</w:t>
      </w:r>
      <w:r>
        <w:rPr>
          <w:rFonts w:ascii="宋体" w:hAnsi="宋体" w:cs="宋体"/>
          <w:kern w:val="0"/>
          <w:szCs w:val="21"/>
        </w:rPr>
        <w:t>B)</w:t>
      </w:r>
      <w:r>
        <w:rPr>
          <w:rFonts w:ascii="宋体" w:hAnsi="宋体" w:cs="宋体"/>
          <w:kern w:val="0"/>
          <w:szCs w:val="21"/>
        </w:rPr>
        <w:t>的资产支持证券。基金持有资产支持证券期间，如果其信用等级下降、不再符合投资标准，应在评级报告发布之日起</w:t>
      </w:r>
      <w:r>
        <w:rPr>
          <w:rFonts w:ascii="宋体" w:hAnsi="宋体" w:cs="宋体"/>
          <w:kern w:val="0"/>
          <w:szCs w:val="21"/>
        </w:rPr>
        <w:t>3</w:t>
      </w:r>
      <w:r>
        <w:rPr>
          <w:rFonts w:ascii="宋体" w:hAnsi="宋体" w:cs="宋体"/>
          <w:kern w:val="0"/>
          <w:szCs w:val="21"/>
        </w:rPr>
        <w:t>个月内予以全部卖出；</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16</w:t>
      </w:r>
      <w:r>
        <w:rPr>
          <w:rFonts w:ascii="宋体" w:hAnsi="宋体" w:cs="宋体"/>
          <w:kern w:val="0"/>
          <w:szCs w:val="21"/>
        </w:rPr>
        <w:t>）基金财产参与股票发行申购，本基金所申报的金额不超过本基金的总资产，本基金所申报的股票数量不超过拟发行股票公司本次发行股票的总量；</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17</w:t>
      </w:r>
      <w:r>
        <w:rPr>
          <w:rFonts w:ascii="宋体" w:hAnsi="宋体" w:cs="宋体"/>
          <w:kern w:val="0"/>
          <w:szCs w:val="21"/>
        </w:rPr>
        <w:t>）在全国银行间同业市场的债券回购最长期限为</w:t>
      </w:r>
      <w:r>
        <w:rPr>
          <w:rFonts w:ascii="宋体" w:hAnsi="宋体" w:cs="宋体"/>
          <w:kern w:val="0"/>
          <w:szCs w:val="21"/>
        </w:rPr>
        <w:t>1</w:t>
      </w:r>
      <w:r>
        <w:rPr>
          <w:rFonts w:ascii="宋体" w:hAnsi="宋体" w:cs="宋体"/>
          <w:kern w:val="0"/>
          <w:szCs w:val="21"/>
        </w:rPr>
        <w:t>年，债券回购到期后不得展期；</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18</w:t>
      </w:r>
      <w:r>
        <w:rPr>
          <w:rFonts w:ascii="宋体" w:hAnsi="宋体" w:cs="宋体"/>
          <w:kern w:val="0"/>
          <w:szCs w:val="21"/>
        </w:rPr>
        <w:t>）本基金总资产不得超过基金净资产的</w:t>
      </w:r>
      <w:r>
        <w:rPr>
          <w:rFonts w:ascii="宋体" w:hAnsi="宋体" w:cs="宋体"/>
          <w:kern w:val="0"/>
          <w:szCs w:val="21"/>
        </w:rPr>
        <w:t>140%</w:t>
      </w:r>
      <w:r>
        <w:rPr>
          <w:rFonts w:ascii="宋体" w:hAnsi="宋体" w:cs="宋体"/>
          <w:kern w:val="0"/>
          <w:szCs w:val="21"/>
        </w:rPr>
        <w:t>；</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19</w:t>
      </w:r>
      <w:r>
        <w:rPr>
          <w:rFonts w:ascii="宋体" w:hAnsi="宋体" w:cs="宋体"/>
          <w:kern w:val="0"/>
          <w:szCs w:val="21"/>
        </w:rPr>
        <w:t>）本基金主动投资于流动性受限资产的市值合计不得超过基金资产净值的</w:t>
      </w:r>
      <w:r>
        <w:rPr>
          <w:rFonts w:ascii="宋体" w:hAnsi="宋体" w:cs="宋体"/>
          <w:kern w:val="0"/>
          <w:szCs w:val="21"/>
        </w:rPr>
        <w:t>15%</w:t>
      </w:r>
      <w:r>
        <w:rPr>
          <w:rFonts w:ascii="宋体" w:hAnsi="宋体" w:cs="宋体"/>
          <w:kern w:val="0"/>
          <w:szCs w:val="21"/>
        </w:rPr>
        <w:t>；</w:t>
      </w:r>
      <w:r>
        <w:rPr>
          <w:rFonts w:ascii="宋体" w:hAnsi="宋体" w:cs="宋体"/>
          <w:kern w:val="0"/>
          <w:szCs w:val="21"/>
        </w:rPr>
        <w:t xml:space="preserve"> </w:t>
      </w:r>
      <w:r>
        <w:rPr>
          <w:rFonts w:ascii="宋体" w:hAnsi="宋体" w:cs="宋体"/>
          <w:kern w:val="0"/>
          <w:szCs w:val="21"/>
        </w:rPr>
        <w:t>因证券市场波动、上市公司股票停牌、基金规模变动等基金管理人之外的因素致使基金不符合该比例限制的，基金管理人不得主动新增流动性受限资产的投资；</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20</w:t>
      </w:r>
      <w:r>
        <w:rPr>
          <w:rFonts w:ascii="宋体" w:hAnsi="宋体" w:cs="宋体"/>
          <w:kern w:val="0"/>
          <w:szCs w:val="21"/>
        </w:rPr>
        <w:t>）本基金管理人管理且由本基金托管人托管的全部开放式基金持有一家上市公司发行的可流通股票，不得超过该上市公司可流通股票的</w:t>
      </w:r>
      <w:r>
        <w:rPr>
          <w:rFonts w:ascii="宋体" w:hAnsi="宋体" w:cs="宋体"/>
          <w:kern w:val="0"/>
          <w:szCs w:val="21"/>
        </w:rPr>
        <w:t>15%</w:t>
      </w:r>
      <w:r>
        <w:rPr>
          <w:rFonts w:ascii="宋体" w:hAnsi="宋体" w:cs="宋体"/>
          <w:kern w:val="0"/>
          <w:szCs w:val="21"/>
        </w:rPr>
        <w:t>；本基金管理人管理的全部投资组合持有一家上市公司发行的可流通股票，不得超过该上市公司可流通股票的</w:t>
      </w:r>
      <w:r>
        <w:rPr>
          <w:rFonts w:ascii="宋体" w:hAnsi="宋体" w:cs="宋体"/>
          <w:kern w:val="0"/>
          <w:szCs w:val="21"/>
        </w:rPr>
        <w:t>30%</w:t>
      </w:r>
      <w:r>
        <w:rPr>
          <w:rFonts w:ascii="宋体" w:hAnsi="宋体" w:cs="宋体"/>
          <w:kern w:val="0"/>
          <w:szCs w:val="21"/>
        </w:rPr>
        <w:t>；完全按照有关指数的构成比例进行证券投资的开放式基金以及中国证监会认定的特殊投资组合可不受前述比例限制；</w:t>
      </w:r>
    </w:p>
    <w:p w:rsidR="00796C66" w:rsidRDefault="00FB6202">
      <w:pPr>
        <w:pStyle w:val="div"/>
        <w:spacing w:line="360" w:lineRule="auto"/>
        <w:ind w:firstLine="600"/>
        <w:rPr>
          <w:rFonts w:eastAsia="Times New Roman"/>
          <w:kern w:val="0"/>
          <w:szCs w:val="21"/>
        </w:rPr>
      </w:pPr>
      <w:r>
        <w:rPr>
          <w:rFonts w:ascii="宋体" w:hAnsi="宋体" w:cs="宋体"/>
          <w:kern w:val="0"/>
          <w:szCs w:val="21"/>
        </w:rPr>
        <w:lastRenderedPageBreak/>
        <w:t>（</w:t>
      </w:r>
      <w:r>
        <w:rPr>
          <w:rFonts w:ascii="宋体" w:hAnsi="宋体" w:cs="宋体"/>
          <w:kern w:val="0"/>
          <w:szCs w:val="21"/>
        </w:rPr>
        <w:t>21</w:t>
      </w:r>
      <w:r>
        <w:rPr>
          <w:rFonts w:ascii="宋体" w:hAnsi="宋体" w:cs="宋体"/>
          <w:kern w:val="0"/>
          <w:szCs w:val="21"/>
        </w:rPr>
        <w:t>）本基金与私募类证券资管产</w:t>
      </w:r>
      <w:r>
        <w:rPr>
          <w:rFonts w:ascii="宋体" w:hAnsi="宋体" w:cs="宋体"/>
          <w:kern w:val="0"/>
          <w:szCs w:val="21"/>
        </w:rPr>
        <w:t>品及中国证监会认定的其他主体为交易对手开展逆回购交易的，可接受质押品的资质要求应当与基金合同约定的投资范围保持一致；</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22</w:t>
      </w:r>
      <w:r>
        <w:rPr>
          <w:rFonts w:ascii="宋体" w:hAnsi="宋体" w:cs="宋体"/>
          <w:kern w:val="0"/>
          <w:szCs w:val="21"/>
        </w:rPr>
        <w:t>）本基金投资存托凭证的比例限制依照境内上市交易的股票执行；</w:t>
      </w:r>
    </w:p>
    <w:p w:rsidR="00796C66" w:rsidRDefault="00FB6202">
      <w:pPr>
        <w:pStyle w:val="div"/>
        <w:spacing w:line="360" w:lineRule="auto"/>
        <w:ind w:firstLine="600"/>
        <w:rPr>
          <w:rFonts w:eastAsia="Times New Roman"/>
          <w:kern w:val="0"/>
          <w:szCs w:val="21"/>
        </w:rPr>
      </w:pPr>
      <w:r>
        <w:rPr>
          <w:rFonts w:ascii="宋体" w:hAnsi="宋体" w:cs="宋体"/>
          <w:kern w:val="0"/>
          <w:szCs w:val="21"/>
        </w:rPr>
        <w:t>（</w:t>
      </w:r>
      <w:r>
        <w:rPr>
          <w:rFonts w:ascii="宋体" w:hAnsi="宋体" w:cs="宋体"/>
          <w:kern w:val="0"/>
          <w:szCs w:val="21"/>
        </w:rPr>
        <w:t>23</w:t>
      </w:r>
      <w:r>
        <w:rPr>
          <w:rFonts w:ascii="宋体" w:hAnsi="宋体" w:cs="宋体"/>
          <w:kern w:val="0"/>
          <w:szCs w:val="21"/>
        </w:rPr>
        <w:t>）法律法规及中国证监会规定的其他投资比例限制。</w:t>
      </w:r>
    </w:p>
    <w:p w:rsidR="00796C66" w:rsidRDefault="00FB6202">
      <w:pPr>
        <w:pStyle w:val="div"/>
        <w:spacing w:line="360" w:lineRule="auto"/>
        <w:ind w:firstLine="480"/>
        <w:jc w:val="left"/>
        <w:rPr>
          <w:rFonts w:eastAsia="Times New Roman"/>
          <w:kern w:val="0"/>
          <w:szCs w:val="21"/>
        </w:rPr>
      </w:pPr>
      <w:r>
        <w:rPr>
          <w:rFonts w:ascii="宋体" w:hAnsi="宋体" w:cs="宋体"/>
          <w:kern w:val="0"/>
          <w:szCs w:val="21"/>
        </w:rPr>
        <w:t>因证券市场波动、证券发行人合并、基金规模变动等基金管理人之外的因素，致使基金投资比例不符合除上述第（</w:t>
      </w:r>
      <w:r>
        <w:rPr>
          <w:rFonts w:ascii="宋体" w:hAnsi="宋体" w:cs="宋体"/>
          <w:kern w:val="0"/>
          <w:szCs w:val="21"/>
        </w:rPr>
        <w:t>3</w:t>
      </w:r>
      <w:r>
        <w:rPr>
          <w:rFonts w:ascii="宋体" w:hAnsi="宋体" w:cs="宋体"/>
          <w:kern w:val="0"/>
          <w:szCs w:val="21"/>
        </w:rPr>
        <w:t>）、（</w:t>
      </w:r>
      <w:r>
        <w:rPr>
          <w:rFonts w:ascii="宋体" w:hAnsi="宋体" w:cs="宋体"/>
          <w:kern w:val="0"/>
          <w:szCs w:val="21"/>
        </w:rPr>
        <w:t>4</w:t>
      </w:r>
      <w:r>
        <w:rPr>
          <w:rFonts w:ascii="宋体" w:hAnsi="宋体" w:cs="宋体"/>
          <w:kern w:val="0"/>
          <w:szCs w:val="21"/>
        </w:rPr>
        <w:t>）、（</w:t>
      </w:r>
      <w:r>
        <w:rPr>
          <w:rFonts w:ascii="宋体" w:hAnsi="宋体" w:cs="宋体"/>
          <w:kern w:val="0"/>
          <w:szCs w:val="21"/>
        </w:rPr>
        <w:t>8</w:t>
      </w:r>
      <w:r>
        <w:rPr>
          <w:rFonts w:ascii="宋体" w:hAnsi="宋体" w:cs="宋体"/>
          <w:kern w:val="0"/>
          <w:szCs w:val="21"/>
        </w:rPr>
        <w:t>）、（</w:t>
      </w:r>
      <w:r>
        <w:rPr>
          <w:rFonts w:ascii="宋体" w:hAnsi="宋体" w:cs="宋体"/>
          <w:kern w:val="0"/>
          <w:szCs w:val="21"/>
        </w:rPr>
        <w:t>15</w:t>
      </w:r>
      <w:r>
        <w:rPr>
          <w:rFonts w:ascii="宋体" w:hAnsi="宋体" w:cs="宋体"/>
          <w:kern w:val="0"/>
          <w:szCs w:val="21"/>
        </w:rPr>
        <w:t>）（</w:t>
      </w:r>
      <w:r>
        <w:rPr>
          <w:rFonts w:ascii="宋体" w:hAnsi="宋体" w:cs="宋体"/>
          <w:kern w:val="0"/>
          <w:szCs w:val="21"/>
        </w:rPr>
        <w:t>19</w:t>
      </w:r>
      <w:r>
        <w:rPr>
          <w:rFonts w:ascii="宋体" w:hAnsi="宋体" w:cs="宋体"/>
          <w:kern w:val="0"/>
          <w:szCs w:val="21"/>
        </w:rPr>
        <w:t>）、（</w:t>
      </w:r>
      <w:r>
        <w:rPr>
          <w:rFonts w:ascii="宋体" w:hAnsi="宋体" w:cs="宋体"/>
          <w:kern w:val="0"/>
          <w:szCs w:val="21"/>
        </w:rPr>
        <w:t>21</w:t>
      </w:r>
      <w:r>
        <w:rPr>
          <w:rFonts w:ascii="宋体" w:hAnsi="宋体" w:cs="宋体"/>
          <w:kern w:val="0"/>
          <w:szCs w:val="21"/>
        </w:rPr>
        <w:t>）项外规定的投资比例的，基金管理人应当在</w:t>
      </w:r>
      <w:r>
        <w:rPr>
          <w:rFonts w:ascii="宋体" w:hAnsi="宋体" w:cs="宋体"/>
          <w:kern w:val="0"/>
          <w:szCs w:val="21"/>
        </w:rPr>
        <w:t>10</w:t>
      </w:r>
      <w:r>
        <w:rPr>
          <w:rFonts w:ascii="宋体" w:hAnsi="宋体" w:cs="宋体"/>
          <w:kern w:val="0"/>
          <w:szCs w:val="21"/>
        </w:rPr>
        <w:t>个交易日内进行调整，但中国证监会规定的特殊情形除外；因证券市场波动、证券发行人合并、</w:t>
      </w:r>
      <w:r>
        <w:rPr>
          <w:rFonts w:ascii="宋体" w:hAnsi="宋体" w:cs="宋体"/>
          <w:kern w:val="0"/>
          <w:szCs w:val="21"/>
        </w:rPr>
        <w:t>基金规模变动等基金管理人之外的因素，致使基金投资比例不符合上述（</w:t>
      </w:r>
      <w:r>
        <w:rPr>
          <w:rFonts w:ascii="宋体" w:hAnsi="宋体" w:cs="宋体"/>
          <w:kern w:val="0"/>
          <w:szCs w:val="21"/>
        </w:rPr>
        <w:t>3</w:t>
      </w:r>
      <w:r>
        <w:rPr>
          <w:rFonts w:ascii="宋体" w:hAnsi="宋体" w:cs="宋体"/>
          <w:kern w:val="0"/>
          <w:szCs w:val="21"/>
        </w:rPr>
        <w:t>）、（</w:t>
      </w:r>
      <w:r>
        <w:rPr>
          <w:rFonts w:ascii="宋体" w:hAnsi="宋体" w:cs="宋体"/>
          <w:kern w:val="0"/>
          <w:szCs w:val="21"/>
        </w:rPr>
        <w:t>4</w:t>
      </w:r>
      <w:r>
        <w:rPr>
          <w:rFonts w:ascii="宋体" w:hAnsi="宋体" w:cs="宋体"/>
          <w:kern w:val="0"/>
          <w:szCs w:val="21"/>
        </w:rPr>
        <w:t>）项规定投资比例的，基金管理人应当在</w:t>
      </w:r>
      <w:r>
        <w:rPr>
          <w:rFonts w:ascii="宋体" w:hAnsi="宋体" w:cs="宋体"/>
          <w:kern w:val="0"/>
          <w:szCs w:val="21"/>
        </w:rPr>
        <w:t>20</w:t>
      </w:r>
      <w:r>
        <w:rPr>
          <w:rFonts w:ascii="宋体" w:hAnsi="宋体" w:cs="宋体"/>
          <w:kern w:val="0"/>
          <w:szCs w:val="21"/>
        </w:rPr>
        <w:t>个交易日内进行调整，但中国证监会规定的特殊情形除外。法律法规另有规定的，从其规定。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基金管理人应当自基金合同生效之日起</w:t>
      </w:r>
      <w:r>
        <w:rPr>
          <w:rFonts w:ascii="宋体" w:hAnsi="宋体" w:cs="宋体"/>
          <w:kern w:val="0"/>
          <w:szCs w:val="21"/>
        </w:rPr>
        <w:t>6</w:t>
      </w:r>
      <w:r>
        <w:rPr>
          <w:rFonts w:ascii="宋体" w:hAnsi="宋体" w:cs="宋体"/>
          <w:kern w:val="0"/>
          <w:szCs w:val="21"/>
        </w:rPr>
        <w:t>个月内使基金的投资组合比例符合基金合同的有关约定。在上述期间内，本基金的投资范围、投资策略应当符合基金合同的约定。基金托管人对基金的投资的监督与检查自基金合同生效之日起开始。法律法规或监管部门另有规定的，从其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如果法律法规或监管部门对上述投资组合比例限制进行变更或取消的，</w:t>
      </w:r>
      <w:r>
        <w:rPr>
          <w:rFonts w:ascii="宋体" w:hAnsi="宋体" w:cs="宋体"/>
          <w:kern w:val="0"/>
          <w:szCs w:val="21"/>
        </w:rPr>
        <w:t>如适用于本基金，基金管理人在履行适当程序后，则本基金投资不再受相关限制或以变更后的规定为。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（三）基金托管人根据有关法律法规的规定及基金合同的约定，通过事后监督方式对基金管理人基金投资禁止行为进行监督。</w:t>
      </w:r>
    </w:p>
    <w:p w:rsidR="00796C66" w:rsidRDefault="00FB6202">
      <w:pPr>
        <w:pStyle w:val="div"/>
        <w:spacing w:line="360" w:lineRule="auto"/>
        <w:ind w:firstLine="480"/>
        <w:rPr>
          <w:rFonts w:eastAsia="Times New Roman"/>
          <w:kern w:val="0"/>
          <w:szCs w:val="21"/>
        </w:rPr>
      </w:pPr>
      <w:r>
        <w:rPr>
          <w:rFonts w:ascii="宋体" w:hAnsi="宋体" w:cs="宋体"/>
          <w:kern w:val="0"/>
          <w:szCs w:val="21"/>
        </w:rPr>
        <w:t>根据法律法规有关基金从事关联交易的规定，基金管理人和基金托管人应事先相互提供与本机构有控股关系的股东、与本机构有其他重大利害关系的公司名单及有关关联方发行的证券名单。基金管理人和基金托管人有责任确保关联交易名单的真实性、准确性、完整性，并负责及时将更新后的名单发送给对方。</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本基金投资基金管理人、基金托管人及</w:t>
      </w:r>
      <w:r>
        <w:rPr>
          <w:rFonts w:ascii="宋体" w:hAnsi="宋体" w:cs="宋体"/>
          <w:kern w:val="0"/>
          <w:szCs w:val="21"/>
        </w:rPr>
        <w:t>其关联方管理或托管的基金的情况，不属于前述重大关联交易，但是应当按照法律法规或监管规定的要求履行信息披露义务。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监督基金管理人是否按事前提供的银行间债券市场交易对手名单进行交</w:t>
      </w:r>
      <w:r>
        <w:rPr>
          <w:rFonts w:ascii="宋体" w:hAnsi="宋体" w:cs="宋体"/>
          <w:kern w:val="0"/>
          <w:szCs w:val="21"/>
        </w:rPr>
        <w:t>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及时向基金托管人说明理由，协商解决。</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基金管理人负责对交易对手的资信控制，按银行间债券市场的交易规则进行交易，并</w:t>
      </w:r>
      <w:r>
        <w:rPr>
          <w:rFonts w:ascii="宋体" w:hAnsi="宋体" w:cs="宋体"/>
          <w:kern w:val="0"/>
          <w:szCs w:val="21"/>
        </w:rPr>
        <w:lastRenderedPageBreak/>
        <w:t>负责解决因交易对手不履行合同而造成的纠纷及损失，基金托管人不承担由此造成的任何法律责任及损失。若未履约的交易对手在基金托管人与基金管理人确定的时间前仍未承担违约责任及其</w:t>
      </w:r>
      <w:r>
        <w:rPr>
          <w:rFonts w:ascii="宋体" w:hAnsi="宋体" w:cs="宋体"/>
          <w:kern w:val="0"/>
          <w:szCs w:val="21"/>
        </w:rPr>
        <w:t>他相关法律责任的，基金管理人负责追偿。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相应损失和责任。</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（五）基金托管人根据有关法律法规的规定及基金合同的约定，对基金投资中期票据进行监督。</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（六）基金托管人根据有关法律法规的规定及基金合同的约定，对基金资产净值计算、各类基金份额的基金份额净值计算、应收资金到账、基金费用开支及收入确定、基金收益分配、相关信息披露、</w:t>
      </w:r>
      <w:r>
        <w:rPr>
          <w:rFonts w:ascii="宋体" w:hAnsi="宋体" w:cs="宋体"/>
          <w:kern w:val="0"/>
          <w:szCs w:val="21"/>
        </w:rPr>
        <w:t>基金宣传推介材料中登载基金业绩表现数据等进行监督和核查。</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七）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及时核对并以书面形式给基金托管人发出回函，就基金托管人的合理疑义进行解释或举证，说明违规原因及纠正期限，并保证在规定期限内及时改正。在上述规定期限内，基金托管人有权随时对通知事项进行复查，督促基金管理人改</w:t>
      </w:r>
      <w:r>
        <w:rPr>
          <w:rFonts w:ascii="宋体" w:hAnsi="宋体" w:cs="宋体"/>
          <w:kern w:val="0"/>
          <w:szCs w:val="21"/>
        </w:rPr>
        <w:t>正。基金管理人对基金托管人通知的违规事项未能在限期内纠正的，基金托管人应报告中国证监会。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八）基金管理人有义务配合和协助基金托管人依照法律法规、基金合同和本托管协议对基金业务执行核查。对基金托管人发出的书面提示，基金管理人应在规定时间内答复并改正，或就基金托管人的合理疑义进行解释或举证；对基金托管人按照法律法规、基金合同和本托管协议的要求需向中国证监会报送基金监督报告的事项，基金管理人应积极配合提供相关数据资料和制度等。</w:t>
      </w:r>
    </w:p>
    <w:p w:rsidR="00796C66" w:rsidRDefault="00FB6202">
      <w:pPr>
        <w:pStyle w:val="div"/>
        <w:spacing w:line="360" w:lineRule="auto"/>
        <w:ind w:firstLine="480"/>
        <w:rPr>
          <w:rFonts w:eastAsia="Times New Roman"/>
          <w:kern w:val="0"/>
          <w:szCs w:val="21"/>
        </w:rPr>
      </w:pPr>
      <w:r>
        <w:rPr>
          <w:rFonts w:ascii="宋体" w:hAnsi="宋体" w:cs="宋体"/>
          <w:kern w:val="0"/>
          <w:szCs w:val="21"/>
        </w:rPr>
        <w:t>（九）若基金托管人发现基金管理人依据交易程序已经生效的指令违反法律、行政法规和其他有</w:t>
      </w:r>
      <w:r>
        <w:rPr>
          <w:rFonts w:ascii="宋体" w:hAnsi="宋体" w:cs="宋体"/>
          <w:kern w:val="0"/>
          <w:szCs w:val="21"/>
        </w:rPr>
        <w:t>关规定，或者违反基金合同约定的，应当立即通知基金管理人，由此造成的损失由基金管理人承担，基金托管人在履行其通知义务后，予以免责。</w:t>
      </w:r>
    </w:p>
    <w:p w:rsidR="00796C66" w:rsidRDefault="00FB6202">
      <w:pPr>
        <w:pStyle w:val="div"/>
        <w:spacing w:line="360" w:lineRule="auto"/>
        <w:ind w:firstLine="480"/>
        <w:rPr>
          <w:rFonts w:eastAsia="Times New Roman"/>
          <w:kern w:val="0"/>
          <w:szCs w:val="21"/>
        </w:rPr>
      </w:pPr>
      <w:r>
        <w:rPr>
          <w:rFonts w:ascii="宋体" w:hAnsi="宋体" w:cs="宋体"/>
          <w:kern w:val="0"/>
          <w:szCs w:val="21"/>
        </w:rPr>
        <w:t>（十）基金托管人发现基金管理人有重大违规行为，应及时报告中国证监会，同时通知基金管理人限期纠正，并将纠正结果报告中国证监会。基金管理人无正当理由，拒绝、阻挠对方根据本托管协议规定行使监督权，或采取拖延、欺诈等手段妨碍对方进行有效监督，情节严重或经基金托管人提出警告仍不改正的，基金托管人应报告中国证监会。</w:t>
      </w:r>
    </w:p>
    <w:p w:rsidR="00796C66" w:rsidRDefault="00796C66">
      <w:pPr>
        <w:pStyle w:val="p"/>
        <w:spacing w:line="360" w:lineRule="auto"/>
        <w:ind w:firstLine="480"/>
        <w:rPr>
          <w:rFonts w:eastAsia="Times New Roman"/>
          <w:kern w:val="0"/>
          <w:szCs w:val="21"/>
        </w:rPr>
      </w:pP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三、基金管理人对基金托管人的业务核查</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（一）基金管理人对基金托管人履行托管</w:t>
      </w:r>
      <w:r>
        <w:rPr>
          <w:rFonts w:ascii="宋体" w:hAnsi="宋体" w:cs="宋体"/>
          <w:kern w:val="0"/>
          <w:szCs w:val="21"/>
        </w:rPr>
        <w:t>职责情况进行核查，核查事项包括基金托管人安全保管基金财产、开设基金财产的资金账户和证券账户、复核基金管理人计算的基金</w:t>
      </w:r>
      <w:r>
        <w:rPr>
          <w:rFonts w:ascii="宋体" w:hAnsi="宋体" w:cs="宋体"/>
          <w:kern w:val="0"/>
          <w:szCs w:val="21"/>
        </w:rPr>
        <w:lastRenderedPageBreak/>
        <w:t>资产净值和各类基金份额的基金份额净值、根据基金管理人指令办理清算交收、相关信息披露和监督基金投资运作等行为。</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w:t>
      </w:r>
      <w:r>
        <w:rPr>
          <w:rFonts w:ascii="宋体" w:hAnsi="宋体" w:cs="宋体"/>
          <w:kern w:val="0"/>
          <w:szCs w:val="21"/>
        </w:rPr>
        <w:t>的完整性和真实性，在规定时间内答复基金管理人并改正。</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四、基金财产的保管</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（一）基金财产保管的原则</w:t>
      </w:r>
    </w:p>
    <w:p w:rsidR="00796C66" w:rsidRDefault="00FB6202">
      <w:pPr>
        <w:pStyle w:val="div"/>
        <w:spacing w:line="360" w:lineRule="auto"/>
        <w:ind w:firstLine="426"/>
        <w:rPr>
          <w:rFonts w:eastAsia="Times New Roman"/>
          <w:kern w:val="0"/>
          <w:szCs w:val="21"/>
        </w:rPr>
      </w:pPr>
      <w:r>
        <w:rPr>
          <w:rFonts w:ascii="宋体" w:hAnsi="宋体" w:cs="宋体"/>
          <w:kern w:val="0"/>
          <w:szCs w:val="21"/>
        </w:rPr>
        <w:t>1.</w:t>
      </w:r>
      <w:r>
        <w:rPr>
          <w:rFonts w:ascii="宋体" w:hAnsi="宋体" w:cs="宋体"/>
          <w:kern w:val="0"/>
          <w:szCs w:val="21"/>
        </w:rPr>
        <w:t>基金财产应独立于基金管理人、基金托管人的固有财产。</w:t>
      </w:r>
    </w:p>
    <w:p w:rsidR="00796C66" w:rsidRDefault="00FB6202">
      <w:pPr>
        <w:pStyle w:val="div"/>
        <w:spacing w:line="360" w:lineRule="auto"/>
        <w:ind w:firstLine="426"/>
        <w:rPr>
          <w:rFonts w:eastAsia="Times New Roman"/>
          <w:kern w:val="0"/>
          <w:szCs w:val="21"/>
        </w:rPr>
      </w:pPr>
      <w:r>
        <w:rPr>
          <w:rFonts w:ascii="宋体" w:hAnsi="宋体" w:cs="宋体"/>
          <w:kern w:val="0"/>
          <w:szCs w:val="21"/>
        </w:rPr>
        <w:t>2.</w:t>
      </w:r>
      <w:r>
        <w:rPr>
          <w:rFonts w:ascii="宋体" w:hAnsi="宋体" w:cs="宋体"/>
          <w:kern w:val="0"/>
          <w:szCs w:val="21"/>
        </w:rPr>
        <w:t>基金托管人应安全保管基金财产。未经基金管理人依据合</w:t>
      </w:r>
      <w:r>
        <w:rPr>
          <w:rFonts w:ascii="宋体" w:hAnsi="宋体" w:cs="宋体"/>
          <w:kern w:val="0"/>
          <w:szCs w:val="21"/>
        </w:rPr>
        <w:t>法程序作出的合法合规指令，基金托管人不得自行运用、处分、分配基金的任何财产。</w:t>
      </w:r>
    </w:p>
    <w:p w:rsidR="00796C66" w:rsidRDefault="00FB6202">
      <w:pPr>
        <w:pStyle w:val="div"/>
        <w:spacing w:line="360" w:lineRule="auto"/>
        <w:ind w:firstLine="426"/>
        <w:rPr>
          <w:rFonts w:eastAsia="Times New Roman"/>
          <w:kern w:val="0"/>
          <w:szCs w:val="21"/>
        </w:rPr>
      </w:pPr>
      <w:r>
        <w:rPr>
          <w:rFonts w:ascii="宋体" w:hAnsi="宋体" w:cs="宋体"/>
          <w:kern w:val="0"/>
          <w:szCs w:val="21"/>
        </w:rPr>
        <w:t>3.</w:t>
      </w:r>
      <w:r>
        <w:rPr>
          <w:rFonts w:ascii="宋体" w:hAnsi="宋体" w:cs="宋体"/>
          <w:kern w:val="0"/>
          <w:szCs w:val="21"/>
        </w:rPr>
        <w:t>基金托管人按照规定开设基金财产的资金账户和证券账户。</w:t>
      </w:r>
    </w:p>
    <w:p w:rsidR="00796C66" w:rsidRDefault="00FB6202">
      <w:pPr>
        <w:pStyle w:val="div"/>
        <w:spacing w:line="360" w:lineRule="auto"/>
        <w:ind w:firstLine="426"/>
        <w:rPr>
          <w:rFonts w:eastAsia="Times New Roman"/>
          <w:kern w:val="0"/>
          <w:szCs w:val="21"/>
        </w:rPr>
      </w:pPr>
      <w:r>
        <w:rPr>
          <w:rFonts w:ascii="宋体" w:hAnsi="宋体" w:cs="宋体"/>
          <w:kern w:val="0"/>
          <w:szCs w:val="21"/>
        </w:rPr>
        <w:t>4.</w:t>
      </w:r>
      <w:r>
        <w:rPr>
          <w:rFonts w:ascii="宋体" w:hAnsi="宋体" w:cs="宋体"/>
          <w:kern w:val="0"/>
          <w:szCs w:val="21"/>
        </w:rPr>
        <w:t>基金托管人对所托管的不同基金财产分别设置账户，确保基金财产的完整与独立。</w:t>
      </w:r>
    </w:p>
    <w:p w:rsidR="00796C66" w:rsidRDefault="00FB6202">
      <w:pPr>
        <w:pStyle w:val="div"/>
        <w:spacing w:line="360" w:lineRule="auto"/>
        <w:ind w:firstLine="426"/>
        <w:rPr>
          <w:rFonts w:eastAsia="Times New Roman"/>
          <w:kern w:val="0"/>
          <w:szCs w:val="21"/>
        </w:rPr>
      </w:pPr>
      <w:r>
        <w:rPr>
          <w:rFonts w:ascii="宋体" w:hAnsi="宋体" w:cs="宋体"/>
          <w:kern w:val="0"/>
          <w:szCs w:val="21"/>
        </w:rPr>
        <w:t>5.</w:t>
      </w:r>
      <w:r>
        <w:rPr>
          <w:rFonts w:ascii="宋体" w:hAnsi="宋体" w:cs="宋体"/>
          <w:kern w:val="0"/>
          <w:szCs w:val="21"/>
        </w:rPr>
        <w:t>基金托管人根据基金管理人的指令，按照基金合同和本协议的约定保管基金财产，如有特殊情况双方可另行协商解决。</w:t>
      </w:r>
    </w:p>
    <w:p w:rsidR="00796C66" w:rsidRDefault="00FB6202">
      <w:pPr>
        <w:pStyle w:val="div"/>
        <w:spacing w:line="360" w:lineRule="auto"/>
        <w:ind w:firstLine="426"/>
        <w:rPr>
          <w:rFonts w:eastAsia="Times New Roman"/>
          <w:kern w:val="0"/>
          <w:szCs w:val="21"/>
        </w:rPr>
      </w:pPr>
      <w:r>
        <w:rPr>
          <w:rFonts w:ascii="宋体" w:hAnsi="宋体" w:cs="宋体"/>
          <w:kern w:val="0"/>
          <w:szCs w:val="21"/>
        </w:rPr>
        <w:t>6.</w:t>
      </w:r>
      <w:r>
        <w:rPr>
          <w:rFonts w:ascii="宋体" w:hAnsi="宋体" w:cs="宋体"/>
          <w:kern w:val="0"/>
          <w:szCs w:val="21"/>
        </w:rPr>
        <w:t>对于因为基金投资产生的应收资产，应由基金管理人负责与有关当事人确定到账日期并通知基金托管人，到账日基金财产没有到达基金账户的，基金托管人应及时通知基金管理人采取措施进行催收。由此给基金</w:t>
      </w:r>
      <w:r>
        <w:rPr>
          <w:rFonts w:ascii="宋体" w:hAnsi="宋体" w:cs="宋体"/>
          <w:kern w:val="0"/>
          <w:szCs w:val="21"/>
        </w:rPr>
        <w:t>财产造成损失的，基金管理人应负责向有关当事人追偿基金财产的损失，基金托管人对此不承担任何责任。</w:t>
      </w:r>
    </w:p>
    <w:p w:rsidR="00796C66" w:rsidRDefault="00FB6202">
      <w:pPr>
        <w:pStyle w:val="div"/>
        <w:spacing w:line="360" w:lineRule="auto"/>
        <w:ind w:firstLine="426"/>
        <w:rPr>
          <w:rFonts w:eastAsia="Times New Roman"/>
          <w:kern w:val="0"/>
          <w:szCs w:val="21"/>
        </w:rPr>
      </w:pPr>
      <w:r>
        <w:rPr>
          <w:rFonts w:ascii="宋体" w:hAnsi="宋体" w:cs="宋体"/>
          <w:kern w:val="0"/>
          <w:szCs w:val="21"/>
        </w:rPr>
        <w:t>7.</w:t>
      </w:r>
      <w:r>
        <w:rPr>
          <w:rFonts w:ascii="宋体" w:hAnsi="宋体" w:cs="宋体"/>
          <w:kern w:val="0"/>
          <w:szCs w:val="21"/>
        </w:rPr>
        <w:t>除依据法律法规和基金合同的规定外，基金托管人不得委托第三人托管基金财产。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（二）基金募集期间及募集资金的验资</w:t>
      </w:r>
    </w:p>
    <w:p w:rsidR="00796C66" w:rsidRDefault="00FB6202">
      <w:pPr>
        <w:pStyle w:val="div"/>
        <w:spacing w:line="360" w:lineRule="auto"/>
        <w:ind w:firstLine="426"/>
        <w:rPr>
          <w:rFonts w:eastAsia="Times New Roman"/>
          <w:kern w:val="0"/>
          <w:szCs w:val="21"/>
        </w:rPr>
      </w:pPr>
      <w:r>
        <w:rPr>
          <w:rFonts w:ascii="宋体" w:hAnsi="宋体" w:cs="宋体"/>
          <w:kern w:val="0"/>
          <w:szCs w:val="21"/>
        </w:rPr>
        <w:t>1.</w:t>
      </w:r>
      <w:r>
        <w:rPr>
          <w:rFonts w:ascii="宋体" w:hAnsi="宋体" w:cs="宋体"/>
          <w:kern w:val="0"/>
          <w:szCs w:val="21"/>
        </w:rPr>
        <w:t>基金募集期间募集的资金应存于专门账户。该账户由基金管理人开立并管理。</w:t>
      </w:r>
    </w:p>
    <w:p w:rsidR="00796C66" w:rsidRDefault="00FB6202">
      <w:pPr>
        <w:pStyle w:val="div"/>
        <w:spacing w:line="360" w:lineRule="auto"/>
        <w:ind w:firstLine="426"/>
        <w:rPr>
          <w:rFonts w:eastAsia="Times New Roman"/>
          <w:kern w:val="0"/>
          <w:szCs w:val="21"/>
        </w:rPr>
      </w:pPr>
      <w:r>
        <w:rPr>
          <w:rFonts w:ascii="宋体" w:hAnsi="宋体" w:cs="宋体"/>
          <w:kern w:val="0"/>
          <w:szCs w:val="21"/>
        </w:rPr>
        <w:t>2.</w:t>
      </w:r>
      <w:r>
        <w:rPr>
          <w:rFonts w:ascii="宋体" w:hAnsi="宋体" w:cs="宋体"/>
          <w:kern w:val="0"/>
          <w:szCs w:val="21"/>
        </w:rPr>
        <w:t>基金募集期满或基金停止募集时，募集的基金份额总额、基金募集金额、基金份额持有人人数符合《基金法》、《运作办法》等有关规定后，基金管理人应将属于基金财产的全部资金划入基金托管人开立的基金银行账户，同时在规定时间内，聘请符合《中</w:t>
      </w:r>
      <w:r>
        <w:rPr>
          <w:rFonts w:ascii="宋体" w:hAnsi="宋体" w:cs="宋体"/>
          <w:kern w:val="0"/>
          <w:szCs w:val="21"/>
        </w:rPr>
        <w:t>华人民共和国证券法》（以下简称</w:t>
      </w:r>
      <w:r>
        <w:rPr>
          <w:rFonts w:ascii="宋体" w:hAnsi="宋体" w:cs="宋体"/>
          <w:kern w:val="0"/>
          <w:szCs w:val="21"/>
        </w:rPr>
        <w:t>“</w:t>
      </w:r>
      <w:r>
        <w:rPr>
          <w:rFonts w:ascii="宋体" w:hAnsi="宋体" w:cs="宋体"/>
          <w:kern w:val="0"/>
          <w:szCs w:val="21"/>
        </w:rPr>
        <w:t>《证券法》</w:t>
      </w:r>
      <w:r>
        <w:rPr>
          <w:rFonts w:ascii="宋体" w:hAnsi="宋体" w:cs="宋体"/>
          <w:kern w:val="0"/>
          <w:szCs w:val="21"/>
        </w:rPr>
        <w:t>”</w:t>
      </w:r>
      <w:r>
        <w:rPr>
          <w:rFonts w:ascii="宋体" w:hAnsi="宋体" w:cs="宋体"/>
          <w:kern w:val="0"/>
          <w:szCs w:val="21"/>
        </w:rPr>
        <w:t>）规定的会计师事务所进行验资，出具验资</w:t>
      </w:r>
      <w:r>
        <w:rPr>
          <w:rFonts w:ascii="宋体" w:hAnsi="宋体" w:cs="宋体"/>
          <w:kern w:val="0"/>
          <w:szCs w:val="21"/>
        </w:rPr>
        <w:lastRenderedPageBreak/>
        <w:t>报告。出具的验资报告由参加验资的</w:t>
      </w:r>
      <w:r>
        <w:rPr>
          <w:rFonts w:ascii="宋体" w:hAnsi="宋体" w:cs="宋体"/>
          <w:kern w:val="0"/>
          <w:szCs w:val="21"/>
        </w:rPr>
        <w:t>2</w:t>
      </w:r>
      <w:r>
        <w:rPr>
          <w:rFonts w:ascii="宋体" w:hAnsi="宋体" w:cs="宋体"/>
          <w:kern w:val="0"/>
          <w:szCs w:val="21"/>
        </w:rPr>
        <w:t>名或</w:t>
      </w:r>
      <w:r>
        <w:rPr>
          <w:rFonts w:ascii="宋体" w:hAnsi="宋体" w:cs="宋体"/>
          <w:kern w:val="0"/>
          <w:szCs w:val="21"/>
        </w:rPr>
        <w:t>2</w:t>
      </w:r>
      <w:r>
        <w:rPr>
          <w:rFonts w:ascii="宋体" w:hAnsi="宋体" w:cs="宋体"/>
          <w:kern w:val="0"/>
          <w:szCs w:val="21"/>
        </w:rPr>
        <w:t>名以上中国注册会计师签字方为有效。</w:t>
      </w:r>
    </w:p>
    <w:p w:rsidR="00796C66" w:rsidRDefault="00FB6202">
      <w:pPr>
        <w:pStyle w:val="div"/>
        <w:spacing w:line="360" w:lineRule="auto"/>
        <w:ind w:firstLine="426"/>
        <w:rPr>
          <w:rFonts w:eastAsia="Times New Roman"/>
          <w:kern w:val="0"/>
          <w:szCs w:val="21"/>
        </w:rPr>
      </w:pPr>
      <w:r>
        <w:rPr>
          <w:rFonts w:ascii="宋体" w:hAnsi="宋体" w:cs="宋体"/>
          <w:kern w:val="0"/>
          <w:szCs w:val="21"/>
        </w:rPr>
        <w:t>3.</w:t>
      </w:r>
      <w:r>
        <w:rPr>
          <w:rFonts w:ascii="宋体" w:hAnsi="宋体" w:cs="宋体"/>
          <w:kern w:val="0"/>
          <w:szCs w:val="21"/>
        </w:rPr>
        <w:t>若基金募集期限届满，未能达到基金合同生效的条件，由基金管理人按规定办理退款等事宜，基金托管人应提供充分协助。</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（三）基金银行账户的开立和管理</w:t>
      </w:r>
    </w:p>
    <w:p w:rsidR="00796C66" w:rsidRDefault="00FB6202">
      <w:pPr>
        <w:pStyle w:val="div"/>
        <w:spacing w:line="360" w:lineRule="auto"/>
        <w:ind w:firstLine="426"/>
        <w:rPr>
          <w:rFonts w:eastAsia="Times New Roman"/>
          <w:kern w:val="0"/>
          <w:szCs w:val="21"/>
        </w:rPr>
      </w:pPr>
      <w:r>
        <w:rPr>
          <w:rFonts w:ascii="宋体" w:hAnsi="宋体" w:cs="宋体"/>
          <w:kern w:val="0"/>
          <w:szCs w:val="21"/>
        </w:rPr>
        <w:t>1.</w:t>
      </w:r>
      <w:r>
        <w:rPr>
          <w:rFonts w:ascii="宋体" w:hAnsi="宋体" w:cs="宋体"/>
          <w:kern w:val="0"/>
          <w:szCs w:val="21"/>
        </w:rPr>
        <w:t>基金托管人应负责本基金的银行账户的开设和管理。</w:t>
      </w:r>
    </w:p>
    <w:p w:rsidR="00796C66" w:rsidRDefault="00FB6202">
      <w:pPr>
        <w:pStyle w:val="div"/>
        <w:spacing w:line="360" w:lineRule="auto"/>
        <w:ind w:firstLine="426"/>
        <w:rPr>
          <w:rFonts w:eastAsia="Times New Roman"/>
          <w:kern w:val="0"/>
          <w:szCs w:val="21"/>
        </w:rPr>
      </w:pPr>
      <w:r>
        <w:rPr>
          <w:rFonts w:ascii="宋体" w:hAnsi="宋体" w:cs="宋体"/>
          <w:kern w:val="0"/>
          <w:szCs w:val="21"/>
        </w:rPr>
        <w:t>2.</w:t>
      </w:r>
      <w:r>
        <w:rPr>
          <w:rFonts w:ascii="宋体" w:hAnsi="宋体" w:cs="宋体"/>
          <w:kern w:val="0"/>
          <w:szCs w:val="21"/>
        </w:rPr>
        <w:t>基金托管人根据有关规定以本基金的名义在其营业机构开立银行账户，并根据基金管理人合法合规的指令办理资金收付。基金管理人授权基金托管人办理本基金银行账户的开</w:t>
      </w:r>
      <w:r>
        <w:rPr>
          <w:rFonts w:ascii="宋体" w:hAnsi="宋体" w:cs="宋体"/>
          <w:kern w:val="0"/>
          <w:szCs w:val="21"/>
        </w:rPr>
        <w:t>立、销户、变更工作，本基金银行账户无需预留印鉴，具体按基金托管人要求办理。基金银行账户的开立和使用，限于满足开展本基金业务的需要。基金托管人和基金管理人不得假借本基金的名义开立任何其他银行账户；亦不得使用基金的任何账户进行本基金业务以外的活动。</w:t>
      </w:r>
    </w:p>
    <w:p w:rsidR="00796C66" w:rsidRDefault="00FB6202">
      <w:pPr>
        <w:pStyle w:val="div"/>
        <w:spacing w:line="360" w:lineRule="auto"/>
        <w:ind w:firstLine="426"/>
        <w:rPr>
          <w:rFonts w:eastAsia="Times New Roman"/>
          <w:kern w:val="0"/>
          <w:szCs w:val="21"/>
        </w:rPr>
      </w:pPr>
      <w:r>
        <w:rPr>
          <w:rFonts w:ascii="宋体" w:hAnsi="宋体" w:cs="宋体"/>
          <w:kern w:val="0"/>
          <w:szCs w:val="21"/>
        </w:rPr>
        <w:t>3.</w:t>
      </w:r>
      <w:r>
        <w:rPr>
          <w:rFonts w:ascii="宋体" w:hAnsi="宋体" w:cs="宋体"/>
          <w:kern w:val="0"/>
          <w:szCs w:val="21"/>
        </w:rPr>
        <w:t>基金银行账户的开立和管理应符合银行业监督管理机构的有关规定。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（四）基金证券账户和结算备付金账户的开立和管理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基金托管人在中国证券登记结算有限责任公司上海分公司、深圳分公司为基金开立基金托管人与本基金联名的证券账户。</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基金证券账户的开立和使用，仅限于满足</w:t>
      </w:r>
      <w:r>
        <w:rPr>
          <w:rFonts w:ascii="宋体" w:hAnsi="宋体" w:cs="宋体"/>
          <w:kern w:val="0"/>
          <w:szCs w:val="21"/>
        </w:rPr>
        <w:t>开展本基金业务的需要。基金托管人和基金管理人不得出借或未经对方同意擅自转让基金的任何证券账户，亦不得使用基金的任何账户进行本基金业务以外的活动。</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基金证券账户的开立和证券账户卡的保管由基金托管人负责，账户资产的管理和运用由基金管理人负责。</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基金托管人以自身法人名义在中国证券登记结算有限责任公司开立结算备付金账户，并代表所托管的基金完成与中国证券登记结算有限责任公司的一级法人清算工作，基金管理人应予以积极协助。结算备付金等的收取按照中国证券登记结算有限责任公司的规定执行。</w:t>
      </w:r>
    </w:p>
    <w:p w:rsidR="00796C66" w:rsidRDefault="00FB6202">
      <w:pPr>
        <w:pStyle w:val="div"/>
        <w:spacing w:line="360" w:lineRule="auto"/>
        <w:ind w:firstLine="480"/>
        <w:rPr>
          <w:rFonts w:eastAsia="Times New Roman"/>
          <w:kern w:val="0"/>
          <w:szCs w:val="21"/>
        </w:rPr>
      </w:pPr>
      <w:r>
        <w:rPr>
          <w:rFonts w:ascii="宋体" w:hAnsi="宋体" w:cs="宋体"/>
          <w:kern w:val="0"/>
          <w:szCs w:val="21"/>
        </w:rPr>
        <w:t>5.</w:t>
      </w:r>
      <w:r>
        <w:rPr>
          <w:rFonts w:ascii="宋体" w:hAnsi="宋体" w:cs="宋体"/>
          <w:kern w:val="0"/>
          <w:szCs w:val="21"/>
        </w:rPr>
        <w:t>若中国证监会或其他监管机构在本托管协议订立日之后允许基金从事其他投资品种的投资业务，涉及相关账户的开立、使用的，若无相关规定，则基金托管人比照上述关于账户开立、使用的规定执行。</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（五）债券托管专户的开设和管理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生效后，基金托管人根据中国人民银行、中央国债登记结算有限责任公司、银行间清算所股份有限公司的有关规定，在中央国债登记结算有限责任公司、银行间清算所股份有限公司根据有关规定以本基金的名义为基金开立债券托管账户，并代表本基金进行银行间市场债券的结算。基金管理人和基金托管人共同代表本基金签订全国</w:t>
      </w:r>
      <w:r>
        <w:rPr>
          <w:rFonts w:ascii="宋体" w:hAnsi="宋体" w:cs="宋体"/>
          <w:kern w:val="0"/>
          <w:szCs w:val="21"/>
        </w:rPr>
        <w:t>银行间债券市场债券回购主协议。</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（六）证券投资基金账户的开设和管理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基金管理人根据本基金投资证券投资基金的需要，在与基金托管人协商一致后，基金管理人负责为本基金在指定的基金公司或其他代销机构开立证券投资基金账户，用于办理本基金投资于其他证券投资基金时的基金份额登记和交割。基金管理人负责管理使用上述账户，基金托管人负责保管上述账户的开户文件复印件。</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（七）其他账户的开立和管理</w:t>
      </w:r>
    </w:p>
    <w:p w:rsidR="00796C66" w:rsidRDefault="00FB6202">
      <w:pPr>
        <w:pStyle w:val="div"/>
        <w:spacing w:line="360" w:lineRule="auto"/>
        <w:ind w:firstLine="426"/>
        <w:rPr>
          <w:rFonts w:eastAsia="Times New Roman"/>
          <w:kern w:val="0"/>
          <w:szCs w:val="21"/>
        </w:rPr>
      </w:pPr>
      <w:r>
        <w:rPr>
          <w:rFonts w:ascii="宋体" w:hAnsi="宋体" w:cs="宋体"/>
          <w:kern w:val="0"/>
          <w:szCs w:val="21"/>
        </w:rPr>
        <w:t>1.</w:t>
      </w:r>
      <w:r>
        <w:rPr>
          <w:rFonts w:ascii="宋体" w:hAnsi="宋体" w:cs="宋体"/>
          <w:kern w:val="0"/>
          <w:szCs w:val="21"/>
        </w:rPr>
        <w:t>因业务发展需要而开立的其他账户，可以根据法律法规和基金合同的规定开立，在基金管理人和基金托管人商议后由基金托管人负责开立。新账户按有关规定使用并管理。</w:t>
      </w:r>
    </w:p>
    <w:p w:rsidR="00796C66" w:rsidRDefault="00FB6202">
      <w:pPr>
        <w:pStyle w:val="div"/>
        <w:spacing w:line="360" w:lineRule="auto"/>
        <w:ind w:firstLine="426"/>
        <w:rPr>
          <w:rFonts w:eastAsia="Times New Roman"/>
          <w:kern w:val="0"/>
          <w:szCs w:val="21"/>
        </w:rPr>
      </w:pPr>
      <w:r>
        <w:rPr>
          <w:rFonts w:ascii="宋体" w:hAnsi="宋体" w:cs="宋体"/>
          <w:kern w:val="0"/>
          <w:szCs w:val="21"/>
        </w:rPr>
        <w:t>2.</w:t>
      </w:r>
      <w:r>
        <w:rPr>
          <w:rFonts w:ascii="宋体" w:hAnsi="宋体" w:cs="宋体"/>
          <w:kern w:val="0"/>
          <w:szCs w:val="21"/>
        </w:rPr>
        <w:t>法律法规等有关规定对相关账户的开立和管理另有规定的，从其规定办理。</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（八）基金财产投资的有关有价凭证等的保管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基金财产投资的有关实物证券等有价凭证由基金托管人存放于基金托管人的保管库，也可存入中央国债登记结算有限责任公司、中国证券登记结算有限责任公司上海分公司</w:t>
      </w:r>
      <w:r>
        <w:rPr>
          <w:rFonts w:ascii="宋体" w:hAnsi="宋体" w:cs="宋体"/>
          <w:kern w:val="0"/>
          <w:szCs w:val="21"/>
        </w:rPr>
        <w:t>/</w:t>
      </w:r>
      <w:r>
        <w:rPr>
          <w:rFonts w:ascii="宋体" w:hAnsi="宋体" w:cs="宋体"/>
          <w:kern w:val="0"/>
          <w:szCs w:val="21"/>
        </w:rPr>
        <w:t>深圳分公司或票据营业中心的代保管库，保管凭证由基金托管人持有。实物证券等有价凭证的购买和转</w:t>
      </w:r>
      <w:r>
        <w:rPr>
          <w:rFonts w:ascii="宋体" w:hAnsi="宋体" w:cs="宋体"/>
          <w:kern w:val="0"/>
          <w:szCs w:val="21"/>
        </w:rPr>
        <w:t>让，由基金管理人和基金托管人共同办理。基金托管人对由基金托管人以外机构实际有效控制的证券不承担保管责任。</w:t>
      </w:r>
    </w:p>
    <w:p w:rsidR="00796C66" w:rsidRDefault="00FB6202">
      <w:pPr>
        <w:pStyle w:val="div"/>
        <w:spacing w:line="360" w:lineRule="auto"/>
        <w:ind w:firstLine="480"/>
        <w:rPr>
          <w:rFonts w:eastAsia="Times New Roman"/>
          <w:kern w:val="0"/>
          <w:szCs w:val="21"/>
        </w:rPr>
      </w:pPr>
      <w:r>
        <w:rPr>
          <w:rFonts w:ascii="宋体" w:hAnsi="宋体" w:cs="宋体"/>
          <w:kern w:val="0"/>
          <w:szCs w:val="21"/>
        </w:rPr>
        <w:t>（九）与基金财产有关的重大合同的保管</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重大合同的保管期</w:t>
      </w:r>
      <w:r>
        <w:rPr>
          <w:rFonts w:ascii="宋体" w:hAnsi="宋体" w:cs="宋体"/>
          <w:kern w:val="0"/>
          <w:szCs w:val="21"/>
        </w:rPr>
        <w:t>限至少</w:t>
      </w:r>
      <w:r>
        <w:rPr>
          <w:rFonts w:ascii="宋体" w:hAnsi="宋体" w:cs="宋体"/>
          <w:kern w:val="0"/>
          <w:szCs w:val="21"/>
        </w:rPr>
        <w:t>20</w:t>
      </w:r>
      <w:r>
        <w:rPr>
          <w:rFonts w:ascii="宋体" w:hAnsi="宋体" w:cs="宋体"/>
          <w:kern w:val="0"/>
          <w:szCs w:val="21"/>
        </w:rPr>
        <w:t>年，法律法规或监管部门另有规定的除外。</w:t>
      </w:r>
    </w:p>
    <w:p w:rsidR="00796C66" w:rsidRDefault="00FB6202">
      <w:pPr>
        <w:pStyle w:val="div"/>
        <w:spacing w:line="360" w:lineRule="auto"/>
        <w:ind w:firstLine="480"/>
        <w:rPr>
          <w:rFonts w:eastAsia="Times New Roman"/>
          <w:kern w:val="0"/>
          <w:szCs w:val="21"/>
        </w:rPr>
      </w:pPr>
      <w:r>
        <w:rPr>
          <w:rFonts w:ascii="宋体" w:hAnsi="宋体" w:cs="宋体"/>
          <w:kern w:val="0"/>
          <w:szCs w:val="21"/>
        </w:rPr>
        <w:t>对于无法取得二份以上的正本的，基金管理人应向基金托管人提供与合同原件核对一致并加盖公章的合同复印件或传真件，未经双方协商一致，合同原件不得转移。</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五、基金资产净值计算和会计核算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（一）基金资产净值的计算、复核与完成的时间及程序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基金资产净值</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基金资产净值是指基金资产总值减去负债后的金额。</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基金份额净值（含各类基金份额的基金份额净值，下同）是按照每个估值日相应类别的基金资产净值除以当日该类基金份额总数，基金份额净值的计算，精确到</w:t>
      </w:r>
      <w:r>
        <w:rPr>
          <w:rFonts w:ascii="宋体" w:hAnsi="宋体" w:cs="宋体"/>
          <w:kern w:val="0"/>
          <w:szCs w:val="21"/>
        </w:rPr>
        <w:t>0.0001</w:t>
      </w:r>
      <w:r>
        <w:rPr>
          <w:rFonts w:ascii="宋体" w:hAnsi="宋体" w:cs="宋体"/>
          <w:kern w:val="0"/>
          <w:szCs w:val="21"/>
        </w:rPr>
        <w:t>元，小数点后第</w:t>
      </w:r>
      <w:r>
        <w:rPr>
          <w:rFonts w:ascii="宋体" w:hAnsi="宋体" w:cs="宋体"/>
          <w:kern w:val="0"/>
          <w:szCs w:val="21"/>
        </w:rPr>
        <w:t>5</w:t>
      </w:r>
      <w:r>
        <w:rPr>
          <w:rFonts w:ascii="宋体" w:hAnsi="宋体" w:cs="宋体"/>
          <w:kern w:val="0"/>
          <w:szCs w:val="21"/>
        </w:rPr>
        <w:t>位四舍五入，由此产生的误差计入基金财产。国家另有规定的，从其规定。</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基金管理人每个估值日计算基金资产净值及基金份额净值，经基金托管人复核，按规定公告。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复核程序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基金管理人每个估值日对基金资产进行估值后，将各类基金份额的基金份额净值结果</w:t>
      </w:r>
      <w:r>
        <w:rPr>
          <w:rFonts w:ascii="宋体" w:hAnsi="宋体" w:cs="宋体"/>
          <w:kern w:val="0"/>
          <w:szCs w:val="21"/>
        </w:rPr>
        <w:lastRenderedPageBreak/>
        <w:t>以双方约定的方式提交给基金托管人，经基金托管人复核无误后，以约定的方式将复核结果提交给基金管理人，由基金管理人依据基金合同和有关法律法规对外公布。</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根据有关法律法规，基金资产净值计算和基金会计核算的义务由基金管理人承担。本基金的基金会计责任方由基金管理人担任，因此，就</w:t>
      </w:r>
      <w:r>
        <w:rPr>
          <w:rFonts w:ascii="宋体" w:hAnsi="宋体" w:cs="宋体"/>
          <w:kern w:val="0"/>
          <w:szCs w:val="21"/>
        </w:rPr>
        <w:t>与本基金有关的会计问题，如经相关各方在平等基础上充分讨论后，仍无法达成一致意见的，按照基金管理人对基金净值的计算结果对外予以公布。</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（二）基金会计核算</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、基金账册的建立</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进行基金会计核算并编制基金财务会计报告。基金管理人独立地设置、记录和保管本基金的全套账册。基金托管人按规定制作相关账册并与基金管理人核对。若基金管理人和基金托管人对会计处理方法存在分歧，应以基金管理人的处理方法为准。若当日核对不符，暂时无法查找到错账的原因而影响到基金净值信息的计算和公告的，以基金管理人的账册为准。</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、基金财务</w:t>
      </w:r>
      <w:r>
        <w:rPr>
          <w:rFonts w:ascii="宋体" w:hAnsi="宋体" w:cs="宋体"/>
          <w:kern w:val="0"/>
          <w:szCs w:val="21"/>
        </w:rPr>
        <w:t>报表与报告的编制和复核</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）财务报表的编制</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基金财务报表由基金管理人编制，基金托管人复核。</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）报表复核</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基金托管人在收到基金管理人编制的基金财务报表后，进行独立的复核。核对不符时，应及时通知基金管理人共同查出原因，进行调整，直至双方数据完全一致。</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、财务报表的编制与复核时间安排</w:t>
      </w:r>
    </w:p>
    <w:p w:rsidR="00796C66" w:rsidRDefault="00FB6202">
      <w:pPr>
        <w:pStyle w:val="div"/>
        <w:spacing w:line="360" w:lineRule="auto"/>
        <w:ind w:hanging="420"/>
        <w:rPr>
          <w:rFonts w:eastAsia="Times New Roman"/>
          <w:kern w:val="0"/>
          <w:szCs w:val="21"/>
        </w:rPr>
      </w:pPr>
      <w:r>
        <w:rPr>
          <w:rFonts w:ascii="宋体" w:hAnsi="宋体" w:cs="宋体"/>
          <w:kern w:val="0"/>
          <w:szCs w:val="21"/>
        </w:rPr>
        <w:t>1)</w:t>
      </w:r>
      <w:r>
        <w:rPr>
          <w:rFonts w:ascii="宋体" w:hAnsi="宋体" w:cs="宋体"/>
          <w:kern w:val="0"/>
          <w:szCs w:val="21"/>
        </w:rPr>
        <w:tab/>
      </w:r>
      <w:r>
        <w:rPr>
          <w:rFonts w:ascii="宋体" w:hAnsi="宋体" w:cs="宋体"/>
          <w:kern w:val="0"/>
          <w:szCs w:val="21"/>
        </w:rPr>
        <w:t>报表的编制</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基金合同生效后，基金招募说明书的信息发生重大变更的，基金管理人应当在三个工作日内，更新基金招募说明书并登载在规定网站上，基金招募说明书其他信息发生变更的，基金管理人至少每年更新一次</w:t>
      </w:r>
      <w:r>
        <w:rPr>
          <w:rFonts w:ascii="宋体" w:hAnsi="宋体" w:cs="宋体"/>
          <w:kern w:val="0"/>
          <w:szCs w:val="21"/>
        </w:rPr>
        <w:t>;</w:t>
      </w:r>
      <w:r>
        <w:rPr>
          <w:rFonts w:ascii="宋体" w:hAnsi="宋体" w:cs="宋体"/>
          <w:kern w:val="0"/>
          <w:szCs w:val="21"/>
        </w:rPr>
        <w:t>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基金管理人应当在每年结束之日起三个月内，编制完成基金年度报告，将年度报告登载在规定网站上，并将年度报告提示性公告登载在规定报刊上。</w:t>
      </w:r>
      <w:r>
        <w:rPr>
          <w:rFonts w:ascii="宋体" w:hAnsi="宋体" w:cs="宋体"/>
          <w:kern w:val="0"/>
          <w:szCs w:val="21"/>
        </w:rPr>
        <w:t>基金管理人应当在上半年结束之日起两个月内，编制完成基金中期报告，将中期报告登载在规定网站上，并将中期报告提示性公告登载在规定报刊上。基金管理人应当在季度结束之日起</w:t>
      </w:r>
      <w:r>
        <w:rPr>
          <w:rFonts w:ascii="宋体" w:hAnsi="宋体" w:cs="宋体"/>
          <w:kern w:val="0"/>
          <w:szCs w:val="21"/>
        </w:rPr>
        <w:t>15</w:t>
      </w:r>
      <w:r>
        <w:rPr>
          <w:rFonts w:ascii="宋体" w:hAnsi="宋体" w:cs="宋体"/>
          <w:kern w:val="0"/>
          <w:szCs w:val="21"/>
        </w:rPr>
        <w:t>个工作日内，编制完成基金季度报告，将季度报告登载在规定网站上，并将季度报告提示性公告登载在规定报刊上。基金合同生效不足两个月的，基金管理人可以不编制当期季度报告、中期报告或者年度报告。</w:t>
      </w:r>
    </w:p>
    <w:p w:rsidR="00796C66" w:rsidRDefault="00FB6202">
      <w:pPr>
        <w:pStyle w:val="div"/>
        <w:spacing w:line="360" w:lineRule="auto"/>
        <w:ind w:hanging="420"/>
        <w:rPr>
          <w:rFonts w:eastAsia="Times New Roman"/>
          <w:kern w:val="0"/>
          <w:szCs w:val="21"/>
        </w:rPr>
      </w:pPr>
      <w:r>
        <w:rPr>
          <w:rFonts w:ascii="宋体" w:hAnsi="宋体" w:cs="宋体"/>
          <w:kern w:val="0"/>
          <w:szCs w:val="21"/>
        </w:rPr>
        <w:t>2)</w:t>
      </w:r>
      <w:r>
        <w:rPr>
          <w:rFonts w:ascii="宋体" w:hAnsi="宋体" w:cs="宋体"/>
          <w:kern w:val="0"/>
          <w:szCs w:val="21"/>
        </w:rPr>
        <w:tab/>
      </w:r>
      <w:r>
        <w:rPr>
          <w:rFonts w:ascii="宋体" w:hAnsi="宋体" w:cs="宋体"/>
          <w:kern w:val="0"/>
          <w:szCs w:val="21"/>
        </w:rPr>
        <w:t>报表的复核</w:t>
      </w:r>
    </w:p>
    <w:p w:rsidR="00796C66" w:rsidRDefault="00FB6202">
      <w:pPr>
        <w:pStyle w:val="div"/>
        <w:spacing w:line="360" w:lineRule="auto"/>
        <w:ind w:firstLine="480"/>
        <w:rPr>
          <w:rFonts w:eastAsia="Times New Roman"/>
          <w:kern w:val="0"/>
          <w:szCs w:val="21"/>
        </w:rPr>
      </w:pPr>
      <w:r>
        <w:rPr>
          <w:rFonts w:ascii="宋体" w:hAnsi="宋体" w:cs="宋体"/>
          <w:kern w:val="0"/>
          <w:szCs w:val="21"/>
        </w:rPr>
        <w:lastRenderedPageBreak/>
        <w:t>基金管理人应及时完成报表编制，将有关报表提供基金托管人复核；基金托管人在复核过程中，发现双方的报表存在不符时，基金管理人和基金托管人应共同查明</w:t>
      </w:r>
      <w:r>
        <w:rPr>
          <w:rFonts w:ascii="宋体" w:hAnsi="宋体" w:cs="宋体"/>
          <w:kern w:val="0"/>
          <w:szCs w:val="21"/>
        </w:rPr>
        <w:t>原因，进行调整，调整以国家有关规定为准。</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基金管理人应留足充分的时间，便于基金托管人复核相关报表及报告。</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六、基金份额持有人名册的保管</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不少于法定最低期限，法律法规或监管部门另有规定的除外。如不能妥善保管，则按相关法规承担责任。</w:t>
      </w:r>
    </w:p>
    <w:p w:rsidR="00796C66" w:rsidRDefault="00FB6202">
      <w:pPr>
        <w:pStyle w:val="div"/>
        <w:spacing w:line="360" w:lineRule="auto"/>
        <w:ind w:firstLine="480"/>
        <w:rPr>
          <w:rFonts w:eastAsia="Times New Roman"/>
          <w:kern w:val="0"/>
          <w:szCs w:val="21"/>
        </w:rPr>
      </w:pPr>
      <w:r>
        <w:rPr>
          <w:rFonts w:ascii="宋体" w:hAnsi="宋体" w:cs="宋体"/>
          <w:kern w:val="0"/>
          <w:szCs w:val="21"/>
        </w:rPr>
        <w:t>基金托管人依法编制中期报告和年度报告前有向基金管理人搜集资料的权利，基金管理人应在收到基金托管</w:t>
      </w:r>
      <w:r>
        <w:rPr>
          <w:rFonts w:ascii="宋体" w:hAnsi="宋体" w:cs="宋体"/>
          <w:kern w:val="0"/>
          <w:szCs w:val="21"/>
        </w:rPr>
        <w:t>人通知后及时将有关资料送交基金托管人，不得无故拒绝或延误提供，并保证其的真实性、准确性和完整性。基金托管人不得将所保管的基金份额持有人名册用于基金托管业务以外的其他用途，并应遵守保密义务。</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七、托管协议的变更、终止</w:t>
      </w:r>
    </w:p>
    <w:p w:rsidR="00796C66" w:rsidRDefault="00FB6202">
      <w:pPr>
        <w:pStyle w:val="div"/>
        <w:spacing w:line="360" w:lineRule="auto"/>
        <w:ind w:firstLine="480"/>
        <w:rPr>
          <w:rFonts w:eastAsia="Times New Roman"/>
          <w:kern w:val="0"/>
          <w:szCs w:val="21"/>
        </w:rPr>
      </w:pPr>
      <w:r>
        <w:rPr>
          <w:rFonts w:ascii="宋体" w:hAnsi="宋体" w:cs="宋体"/>
          <w:kern w:val="0"/>
          <w:szCs w:val="21"/>
        </w:rPr>
        <w:t>（一）托管协议的变更程序</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本协议双方当事人经协商一致，可以对协议进行修改。修改后的新协议，其内容不得与基金合同的规定有任何冲突。基金托管协议的变更报中国证监会备案。</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（二）基金托管协议终止出现的情形</w:t>
      </w:r>
    </w:p>
    <w:p w:rsidR="00796C66" w:rsidRDefault="00FB6202">
      <w:pPr>
        <w:pStyle w:val="div"/>
        <w:spacing w:line="360" w:lineRule="auto"/>
        <w:ind w:firstLine="480"/>
        <w:rPr>
          <w:rFonts w:eastAsia="Times New Roman"/>
          <w:kern w:val="0"/>
          <w:szCs w:val="21"/>
        </w:rPr>
      </w:pPr>
      <w:r>
        <w:rPr>
          <w:rFonts w:ascii="宋体" w:hAnsi="宋体" w:cs="宋体"/>
          <w:kern w:val="0"/>
          <w:szCs w:val="21"/>
        </w:rPr>
        <w:t>1.</w:t>
      </w:r>
      <w:r>
        <w:rPr>
          <w:rFonts w:ascii="宋体" w:hAnsi="宋体" w:cs="宋体"/>
          <w:kern w:val="0"/>
          <w:szCs w:val="21"/>
        </w:rPr>
        <w:t>基金合同终止；</w:t>
      </w:r>
    </w:p>
    <w:p w:rsidR="00796C66" w:rsidRDefault="00FB6202">
      <w:pPr>
        <w:pStyle w:val="div"/>
        <w:spacing w:line="360" w:lineRule="auto"/>
        <w:ind w:firstLine="480"/>
        <w:rPr>
          <w:rFonts w:eastAsia="Times New Roman"/>
          <w:kern w:val="0"/>
          <w:szCs w:val="21"/>
        </w:rPr>
      </w:pPr>
      <w:r>
        <w:rPr>
          <w:rFonts w:ascii="宋体" w:hAnsi="宋体" w:cs="宋体"/>
          <w:kern w:val="0"/>
          <w:szCs w:val="21"/>
        </w:rPr>
        <w:t>2.</w:t>
      </w:r>
      <w:r>
        <w:rPr>
          <w:rFonts w:ascii="宋体" w:hAnsi="宋体" w:cs="宋体"/>
          <w:kern w:val="0"/>
          <w:szCs w:val="21"/>
        </w:rPr>
        <w:t>基金托管人解散、依法被撤销、破产或由其他基金托管人接管基金资产；</w:t>
      </w:r>
    </w:p>
    <w:p w:rsidR="00796C66" w:rsidRDefault="00FB6202">
      <w:pPr>
        <w:pStyle w:val="div"/>
        <w:spacing w:line="360" w:lineRule="auto"/>
        <w:ind w:firstLine="480"/>
        <w:rPr>
          <w:rFonts w:eastAsia="Times New Roman"/>
          <w:kern w:val="0"/>
          <w:szCs w:val="21"/>
        </w:rPr>
      </w:pPr>
      <w:r>
        <w:rPr>
          <w:rFonts w:ascii="宋体" w:hAnsi="宋体" w:cs="宋体"/>
          <w:kern w:val="0"/>
          <w:szCs w:val="21"/>
        </w:rPr>
        <w:t>3.</w:t>
      </w:r>
      <w:r>
        <w:rPr>
          <w:rFonts w:ascii="宋体" w:hAnsi="宋体" w:cs="宋体"/>
          <w:kern w:val="0"/>
          <w:szCs w:val="21"/>
        </w:rPr>
        <w:t>基金管理人解散、依法被撤销、破产或由其他基金管理人接管基金管理权；</w:t>
      </w:r>
    </w:p>
    <w:p w:rsidR="00796C66" w:rsidRDefault="00FB6202">
      <w:pPr>
        <w:pStyle w:val="div"/>
        <w:spacing w:line="360" w:lineRule="auto"/>
        <w:ind w:firstLine="480"/>
        <w:rPr>
          <w:rFonts w:eastAsia="Times New Roman"/>
          <w:kern w:val="0"/>
          <w:szCs w:val="21"/>
        </w:rPr>
      </w:pPr>
      <w:r>
        <w:rPr>
          <w:rFonts w:ascii="宋体" w:hAnsi="宋体" w:cs="宋体"/>
          <w:kern w:val="0"/>
          <w:szCs w:val="21"/>
        </w:rPr>
        <w:t>4.</w:t>
      </w:r>
      <w:r>
        <w:rPr>
          <w:rFonts w:ascii="宋体" w:hAnsi="宋体" w:cs="宋体"/>
          <w:kern w:val="0"/>
          <w:szCs w:val="21"/>
        </w:rPr>
        <w:t>发生法律法规或基金合同规定的终止事项。</w:t>
      </w:r>
    </w:p>
    <w:p w:rsidR="00796C66" w:rsidRDefault="00FB6202">
      <w:pPr>
        <w:pStyle w:val="div"/>
        <w:spacing w:line="360" w:lineRule="auto"/>
        <w:ind w:firstLine="480"/>
        <w:rPr>
          <w:rFonts w:eastAsia="Times New Roman"/>
          <w:kern w:val="0"/>
          <w:szCs w:val="21"/>
        </w:rPr>
      </w:pPr>
      <w:r>
        <w:rPr>
          <w:rFonts w:ascii="宋体" w:hAnsi="宋体" w:cs="宋体"/>
          <w:kern w:val="0"/>
          <w:szCs w:val="21"/>
        </w:rPr>
        <w:t>八、适用法律与争议解决方式</w:t>
      </w:r>
    </w:p>
    <w:p w:rsidR="00796C66" w:rsidRDefault="00FB6202">
      <w:pPr>
        <w:pStyle w:val="div"/>
        <w:spacing w:line="360" w:lineRule="auto"/>
        <w:ind w:firstLine="480"/>
        <w:rPr>
          <w:rFonts w:eastAsia="Times New Roman"/>
          <w:kern w:val="0"/>
          <w:szCs w:val="21"/>
        </w:rPr>
      </w:pPr>
      <w:r>
        <w:rPr>
          <w:rFonts w:ascii="宋体" w:hAnsi="宋体" w:cs="宋体"/>
          <w:kern w:val="0"/>
          <w:szCs w:val="21"/>
        </w:rPr>
        <w:t>因本协议产生或与之相关的争议，双方当事人应通过协商、调解解决，协商、调解不能解决的，任何一方均有权将争议提交中国国际经济贸易仲裁委员会，仲裁地点为北京市，按照其届时有效的仲裁规则进行仲裁。仲裁裁决是终局的，对当事人均有约束力。除非仲裁裁决另有规定，仲裁费用由败诉方承担。</w:t>
      </w:r>
    </w:p>
    <w:p w:rsidR="00796C66" w:rsidRDefault="00FB6202">
      <w:pPr>
        <w:pStyle w:val="div"/>
        <w:spacing w:line="360" w:lineRule="auto"/>
        <w:ind w:firstLine="480"/>
        <w:rPr>
          <w:rFonts w:eastAsia="Times New Roman"/>
          <w:kern w:val="0"/>
          <w:szCs w:val="21"/>
        </w:rPr>
      </w:pPr>
      <w:r>
        <w:rPr>
          <w:rFonts w:ascii="宋体" w:hAnsi="宋体" w:cs="宋体"/>
          <w:kern w:val="0"/>
          <w:szCs w:val="21"/>
        </w:rPr>
        <w:t>争议处理期间，双方当事人应恪守基金管理人和基金托管人职责，各自继续忠实、勤勉、尽责地履行基金合同</w:t>
      </w:r>
      <w:r>
        <w:rPr>
          <w:rFonts w:ascii="宋体" w:hAnsi="宋体" w:cs="宋体"/>
          <w:kern w:val="0"/>
          <w:szCs w:val="21"/>
        </w:rPr>
        <w:t>和本托管协议规定的义务，维护基金份额持有人的合法权益。</w:t>
      </w:r>
    </w:p>
    <w:p w:rsidR="00796C66" w:rsidRDefault="00FB6202">
      <w:pPr>
        <w:pStyle w:val="div"/>
        <w:spacing w:line="360" w:lineRule="auto"/>
        <w:ind w:firstLine="480"/>
        <w:rPr>
          <w:rFonts w:eastAsia="Times New Roman"/>
          <w:kern w:val="0"/>
          <w:szCs w:val="21"/>
        </w:rPr>
      </w:pPr>
      <w:r>
        <w:rPr>
          <w:rFonts w:ascii="宋体" w:hAnsi="宋体" w:cs="宋体"/>
          <w:kern w:val="0"/>
          <w:szCs w:val="21"/>
        </w:rPr>
        <w:t>本协议受中国法律（为本托管协议之目的，不包括香港特别行政区、澳门特别行政区和台湾地区法律）管辖并从其解释。</w:t>
      </w:r>
      <w:r>
        <w:rPr>
          <w:rFonts w:ascii="宋体" w:hAnsi="宋体" w:cs="宋体"/>
          <w:kern w:val="0"/>
          <w:szCs w:val="21"/>
        </w:rPr>
        <w:br w:type="page"/>
      </w:r>
    </w:p>
    <w:p w:rsidR="00796C66" w:rsidRDefault="00FB6202">
      <w:pPr>
        <w:pStyle w:val="ae"/>
        <w:outlineLvl w:val="0"/>
      </w:pPr>
      <w:bookmarkStart w:id="24" w:name="_Toc256000023"/>
      <w:r>
        <w:rPr>
          <w:noProof/>
        </w:rPr>
        <w:lastRenderedPageBreak/>
        <w:t>二十三</w:t>
      </w:r>
      <w:r>
        <w:rPr>
          <w:rStyle w:val="Char5"/>
          <w:b/>
          <w:bCs/>
          <w:noProof/>
        </w:rPr>
        <w:t>、</w:t>
      </w:r>
      <w:r>
        <w:rPr>
          <w:noProof/>
        </w:rPr>
        <w:t>对基金份额持有人的服务</w:t>
      </w:r>
      <w:bookmarkEnd w:id="24"/>
    </w:p>
    <w:p w:rsidR="00796C66" w:rsidRDefault="00FB6202">
      <w:pPr>
        <w:pStyle w:val="div"/>
        <w:spacing w:line="360" w:lineRule="auto"/>
        <w:ind w:firstLine="420"/>
        <w:rPr>
          <w:rFonts w:eastAsia="Times New Roman"/>
          <w:kern w:val="0"/>
          <w:szCs w:val="21"/>
        </w:rPr>
      </w:pPr>
      <w:r>
        <w:rPr>
          <w:rFonts w:ascii="宋体" w:hAnsi="宋体" w:cs="宋体"/>
          <w:kern w:val="0"/>
          <w:szCs w:val="21"/>
        </w:rPr>
        <w:t>对本基金份额持有人的服务主要由基金管理人和代销机构提供。</w:t>
      </w:r>
    </w:p>
    <w:p w:rsidR="00796C66" w:rsidRDefault="00FB6202">
      <w:pPr>
        <w:pStyle w:val="div"/>
        <w:spacing w:line="360" w:lineRule="auto"/>
        <w:ind w:firstLine="420"/>
        <w:rPr>
          <w:rFonts w:eastAsia="Times New Roman"/>
          <w:kern w:val="0"/>
          <w:szCs w:val="21"/>
        </w:rPr>
      </w:pPr>
      <w:r>
        <w:rPr>
          <w:rFonts w:ascii="宋体" w:hAnsi="宋体" w:cs="宋体"/>
          <w:kern w:val="0"/>
          <w:szCs w:val="21"/>
        </w:rPr>
        <w:t>基金管理人承诺为基金份额持有人提供一系列的服务。基金管理人将根据基金份额持有人的需要和市场的变化，增加或变更服务项目。主要服务内容如下：</w:t>
      </w:r>
    </w:p>
    <w:p w:rsidR="00796C66" w:rsidRDefault="00FB6202">
      <w:pPr>
        <w:pStyle w:val="div"/>
        <w:spacing w:line="360" w:lineRule="auto"/>
        <w:ind w:firstLine="420"/>
        <w:rPr>
          <w:rFonts w:eastAsia="Times New Roman"/>
          <w:kern w:val="0"/>
          <w:szCs w:val="21"/>
        </w:rPr>
      </w:pPr>
      <w:r>
        <w:rPr>
          <w:rFonts w:ascii="宋体" w:hAnsi="宋体" w:cs="宋体"/>
          <w:kern w:val="0"/>
          <w:szCs w:val="21"/>
        </w:rPr>
        <w:t>（一）资料发送</w:t>
      </w:r>
    </w:p>
    <w:p w:rsidR="00796C66" w:rsidRDefault="00FB6202">
      <w:pPr>
        <w:pStyle w:val="div"/>
        <w:spacing w:line="360" w:lineRule="auto"/>
        <w:ind w:firstLine="420"/>
        <w:rPr>
          <w:rFonts w:eastAsia="Times New Roman"/>
          <w:kern w:val="0"/>
          <w:szCs w:val="21"/>
        </w:rPr>
      </w:pPr>
      <w:r>
        <w:rPr>
          <w:rFonts w:ascii="宋体" w:hAnsi="宋体" w:cs="宋体"/>
          <w:kern w:val="0"/>
          <w:szCs w:val="21"/>
        </w:rPr>
        <w:t>1</w:t>
      </w:r>
      <w:r>
        <w:rPr>
          <w:rFonts w:ascii="宋体" w:hAnsi="宋体" w:cs="宋体"/>
          <w:kern w:val="0"/>
          <w:szCs w:val="21"/>
        </w:rPr>
        <w:t>、登记机构保留持有人名册上列明的所有持有人的基金交易记录，持有人可通过本公司提供的网站、微信、</w:t>
      </w:r>
      <w:r>
        <w:rPr>
          <w:rFonts w:ascii="宋体" w:hAnsi="宋体" w:cs="宋体"/>
          <w:kern w:val="0"/>
          <w:szCs w:val="21"/>
        </w:rPr>
        <w:t>APP</w:t>
      </w:r>
      <w:r>
        <w:rPr>
          <w:rFonts w:ascii="宋体" w:hAnsi="宋体" w:cs="宋体"/>
          <w:kern w:val="0"/>
          <w:szCs w:val="21"/>
        </w:rPr>
        <w:t>等查询方式，快速获取交易信息；</w:t>
      </w:r>
    </w:p>
    <w:p w:rsidR="00796C66" w:rsidRDefault="00FB6202">
      <w:pPr>
        <w:pStyle w:val="div"/>
        <w:spacing w:line="360" w:lineRule="auto"/>
        <w:ind w:firstLine="420"/>
        <w:rPr>
          <w:rFonts w:eastAsia="Times New Roman"/>
          <w:kern w:val="0"/>
          <w:szCs w:val="21"/>
        </w:rPr>
      </w:pPr>
      <w:r>
        <w:rPr>
          <w:rFonts w:ascii="宋体" w:hAnsi="宋体" w:cs="宋体"/>
          <w:kern w:val="0"/>
          <w:szCs w:val="21"/>
        </w:rPr>
        <w:t>2</w:t>
      </w:r>
      <w:r>
        <w:rPr>
          <w:rFonts w:ascii="宋体" w:hAnsi="宋体" w:cs="宋体"/>
          <w:kern w:val="0"/>
          <w:szCs w:val="21"/>
        </w:rPr>
        <w:t>、基金管理人根据持有人账单订制情况向账单期内发生交易或账单期末仍持有本公司基金份额的基金份额持有人以电子邮件、微信、</w:t>
      </w:r>
      <w:r>
        <w:rPr>
          <w:rFonts w:ascii="宋体" w:hAnsi="宋体" w:cs="宋体"/>
          <w:kern w:val="0"/>
          <w:szCs w:val="21"/>
        </w:rPr>
        <w:t>APP</w:t>
      </w:r>
      <w:r>
        <w:rPr>
          <w:rFonts w:ascii="宋体" w:hAnsi="宋体" w:cs="宋体"/>
          <w:kern w:val="0"/>
          <w:szCs w:val="21"/>
        </w:rPr>
        <w:t>等形式定期或不定期发送对账单，但由于基金份额持有人在本公司未详实填写电子邮箱或未通过微信绑定个人基金账户导致基金管理人无法发送的除外；</w:t>
      </w:r>
    </w:p>
    <w:p w:rsidR="00796C66" w:rsidRDefault="00FB6202">
      <w:pPr>
        <w:pStyle w:val="div"/>
        <w:spacing w:line="360" w:lineRule="auto"/>
        <w:ind w:firstLine="420"/>
        <w:rPr>
          <w:rFonts w:eastAsia="Times New Roman"/>
          <w:kern w:val="0"/>
          <w:szCs w:val="21"/>
        </w:rPr>
      </w:pPr>
      <w:r>
        <w:rPr>
          <w:rFonts w:ascii="宋体" w:hAnsi="宋体" w:cs="宋体"/>
          <w:kern w:val="0"/>
          <w:szCs w:val="21"/>
        </w:rPr>
        <w:t>3</w:t>
      </w:r>
      <w:r>
        <w:rPr>
          <w:rFonts w:ascii="宋体" w:hAnsi="宋体" w:cs="宋体"/>
          <w:kern w:val="0"/>
          <w:szCs w:val="21"/>
        </w:rPr>
        <w:t>、其他相关的信息资料。</w:t>
      </w:r>
    </w:p>
    <w:p w:rsidR="00796C66" w:rsidRDefault="00FB6202">
      <w:pPr>
        <w:pStyle w:val="div"/>
        <w:spacing w:line="360" w:lineRule="auto"/>
        <w:ind w:firstLine="420"/>
        <w:rPr>
          <w:rFonts w:eastAsia="Times New Roman"/>
          <w:kern w:val="0"/>
          <w:szCs w:val="21"/>
        </w:rPr>
      </w:pPr>
      <w:r>
        <w:rPr>
          <w:rFonts w:ascii="宋体" w:hAnsi="宋体" w:cs="宋体"/>
          <w:kern w:val="0"/>
          <w:szCs w:val="21"/>
        </w:rPr>
        <w:t>（二）直销电子（网上交易、微信、</w:t>
      </w:r>
      <w:r>
        <w:rPr>
          <w:rFonts w:ascii="宋体" w:hAnsi="宋体" w:cs="宋体"/>
          <w:kern w:val="0"/>
          <w:szCs w:val="21"/>
        </w:rPr>
        <w:t>APP</w:t>
      </w:r>
      <w:r>
        <w:rPr>
          <w:rFonts w:ascii="宋体" w:hAnsi="宋体" w:cs="宋体"/>
          <w:kern w:val="0"/>
          <w:szCs w:val="21"/>
        </w:rPr>
        <w:t>）业务</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本基金管理人已开通个人投资者直销电子交易业务。</w:t>
      </w:r>
      <w:r>
        <w:rPr>
          <w:rFonts w:ascii="宋体" w:hAnsi="宋体" w:cs="宋体"/>
          <w:kern w:val="0"/>
          <w:szCs w:val="21"/>
        </w:rPr>
        <w:t>个人投资者通过基金管理人网站、微信及</w:t>
      </w:r>
      <w:r>
        <w:rPr>
          <w:rFonts w:ascii="宋体" w:hAnsi="宋体" w:cs="宋体"/>
          <w:kern w:val="0"/>
          <w:szCs w:val="21"/>
        </w:rPr>
        <w:t>APP</w:t>
      </w:r>
      <w:r>
        <w:rPr>
          <w:rFonts w:ascii="宋体" w:hAnsi="宋体" w:cs="宋体"/>
          <w:kern w:val="0"/>
          <w:szCs w:val="21"/>
        </w:rPr>
        <w:t>可以办理基金认购、申购、赎回、分红方式修改、账户资料修改、交易密码修改、交易明细查询和账户资料查询等各类业务。</w:t>
      </w:r>
    </w:p>
    <w:p w:rsidR="00796C66" w:rsidRDefault="00FB6202">
      <w:pPr>
        <w:pStyle w:val="div"/>
        <w:spacing w:line="360" w:lineRule="auto"/>
        <w:ind w:firstLine="420"/>
        <w:rPr>
          <w:rFonts w:eastAsia="Times New Roman"/>
          <w:kern w:val="0"/>
          <w:szCs w:val="21"/>
        </w:rPr>
      </w:pPr>
      <w:r>
        <w:rPr>
          <w:rFonts w:ascii="宋体" w:hAnsi="宋体" w:cs="宋体"/>
          <w:kern w:val="0"/>
          <w:szCs w:val="21"/>
        </w:rPr>
        <w:t>（三）红利再投资</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收益分配时，基金份额持有人可以选择将所获红利再投资于本基金，登记机构将其所获红利按分红权益再投资日（具体以届时的分红公告为准）的基金份额净值自动转为基金份额。红利再投资免收申购费用。</w:t>
      </w:r>
    </w:p>
    <w:p w:rsidR="00796C66" w:rsidRDefault="00FB6202">
      <w:pPr>
        <w:pStyle w:val="div"/>
        <w:spacing w:line="360" w:lineRule="auto"/>
        <w:ind w:firstLine="420"/>
        <w:rPr>
          <w:rFonts w:eastAsia="Times New Roman"/>
          <w:kern w:val="0"/>
          <w:szCs w:val="21"/>
        </w:rPr>
      </w:pPr>
      <w:r>
        <w:rPr>
          <w:rFonts w:ascii="宋体" w:hAnsi="宋体" w:cs="宋体"/>
          <w:kern w:val="0"/>
          <w:szCs w:val="21"/>
        </w:rPr>
        <w:t>（四）定期定额投资</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本基金管理人为基金投资人提供普通定期定额投资计划和网上直销智能定投服务，投资人可以通过固定的渠道，定期定额申购基金份额。定期定额投</w:t>
      </w:r>
      <w:r>
        <w:rPr>
          <w:rFonts w:ascii="宋体" w:hAnsi="宋体" w:cs="宋体"/>
          <w:kern w:val="0"/>
          <w:szCs w:val="21"/>
        </w:rPr>
        <w:t>资计划的有关规则另行公告。</w:t>
      </w:r>
    </w:p>
    <w:p w:rsidR="00796C66" w:rsidRDefault="00FB6202">
      <w:pPr>
        <w:pStyle w:val="div"/>
        <w:spacing w:line="360" w:lineRule="auto"/>
        <w:ind w:firstLine="420"/>
        <w:rPr>
          <w:rFonts w:eastAsia="Times New Roman"/>
          <w:kern w:val="0"/>
          <w:szCs w:val="21"/>
        </w:rPr>
      </w:pPr>
      <w:r>
        <w:rPr>
          <w:rFonts w:ascii="宋体" w:hAnsi="宋体" w:cs="宋体"/>
          <w:kern w:val="0"/>
          <w:szCs w:val="21"/>
        </w:rPr>
        <w:t>（五）在线客服</w:t>
      </w:r>
    </w:p>
    <w:p w:rsidR="00796C66" w:rsidRDefault="00FB6202">
      <w:pPr>
        <w:pStyle w:val="div"/>
        <w:spacing w:line="360" w:lineRule="auto"/>
        <w:ind w:firstLine="420"/>
        <w:rPr>
          <w:rFonts w:eastAsia="Times New Roman"/>
          <w:kern w:val="0"/>
          <w:szCs w:val="21"/>
        </w:rPr>
      </w:pPr>
      <w:r>
        <w:rPr>
          <w:rFonts w:ascii="宋体" w:hAnsi="宋体" w:cs="宋体"/>
          <w:kern w:val="0"/>
          <w:szCs w:val="21"/>
        </w:rPr>
        <w:t>基金管理人利用自己的网站为基金投资人提供在线交流咨询与留言服务。</w:t>
      </w:r>
    </w:p>
    <w:p w:rsidR="00796C66" w:rsidRDefault="00FB6202">
      <w:pPr>
        <w:pStyle w:val="div"/>
        <w:spacing w:line="360" w:lineRule="auto"/>
        <w:ind w:firstLine="420"/>
        <w:rPr>
          <w:rFonts w:eastAsia="Times New Roman"/>
          <w:kern w:val="0"/>
          <w:szCs w:val="21"/>
        </w:rPr>
      </w:pPr>
      <w:r>
        <w:rPr>
          <w:rFonts w:ascii="宋体" w:hAnsi="宋体" w:cs="宋体"/>
          <w:kern w:val="0"/>
          <w:szCs w:val="21"/>
        </w:rPr>
        <w:t>（六）信息定制服务</w:t>
      </w:r>
    </w:p>
    <w:p w:rsidR="00796C66" w:rsidRDefault="00FB6202">
      <w:pPr>
        <w:pStyle w:val="div"/>
        <w:spacing w:line="360" w:lineRule="auto"/>
        <w:ind w:firstLine="420"/>
        <w:rPr>
          <w:rFonts w:eastAsia="Times New Roman"/>
          <w:kern w:val="0"/>
          <w:szCs w:val="21"/>
        </w:rPr>
      </w:pPr>
      <w:r>
        <w:rPr>
          <w:rFonts w:ascii="宋体" w:hAnsi="宋体" w:cs="宋体"/>
          <w:kern w:val="0"/>
          <w:szCs w:val="21"/>
        </w:rPr>
        <w:t>本基金管理人通过手机短信、</w:t>
      </w:r>
      <w:r>
        <w:rPr>
          <w:rFonts w:ascii="宋体" w:hAnsi="宋体" w:cs="宋体"/>
          <w:kern w:val="0"/>
          <w:szCs w:val="21"/>
        </w:rPr>
        <w:t>Email</w:t>
      </w:r>
      <w:r>
        <w:rPr>
          <w:rFonts w:ascii="宋体" w:hAnsi="宋体" w:cs="宋体"/>
          <w:kern w:val="0"/>
          <w:szCs w:val="21"/>
        </w:rPr>
        <w:t>、微信、</w:t>
      </w:r>
      <w:r>
        <w:rPr>
          <w:rFonts w:ascii="宋体" w:hAnsi="宋体" w:cs="宋体"/>
          <w:kern w:val="0"/>
          <w:szCs w:val="21"/>
        </w:rPr>
        <w:t>APP</w:t>
      </w:r>
      <w:r>
        <w:rPr>
          <w:rFonts w:ascii="宋体" w:hAnsi="宋体" w:cs="宋体"/>
          <w:kern w:val="0"/>
          <w:szCs w:val="21"/>
        </w:rPr>
        <w:t>等方式为定制客户提供信息服务，内容包括：交易确认、基金净值、最新产品及公司公告、生日祝福等信息。</w:t>
      </w:r>
    </w:p>
    <w:p w:rsidR="00796C66" w:rsidRDefault="00FB6202">
      <w:pPr>
        <w:pStyle w:val="div"/>
        <w:spacing w:line="360" w:lineRule="auto"/>
        <w:ind w:firstLine="420"/>
        <w:rPr>
          <w:rFonts w:eastAsia="Times New Roman"/>
          <w:kern w:val="0"/>
          <w:szCs w:val="21"/>
        </w:rPr>
      </w:pPr>
      <w:r>
        <w:rPr>
          <w:rFonts w:ascii="宋体" w:hAnsi="宋体" w:cs="宋体"/>
          <w:kern w:val="0"/>
          <w:szCs w:val="21"/>
        </w:rPr>
        <w:t>（七）资讯服务</w:t>
      </w:r>
    </w:p>
    <w:p w:rsidR="00796C66" w:rsidRDefault="00FB6202">
      <w:pPr>
        <w:pStyle w:val="div"/>
        <w:spacing w:line="360" w:lineRule="auto"/>
        <w:ind w:firstLine="420"/>
        <w:rPr>
          <w:rFonts w:eastAsia="Times New Roman"/>
          <w:kern w:val="0"/>
          <w:szCs w:val="21"/>
        </w:rPr>
      </w:pPr>
      <w:r>
        <w:rPr>
          <w:rFonts w:ascii="宋体" w:hAnsi="宋体" w:cs="宋体"/>
          <w:kern w:val="0"/>
          <w:szCs w:val="21"/>
        </w:rPr>
        <w:t>投资人如果想了解申购与赎回的交易情况、基金账户余额、基金产品与服务等信息，可拨打基金管理人客户服务中心电话或登录基金管理人网站。</w:t>
      </w:r>
    </w:p>
    <w:p w:rsidR="00796C66" w:rsidRDefault="00FB6202">
      <w:pPr>
        <w:pStyle w:val="div"/>
        <w:spacing w:line="360" w:lineRule="auto"/>
        <w:ind w:firstLine="420"/>
        <w:rPr>
          <w:rFonts w:eastAsia="Times New Roman"/>
          <w:kern w:val="0"/>
          <w:szCs w:val="21"/>
        </w:rPr>
      </w:pPr>
      <w:r>
        <w:rPr>
          <w:rFonts w:ascii="宋体" w:hAnsi="宋体" w:cs="宋体"/>
          <w:kern w:val="0"/>
          <w:szCs w:val="21"/>
        </w:rPr>
        <w:t>1</w:t>
      </w:r>
      <w:r>
        <w:rPr>
          <w:rFonts w:ascii="宋体" w:hAnsi="宋体" w:cs="宋体"/>
          <w:kern w:val="0"/>
          <w:szCs w:val="21"/>
        </w:rPr>
        <w:t>、客户服务中心</w:t>
      </w:r>
    </w:p>
    <w:p w:rsidR="00796C66" w:rsidRDefault="00FB6202">
      <w:pPr>
        <w:pStyle w:val="div"/>
        <w:spacing w:line="360" w:lineRule="auto"/>
        <w:ind w:firstLine="420"/>
        <w:rPr>
          <w:rFonts w:eastAsia="Times New Roman"/>
          <w:kern w:val="0"/>
          <w:szCs w:val="21"/>
        </w:rPr>
      </w:pPr>
      <w:r>
        <w:rPr>
          <w:rFonts w:ascii="宋体" w:hAnsi="宋体" w:cs="宋体"/>
          <w:kern w:val="0"/>
          <w:szCs w:val="21"/>
        </w:rPr>
        <w:t>电话热线：</w:t>
      </w:r>
      <w:r>
        <w:rPr>
          <w:rFonts w:ascii="宋体" w:hAnsi="宋体" w:cs="宋体"/>
          <w:kern w:val="0"/>
          <w:szCs w:val="21"/>
        </w:rPr>
        <w:t>4007008880</w:t>
      </w:r>
      <w:r>
        <w:rPr>
          <w:rFonts w:ascii="宋体" w:hAnsi="宋体" w:cs="宋体"/>
          <w:kern w:val="0"/>
          <w:szCs w:val="21"/>
        </w:rPr>
        <w:t>，</w:t>
      </w:r>
      <w:r>
        <w:rPr>
          <w:rFonts w:ascii="宋体" w:hAnsi="宋体" w:cs="宋体"/>
          <w:kern w:val="0"/>
          <w:szCs w:val="21"/>
        </w:rPr>
        <w:t>010</w:t>
      </w:r>
      <w:r>
        <w:rPr>
          <w:rFonts w:ascii="宋体" w:hAnsi="宋体" w:cs="宋体"/>
          <w:kern w:val="0"/>
          <w:szCs w:val="21"/>
        </w:rPr>
        <w:t>－</w:t>
      </w:r>
      <w:r>
        <w:rPr>
          <w:rFonts w:ascii="宋体" w:hAnsi="宋体" w:cs="宋体"/>
          <w:kern w:val="0"/>
          <w:szCs w:val="21"/>
        </w:rPr>
        <w:t>58573300</w:t>
      </w:r>
    </w:p>
    <w:p w:rsidR="00796C66" w:rsidRDefault="00FB6202">
      <w:pPr>
        <w:pStyle w:val="div"/>
        <w:spacing w:line="360" w:lineRule="auto"/>
        <w:ind w:firstLine="420"/>
        <w:rPr>
          <w:rFonts w:eastAsia="Times New Roman"/>
          <w:kern w:val="0"/>
          <w:szCs w:val="21"/>
        </w:rPr>
      </w:pPr>
      <w:r>
        <w:rPr>
          <w:rFonts w:ascii="宋体" w:hAnsi="宋体" w:cs="宋体"/>
          <w:kern w:val="0"/>
          <w:szCs w:val="21"/>
        </w:rPr>
        <w:lastRenderedPageBreak/>
        <w:t>传真：</w:t>
      </w:r>
      <w:r>
        <w:rPr>
          <w:rFonts w:ascii="宋体" w:hAnsi="宋体" w:cs="宋体"/>
          <w:kern w:val="0"/>
          <w:szCs w:val="21"/>
        </w:rPr>
        <w:t>010</w:t>
      </w:r>
      <w:r>
        <w:rPr>
          <w:rFonts w:ascii="宋体" w:hAnsi="宋体" w:cs="宋体"/>
          <w:kern w:val="0"/>
          <w:szCs w:val="21"/>
        </w:rPr>
        <w:t>-58573737</w:t>
      </w:r>
    </w:p>
    <w:p w:rsidR="00796C66" w:rsidRDefault="00FB6202">
      <w:pPr>
        <w:pStyle w:val="div"/>
        <w:spacing w:line="360" w:lineRule="auto"/>
        <w:ind w:firstLine="420"/>
        <w:rPr>
          <w:rFonts w:eastAsia="Times New Roman"/>
          <w:kern w:val="0"/>
          <w:szCs w:val="21"/>
        </w:rPr>
      </w:pPr>
      <w:r>
        <w:rPr>
          <w:rFonts w:ascii="宋体" w:hAnsi="宋体" w:cs="宋体"/>
          <w:kern w:val="0"/>
          <w:szCs w:val="21"/>
        </w:rPr>
        <w:t>2</w:t>
      </w:r>
      <w:r>
        <w:rPr>
          <w:rFonts w:ascii="宋体" w:hAnsi="宋体" w:cs="宋体"/>
          <w:kern w:val="0"/>
          <w:szCs w:val="21"/>
        </w:rPr>
        <w:t>、公司网站</w:t>
      </w:r>
    </w:p>
    <w:p w:rsidR="00796C66" w:rsidRDefault="00FB6202">
      <w:pPr>
        <w:pStyle w:val="div"/>
        <w:spacing w:line="360" w:lineRule="auto"/>
        <w:ind w:firstLine="420"/>
        <w:rPr>
          <w:rFonts w:eastAsia="Times New Roman"/>
          <w:kern w:val="0"/>
          <w:szCs w:val="21"/>
        </w:rPr>
      </w:pPr>
      <w:r>
        <w:rPr>
          <w:rFonts w:ascii="宋体" w:hAnsi="宋体" w:cs="宋体"/>
          <w:kern w:val="0"/>
          <w:szCs w:val="21"/>
        </w:rPr>
        <w:t>公司网址：</w:t>
      </w:r>
      <w:r>
        <w:rPr>
          <w:rFonts w:ascii="宋体" w:hAnsi="宋体" w:cs="宋体"/>
          <w:kern w:val="0"/>
          <w:szCs w:val="21"/>
        </w:rPr>
        <w:t>www.hsfund.com</w:t>
      </w:r>
    </w:p>
    <w:p w:rsidR="00796C66" w:rsidRDefault="00FB6202">
      <w:pPr>
        <w:pStyle w:val="div"/>
        <w:spacing w:line="360" w:lineRule="auto"/>
        <w:ind w:firstLine="420"/>
        <w:rPr>
          <w:rFonts w:eastAsia="Times New Roman"/>
          <w:kern w:val="0"/>
          <w:szCs w:val="21"/>
        </w:rPr>
      </w:pPr>
      <w:r>
        <w:rPr>
          <w:rFonts w:ascii="宋体" w:hAnsi="宋体" w:cs="宋体"/>
          <w:kern w:val="0"/>
          <w:szCs w:val="21"/>
        </w:rPr>
        <w:t>网上交易：</w:t>
      </w:r>
      <w:r>
        <w:rPr>
          <w:rFonts w:ascii="宋体" w:hAnsi="宋体" w:cs="宋体"/>
          <w:kern w:val="0"/>
          <w:szCs w:val="21"/>
        </w:rPr>
        <w:t>https</w:t>
      </w:r>
      <w:r>
        <w:rPr>
          <w:rFonts w:ascii="宋体" w:hAnsi="宋体" w:cs="宋体"/>
          <w:kern w:val="0"/>
          <w:szCs w:val="21"/>
        </w:rPr>
        <w:t>：</w:t>
      </w:r>
      <w:r>
        <w:rPr>
          <w:rFonts w:ascii="宋体" w:hAnsi="宋体" w:cs="宋体"/>
          <w:kern w:val="0"/>
          <w:szCs w:val="21"/>
        </w:rPr>
        <w:t>//trade.hsfund.com</w:t>
      </w:r>
    </w:p>
    <w:p w:rsidR="00796C66" w:rsidRDefault="00FB6202">
      <w:pPr>
        <w:pStyle w:val="div"/>
        <w:spacing w:line="360" w:lineRule="auto"/>
        <w:ind w:firstLine="420"/>
        <w:rPr>
          <w:rFonts w:eastAsia="Times New Roman"/>
          <w:kern w:val="0"/>
          <w:szCs w:val="21"/>
        </w:rPr>
      </w:pPr>
      <w:r>
        <w:rPr>
          <w:rFonts w:ascii="宋体" w:hAnsi="宋体" w:cs="宋体"/>
          <w:kern w:val="0"/>
          <w:szCs w:val="21"/>
        </w:rPr>
        <w:t>电子信箱：</w:t>
      </w:r>
      <w:r>
        <w:rPr>
          <w:rFonts w:ascii="宋体" w:hAnsi="宋体" w:cs="宋体"/>
          <w:kern w:val="0"/>
          <w:szCs w:val="21"/>
        </w:rPr>
        <w:t>services@hsfund.com</w:t>
      </w:r>
    </w:p>
    <w:p w:rsidR="00796C66" w:rsidRDefault="00FB6202">
      <w:pPr>
        <w:pStyle w:val="div"/>
        <w:spacing w:line="360" w:lineRule="auto"/>
        <w:ind w:firstLine="420"/>
        <w:rPr>
          <w:rFonts w:eastAsia="Times New Roman"/>
          <w:kern w:val="0"/>
          <w:szCs w:val="21"/>
        </w:rPr>
      </w:pPr>
      <w:r>
        <w:rPr>
          <w:rFonts w:ascii="宋体" w:hAnsi="宋体" w:cs="宋体"/>
          <w:kern w:val="0"/>
          <w:szCs w:val="21"/>
        </w:rPr>
        <w:t>3</w:t>
      </w:r>
      <w:r>
        <w:rPr>
          <w:rFonts w:ascii="宋体" w:hAnsi="宋体" w:cs="宋体"/>
          <w:kern w:val="0"/>
          <w:szCs w:val="21"/>
        </w:rPr>
        <w:t>、电子数据服务</w:t>
      </w:r>
    </w:p>
    <w:p w:rsidR="00796C66" w:rsidRDefault="00FB6202">
      <w:pPr>
        <w:pStyle w:val="div"/>
        <w:spacing w:line="360" w:lineRule="auto"/>
        <w:ind w:firstLine="420"/>
        <w:rPr>
          <w:rFonts w:eastAsia="Times New Roman"/>
          <w:kern w:val="0"/>
          <w:szCs w:val="21"/>
        </w:rPr>
      </w:pPr>
      <w:r>
        <w:rPr>
          <w:rFonts w:ascii="宋体" w:hAnsi="宋体" w:cs="宋体"/>
          <w:kern w:val="0"/>
          <w:szCs w:val="21"/>
        </w:rPr>
        <w:t>微信公众号、</w:t>
      </w:r>
      <w:r>
        <w:rPr>
          <w:rFonts w:ascii="宋体" w:hAnsi="宋体" w:cs="宋体"/>
          <w:kern w:val="0"/>
          <w:szCs w:val="21"/>
        </w:rPr>
        <w:t>APP</w:t>
      </w:r>
      <w:r>
        <w:rPr>
          <w:rFonts w:ascii="宋体" w:hAnsi="宋体" w:cs="宋体"/>
          <w:kern w:val="0"/>
          <w:szCs w:val="21"/>
        </w:rPr>
        <w:t>客户端：华商基金</w:t>
      </w:r>
    </w:p>
    <w:p w:rsidR="00796C66" w:rsidRDefault="00FB6202">
      <w:pPr>
        <w:pStyle w:val="div"/>
        <w:spacing w:line="360" w:lineRule="auto"/>
        <w:ind w:firstLine="420"/>
        <w:rPr>
          <w:rFonts w:eastAsia="Times New Roman"/>
          <w:kern w:val="0"/>
          <w:szCs w:val="21"/>
        </w:rPr>
      </w:pPr>
      <w:r>
        <w:rPr>
          <w:rFonts w:ascii="宋体" w:hAnsi="宋体" w:cs="宋体"/>
          <w:kern w:val="0"/>
          <w:szCs w:val="21"/>
        </w:rPr>
        <w:t>（八）客户投诉和建议受理服务</w:t>
      </w:r>
    </w:p>
    <w:p w:rsidR="00796C66" w:rsidRDefault="00FB6202">
      <w:pPr>
        <w:pStyle w:val="div"/>
        <w:spacing w:line="360" w:lineRule="auto"/>
        <w:ind w:firstLine="420"/>
        <w:rPr>
          <w:rFonts w:eastAsia="Times New Roman"/>
          <w:kern w:val="0"/>
          <w:szCs w:val="21"/>
        </w:rPr>
      </w:pPr>
      <w:r>
        <w:rPr>
          <w:rFonts w:ascii="宋体" w:hAnsi="宋体" w:cs="宋体"/>
          <w:kern w:val="0"/>
          <w:szCs w:val="21"/>
        </w:rPr>
        <w:t>投资者可以通过基金管理人提供的客户服务电话热线、在线客服、书信、电子邮件、传真等渠道对基金管理人和销售机构所提供的服务进行投诉或提出建议。</w:t>
      </w:r>
      <w:r>
        <w:rPr>
          <w:rFonts w:ascii="宋体" w:hAnsi="宋体" w:cs="宋体"/>
          <w:kern w:val="0"/>
          <w:szCs w:val="21"/>
        </w:rPr>
        <w:br w:type="page"/>
      </w:r>
    </w:p>
    <w:p w:rsidR="00796C66" w:rsidRDefault="00FB6202">
      <w:pPr>
        <w:pStyle w:val="ae"/>
        <w:outlineLvl w:val="0"/>
      </w:pPr>
      <w:bookmarkStart w:id="25" w:name="_Toc256000024"/>
      <w:r>
        <w:rPr>
          <w:noProof/>
        </w:rPr>
        <w:lastRenderedPageBreak/>
        <w:t>二十四</w:t>
      </w:r>
      <w:r>
        <w:rPr>
          <w:rStyle w:val="Char5"/>
          <w:b/>
          <w:bCs/>
          <w:noProof/>
        </w:rPr>
        <w:t>、</w:t>
      </w:r>
      <w:r>
        <w:rPr>
          <w:noProof/>
        </w:rPr>
        <w:t>其他应披露事项</w:t>
      </w:r>
      <w:bookmarkEnd w:id="25"/>
    </w:p>
    <w:p w:rsidR="00796C66" w:rsidRDefault="00FB6202">
      <w:pPr>
        <w:pStyle w:val="div"/>
        <w:spacing w:line="360" w:lineRule="auto"/>
        <w:ind w:firstLine="480"/>
        <w:rPr>
          <w:rFonts w:eastAsia="Times New Roman"/>
          <w:kern w:val="0"/>
          <w:szCs w:val="21"/>
        </w:rPr>
      </w:pPr>
      <w:r>
        <w:rPr>
          <w:rFonts w:ascii="宋体" w:hAnsi="宋体" w:cs="宋体"/>
          <w:kern w:val="0"/>
          <w:szCs w:val="21"/>
        </w:rPr>
        <w:t>自本基金上一次披露招募说明书所载内容截止日至本招募说明书所载内容截止日，本基金及基金管理人的有关更新公告：</w:t>
      </w:r>
    </w:p>
    <w:tbl>
      <w:tblPr>
        <w:tblStyle w:val="table"/>
        <w:tblW w:w="9352" w:type="dxa"/>
        <w:jc w:val="center"/>
        <w:tblBorders>
          <w:top w:val="single" w:sz="4" w:space="0" w:color="000000"/>
          <w:left w:val="single" w:sz="4" w:space="0" w:color="000000"/>
          <w:bottom w:val="single" w:sz="4" w:space="0" w:color="000000"/>
          <w:right w:val="single" w:sz="4" w:space="0" w:color="000000"/>
        </w:tblBorders>
        <w:tblCellMar>
          <w:left w:w="0" w:type="dxa"/>
          <w:right w:w="0" w:type="dxa"/>
        </w:tblCellMar>
        <w:tblLook w:val="05E0" w:firstRow="1" w:lastRow="1" w:firstColumn="1" w:lastColumn="1" w:noHBand="0" w:noVBand="1"/>
      </w:tblPr>
      <w:tblGrid>
        <w:gridCol w:w="711"/>
        <w:gridCol w:w="7354"/>
        <w:gridCol w:w="1287"/>
      </w:tblGrid>
      <w:tr w:rsidR="00796C66">
        <w:trPr>
          <w:trHeight w:val="420"/>
          <w:jc w:val="center"/>
        </w:trPr>
        <w:tc>
          <w:tcPr>
            <w:tcW w:w="713" w:type="dxa"/>
            <w:tcBorders>
              <w:top w:val="single" w:sz="8"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序号</w:t>
            </w:r>
          </w:p>
        </w:tc>
        <w:tc>
          <w:tcPr>
            <w:tcW w:w="7381" w:type="dxa"/>
            <w:tcBorders>
              <w:top w:val="single" w:sz="8"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公告事项</w:t>
            </w:r>
          </w:p>
        </w:tc>
        <w:tc>
          <w:tcPr>
            <w:tcW w:w="1289" w:type="dxa"/>
            <w:tcBorders>
              <w:top w:val="single" w:sz="8"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披露日期</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华商基金管理有限公司关于旗下基金调整停牌股票估值方法的提示性公告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2025-08-23</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华商基金管理有限公司旗下基金</w:t>
            </w:r>
            <w:r>
              <w:rPr>
                <w:rFonts w:ascii="宋体" w:hAnsi="宋体" w:cs="宋体"/>
                <w:color w:val="000000"/>
                <w:kern w:val="0"/>
                <w:szCs w:val="21"/>
              </w:rPr>
              <w:t>2025</w:t>
            </w:r>
            <w:r>
              <w:rPr>
                <w:rFonts w:ascii="宋体" w:hAnsi="宋体" w:cs="宋体"/>
                <w:color w:val="000000"/>
                <w:kern w:val="0"/>
                <w:szCs w:val="21"/>
              </w:rPr>
              <w:t>年中期报告提示性公告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2025-08-29</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3</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w:t>
            </w:r>
            <w:r>
              <w:rPr>
                <w:rFonts w:ascii="宋体" w:hAnsi="宋体" w:cs="宋体"/>
                <w:color w:val="000000"/>
                <w:kern w:val="0"/>
                <w:szCs w:val="21"/>
              </w:rPr>
              <w:t>2025</w:t>
            </w:r>
            <w:r>
              <w:rPr>
                <w:rFonts w:ascii="宋体" w:hAnsi="宋体" w:cs="宋体"/>
                <w:color w:val="000000"/>
                <w:kern w:val="0"/>
                <w:szCs w:val="21"/>
              </w:rPr>
              <w:t>年中期报告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2025-08-29</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4</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华商基金管理有限公司关于旗下基金调整停牌股票估值方法的提示性公告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2025-09-05</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5</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）（华商安远稳进一年持有混合（</w:t>
            </w:r>
            <w:r>
              <w:rPr>
                <w:rFonts w:ascii="宋体" w:hAnsi="宋体" w:cs="宋体"/>
                <w:color w:val="000000"/>
                <w:kern w:val="0"/>
                <w:szCs w:val="21"/>
              </w:rPr>
              <w:t>FOF</w:t>
            </w:r>
            <w:r>
              <w:rPr>
                <w:rFonts w:ascii="宋体" w:hAnsi="宋体" w:cs="宋体"/>
                <w:color w:val="000000"/>
                <w:kern w:val="0"/>
                <w:szCs w:val="21"/>
              </w:rPr>
              <w:t>）</w:t>
            </w:r>
            <w:r>
              <w:rPr>
                <w:rFonts w:ascii="宋体" w:hAnsi="宋体" w:cs="宋体"/>
                <w:color w:val="000000"/>
                <w:kern w:val="0"/>
                <w:szCs w:val="21"/>
              </w:rPr>
              <w:t>A</w:t>
            </w:r>
            <w:r>
              <w:rPr>
                <w:rFonts w:ascii="宋体" w:hAnsi="宋体" w:cs="宋体"/>
                <w:color w:val="000000"/>
                <w:kern w:val="0"/>
                <w:szCs w:val="21"/>
              </w:rPr>
              <w:t>份额）基金产品资料概要更新</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2025-09-18</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6</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）（华商安远稳进一年持有混合（</w:t>
            </w:r>
            <w:r>
              <w:rPr>
                <w:rFonts w:ascii="宋体" w:hAnsi="宋体" w:cs="宋体"/>
                <w:color w:val="000000"/>
                <w:kern w:val="0"/>
                <w:szCs w:val="21"/>
              </w:rPr>
              <w:t>FOF</w:t>
            </w:r>
            <w:r>
              <w:rPr>
                <w:rFonts w:ascii="宋体" w:hAnsi="宋体" w:cs="宋体"/>
                <w:color w:val="000000"/>
                <w:kern w:val="0"/>
                <w:szCs w:val="21"/>
              </w:rPr>
              <w:t>）</w:t>
            </w:r>
            <w:r>
              <w:rPr>
                <w:rFonts w:ascii="宋体" w:hAnsi="宋体" w:cs="宋体"/>
                <w:color w:val="000000"/>
                <w:kern w:val="0"/>
                <w:szCs w:val="21"/>
              </w:rPr>
              <w:t>C</w:t>
            </w:r>
            <w:r>
              <w:rPr>
                <w:rFonts w:ascii="宋体" w:hAnsi="宋体" w:cs="宋体"/>
                <w:color w:val="000000"/>
                <w:kern w:val="0"/>
                <w:szCs w:val="21"/>
              </w:rPr>
              <w:t>份额）基金产品资料概要更新</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2025-09-18</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7</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）招募说明书（更新）</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2025-09-18</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8</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）连续</w:t>
            </w:r>
            <w:r>
              <w:rPr>
                <w:rFonts w:ascii="宋体" w:hAnsi="宋体" w:cs="宋体"/>
                <w:color w:val="000000"/>
                <w:kern w:val="0"/>
                <w:szCs w:val="21"/>
              </w:rPr>
              <w:t>30</w:t>
            </w:r>
            <w:r>
              <w:rPr>
                <w:rFonts w:ascii="宋体" w:hAnsi="宋体" w:cs="宋体"/>
                <w:color w:val="000000"/>
                <w:kern w:val="0"/>
                <w:szCs w:val="21"/>
              </w:rPr>
              <w:t>个工作日基金资产净值低于</w:t>
            </w:r>
            <w:r>
              <w:rPr>
                <w:rFonts w:ascii="宋体" w:hAnsi="宋体" w:cs="宋体"/>
                <w:color w:val="000000"/>
                <w:kern w:val="0"/>
                <w:szCs w:val="21"/>
              </w:rPr>
              <w:t>5000</w:t>
            </w:r>
            <w:r>
              <w:rPr>
                <w:rFonts w:ascii="宋体" w:hAnsi="宋体" w:cs="宋体"/>
                <w:color w:val="000000"/>
                <w:kern w:val="0"/>
                <w:szCs w:val="21"/>
              </w:rPr>
              <w:t>万元的提示性公告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2025-10-18</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9</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华商基金管理有限公司旗下基金</w:t>
            </w:r>
            <w:r>
              <w:rPr>
                <w:rFonts w:ascii="宋体" w:hAnsi="宋体" w:cs="宋体"/>
                <w:color w:val="000000"/>
                <w:kern w:val="0"/>
                <w:szCs w:val="21"/>
              </w:rPr>
              <w:t>2025</w:t>
            </w:r>
            <w:r>
              <w:rPr>
                <w:rFonts w:ascii="宋体" w:hAnsi="宋体" w:cs="宋体"/>
                <w:color w:val="000000"/>
                <w:kern w:val="0"/>
                <w:szCs w:val="21"/>
              </w:rPr>
              <w:t>年第三季度报告提示性公告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2025-10-28</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10</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w:t>
            </w:r>
            <w:r>
              <w:rPr>
                <w:rFonts w:ascii="宋体" w:hAnsi="宋体" w:cs="宋体"/>
                <w:color w:val="000000"/>
                <w:kern w:val="0"/>
                <w:szCs w:val="21"/>
              </w:rPr>
              <w:t>2025</w:t>
            </w:r>
            <w:r>
              <w:rPr>
                <w:rFonts w:ascii="宋体" w:hAnsi="宋体" w:cs="宋体"/>
                <w:color w:val="000000"/>
                <w:kern w:val="0"/>
                <w:szCs w:val="21"/>
              </w:rPr>
              <w:t>年第</w:t>
            </w:r>
            <w:r>
              <w:rPr>
                <w:rFonts w:ascii="宋体" w:hAnsi="宋体" w:cs="宋体"/>
                <w:color w:val="000000"/>
                <w:kern w:val="0"/>
                <w:szCs w:val="21"/>
              </w:rPr>
              <w:t>3</w:t>
            </w:r>
            <w:r>
              <w:rPr>
                <w:rFonts w:ascii="宋体" w:hAnsi="宋体" w:cs="宋体"/>
                <w:color w:val="000000"/>
                <w:kern w:val="0"/>
                <w:szCs w:val="21"/>
              </w:rPr>
              <w:t>季度报告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2025-10-28</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11</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）连续</w:t>
            </w:r>
            <w:r>
              <w:rPr>
                <w:rFonts w:ascii="宋体" w:hAnsi="宋体" w:cs="宋体"/>
                <w:color w:val="000000"/>
                <w:kern w:val="0"/>
                <w:szCs w:val="21"/>
              </w:rPr>
              <w:t>40</w:t>
            </w:r>
            <w:r>
              <w:rPr>
                <w:rFonts w:ascii="宋体" w:hAnsi="宋体" w:cs="宋体"/>
                <w:color w:val="000000"/>
                <w:kern w:val="0"/>
                <w:szCs w:val="21"/>
              </w:rPr>
              <w:t>个工作日基金资产净值低于</w:t>
            </w:r>
            <w:r>
              <w:rPr>
                <w:rFonts w:ascii="宋体" w:hAnsi="宋体" w:cs="宋体"/>
                <w:color w:val="000000"/>
                <w:kern w:val="0"/>
                <w:szCs w:val="21"/>
              </w:rPr>
              <w:t>5000</w:t>
            </w:r>
            <w:r>
              <w:rPr>
                <w:rFonts w:ascii="宋体" w:hAnsi="宋体" w:cs="宋体"/>
                <w:color w:val="000000"/>
                <w:kern w:val="0"/>
                <w:szCs w:val="21"/>
              </w:rPr>
              <w:t>万元的提示性公告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2025-11-01</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12</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华商基金管理有限公司关于旗下部分基金参加易方达财富管理基金销售（广州）有限公司申购费率优惠活动的公告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2025-12-12</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13</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华商基金管理有限公司关于《华商基金管理有限公司关于旗下部分基金</w:t>
            </w:r>
            <w:r>
              <w:rPr>
                <w:rFonts w:ascii="宋体" w:hAnsi="宋体" w:cs="宋体"/>
                <w:color w:val="000000"/>
                <w:kern w:val="0"/>
                <w:szCs w:val="21"/>
              </w:rPr>
              <w:t>2026</w:t>
            </w:r>
            <w:r>
              <w:rPr>
                <w:rFonts w:ascii="宋体" w:hAnsi="宋体" w:cs="宋体"/>
                <w:color w:val="000000"/>
                <w:kern w:val="0"/>
                <w:szCs w:val="21"/>
              </w:rPr>
              <w:t>年非港股通交易日暂停申购赎回等交易类业务的公告》的更正公告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2025-12-25</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14</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华商基金管理有限公司关于旗下部分基金</w:t>
            </w:r>
            <w:r>
              <w:rPr>
                <w:rFonts w:ascii="宋体" w:hAnsi="宋体" w:cs="宋体"/>
                <w:color w:val="000000"/>
                <w:kern w:val="0"/>
                <w:szCs w:val="21"/>
              </w:rPr>
              <w:t>2026</w:t>
            </w:r>
            <w:r>
              <w:rPr>
                <w:rFonts w:ascii="宋体" w:hAnsi="宋体" w:cs="宋体"/>
                <w:color w:val="000000"/>
                <w:kern w:val="0"/>
                <w:szCs w:val="21"/>
              </w:rPr>
              <w:t>年非港股通交易日暂停申购赎回等交易类业务的公告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2025-12-25</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15</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华商基金管理有限公司关于旗下部分基金参加北京加和基金销售有限公司申购费率优惠活动的公告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2025-12-25</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16</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华商基金管理有限公司关于旗下基金调整停牌股票估值方法的提示性公告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2025-12-26</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17</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华商基金管理有限公司旗下基金</w:t>
            </w:r>
            <w:r>
              <w:rPr>
                <w:rFonts w:ascii="宋体" w:hAnsi="宋体" w:cs="宋体"/>
                <w:color w:val="000000"/>
                <w:kern w:val="0"/>
                <w:szCs w:val="21"/>
              </w:rPr>
              <w:t>2025</w:t>
            </w:r>
            <w:r>
              <w:rPr>
                <w:rFonts w:ascii="宋体" w:hAnsi="宋体" w:cs="宋体"/>
                <w:color w:val="000000"/>
                <w:kern w:val="0"/>
                <w:szCs w:val="21"/>
              </w:rPr>
              <w:t>年第四季度报告提示性公告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2026-01-22</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lastRenderedPageBreak/>
              <w:t>18</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w:t>
            </w:r>
            <w:r>
              <w:rPr>
                <w:rFonts w:ascii="宋体" w:hAnsi="宋体" w:cs="宋体"/>
                <w:color w:val="000000"/>
                <w:kern w:val="0"/>
                <w:szCs w:val="21"/>
              </w:rPr>
              <w:t>2025</w:t>
            </w:r>
            <w:r>
              <w:rPr>
                <w:rFonts w:ascii="宋体" w:hAnsi="宋体" w:cs="宋体"/>
                <w:color w:val="000000"/>
                <w:kern w:val="0"/>
                <w:szCs w:val="21"/>
              </w:rPr>
              <w:t>年第</w:t>
            </w:r>
            <w:r>
              <w:rPr>
                <w:rFonts w:ascii="宋体" w:hAnsi="宋体" w:cs="宋体"/>
                <w:color w:val="000000"/>
                <w:kern w:val="0"/>
                <w:szCs w:val="21"/>
              </w:rPr>
              <w:t>4</w:t>
            </w:r>
            <w:r>
              <w:rPr>
                <w:rFonts w:ascii="宋体" w:hAnsi="宋体" w:cs="宋体"/>
                <w:color w:val="000000"/>
                <w:kern w:val="0"/>
                <w:szCs w:val="21"/>
              </w:rPr>
              <w:t>季度报告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2026-01-22</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19</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）连续</w:t>
            </w:r>
            <w:r>
              <w:rPr>
                <w:rFonts w:ascii="宋体" w:hAnsi="宋体" w:cs="宋体"/>
                <w:color w:val="000000"/>
                <w:kern w:val="0"/>
                <w:szCs w:val="21"/>
              </w:rPr>
              <w:t>30</w:t>
            </w:r>
            <w:r>
              <w:rPr>
                <w:rFonts w:ascii="宋体" w:hAnsi="宋体" w:cs="宋体"/>
                <w:color w:val="000000"/>
                <w:kern w:val="0"/>
                <w:szCs w:val="21"/>
              </w:rPr>
              <w:t>个工作日基金资产净值低于</w:t>
            </w:r>
            <w:r>
              <w:rPr>
                <w:rFonts w:ascii="宋体" w:hAnsi="宋体" w:cs="宋体"/>
                <w:color w:val="000000"/>
                <w:kern w:val="0"/>
                <w:szCs w:val="21"/>
              </w:rPr>
              <w:t>5000</w:t>
            </w:r>
            <w:r>
              <w:rPr>
                <w:rFonts w:ascii="宋体" w:hAnsi="宋体" w:cs="宋体"/>
                <w:color w:val="000000"/>
                <w:kern w:val="0"/>
                <w:szCs w:val="21"/>
              </w:rPr>
              <w:t>万元的提示性公告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2026-02-28</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关于华商安远稳进一年持有期混合型基金中基金（</w:t>
            </w:r>
            <w:r>
              <w:rPr>
                <w:rFonts w:ascii="宋体" w:hAnsi="宋体" w:cs="宋体"/>
                <w:color w:val="000000"/>
                <w:kern w:val="0"/>
                <w:szCs w:val="21"/>
              </w:rPr>
              <w:t>FOF</w:t>
            </w:r>
            <w:r>
              <w:rPr>
                <w:rFonts w:ascii="宋体" w:hAnsi="宋体" w:cs="宋体"/>
                <w:color w:val="000000"/>
                <w:kern w:val="0"/>
                <w:szCs w:val="21"/>
              </w:rPr>
              <w:t>）连续</w:t>
            </w:r>
            <w:r>
              <w:rPr>
                <w:rFonts w:ascii="宋体" w:hAnsi="宋体" w:cs="宋体"/>
                <w:color w:val="000000"/>
                <w:kern w:val="0"/>
                <w:szCs w:val="21"/>
              </w:rPr>
              <w:t>40</w:t>
            </w:r>
            <w:r>
              <w:rPr>
                <w:rFonts w:ascii="宋体" w:hAnsi="宋体" w:cs="宋体"/>
                <w:color w:val="000000"/>
                <w:kern w:val="0"/>
                <w:szCs w:val="21"/>
              </w:rPr>
              <w:t>个工作日基金资产净值低于</w:t>
            </w:r>
            <w:r>
              <w:rPr>
                <w:rFonts w:ascii="宋体" w:hAnsi="宋体" w:cs="宋体"/>
                <w:color w:val="000000"/>
                <w:kern w:val="0"/>
                <w:szCs w:val="21"/>
              </w:rPr>
              <w:t>5000</w:t>
            </w:r>
            <w:r>
              <w:rPr>
                <w:rFonts w:ascii="宋体" w:hAnsi="宋体" w:cs="宋体"/>
                <w:color w:val="000000"/>
                <w:kern w:val="0"/>
                <w:szCs w:val="21"/>
              </w:rPr>
              <w:t>万元的提示性公告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2026-03-14</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21</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华商基金管理有限公司旗下基金</w:t>
            </w:r>
            <w:r>
              <w:rPr>
                <w:rFonts w:ascii="宋体" w:hAnsi="宋体" w:cs="宋体"/>
                <w:color w:val="000000"/>
                <w:kern w:val="0"/>
                <w:szCs w:val="21"/>
              </w:rPr>
              <w:t>2025</w:t>
            </w:r>
            <w:r>
              <w:rPr>
                <w:rFonts w:ascii="宋体" w:hAnsi="宋体" w:cs="宋体"/>
                <w:color w:val="000000"/>
                <w:kern w:val="0"/>
                <w:szCs w:val="21"/>
              </w:rPr>
              <w:t>年年度报告提示性公告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2026-03-31</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22</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w:t>
            </w:r>
            <w:r>
              <w:rPr>
                <w:rFonts w:ascii="宋体" w:hAnsi="宋体" w:cs="宋体"/>
                <w:color w:val="000000"/>
                <w:kern w:val="0"/>
                <w:szCs w:val="21"/>
              </w:rPr>
              <w:t>2025</w:t>
            </w:r>
            <w:r>
              <w:rPr>
                <w:rFonts w:ascii="宋体" w:hAnsi="宋体" w:cs="宋体"/>
                <w:color w:val="000000"/>
                <w:kern w:val="0"/>
                <w:szCs w:val="21"/>
              </w:rPr>
              <w:t>年年度报告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2026-03-31</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23</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华商基金管理公司旗下公募基金通过证券公司证券交易及佣金支付情况（</w:t>
            </w:r>
            <w:r>
              <w:rPr>
                <w:rFonts w:ascii="宋体" w:hAnsi="宋体" w:cs="宋体"/>
                <w:color w:val="000000"/>
                <w:kern w:val="0"/>
                <w:szCs w:val="21"/>
              </w:rPr>
              <w:t>2025</w:t>
            </w:r>
            <w:r>
              <w:rPr>
                <w:rFonts w:ascii="宋体" w:hAnsi="宋体" w:cs="宋体"/>
                <w:color w:val="000000"/>
                <w:kern w:val="0"/>
                <w:szCs w:val="21"/>
              </w:rPr>
              <w:t>年度）</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2026-03-31</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24</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华商基金管理有限公司旗下基金</w:t>
            </w:r>
            <w:r>
              <w:rPr>
                <w:rFonts w:ascii="宋体" w:hAnsi="宋体" w:cs="宋体"/>
                <w:color w:val="000000"/>
                <w:kern w:val="0"/>
                <w:szCs w:val="21"/>
              </w:rPr>
              <w:t>2026</w:t>
            </w:r>
            <w:r>
              <w:rPr>
                <w:rFonts w:ascii="宋体" w:hAnsi="宋体" w:cs="宋体"/>
                <w:color w:val="000000"/>
                <w:kern w:val="0"/>
                <w:szCs w:val="21"/>
              </w:rPr>
              <w:t>年第一季度报告提示性公告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2026-04-22</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25</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w:t>
            </w:r>
            <w:r>
              <w:rPr>
                <w:rFonts w:ascii="宋体" w:hAnsi="宋体" w:cs="宋体"/>
                <w:color w:val="000000"/>
                <w:kern w:val="0"/>
                <w:szCs w:val="21"/>
              </w:rPr>
              <w:t>2026</w:t>
            </w:r>
            <w:r>
              <w:rPr>
                <w:rFonts w:ascii="宋体" w:hAnsi="宋体" w:cs="宋体"/>
                <w:color w:val="000000"/>
                <w:kern w:val="0"/>
                <w:szCs w:val="21"/>
              </w:rPr>
              <w:t>年第</w:t>
            </w:r>
            <w:r>
              <w:rPr>
                <w:rFonts w:ascii="宋体" w:hAnsi="宋体" w:cs="宋体"/>
                <w:color w:val="000000"/>
                <w:kern w:val="0"/>
                <w:szCs w:val="21"/>
              </w:rPr>
              <w:t>1</w:t>
            </w:r>
            <w:r>
              <w:rPr>
                <w:rFonts w:ascii="宋体" w:hAnsi="宋体" w:cs="宋体"/>
                <w:color w:val="000000"/>
                <w:kern w:val="0"/>
                <w:szCs w:val="21"/>
              </w:rPr>
              <w:t>季度报告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2026-04-22</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26</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2025</w:t>
            </w:r>
            <w:r>
              <w:rPr>
                <w:rFonts w:ascii="宋体" w:hAnsi="宋体" w:cs="宋体"/>
                <w:color w:val="000000"/>
                <w:kern w:val="0"/>
                <w:szCs w:val="21"/>
              </w:rPr>
              <w:t>年度华商基金管理有限公司以股东身份（通过公募基金持股）参与股东大会投票信息披露</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2026-04-29</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27</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华商基金管理有限公司关于终止与中证金牛（北京）基金销售有限公司销售合作关系的公告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2026-05-29</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28</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华商基金管理有限公司关于旗下部分基金参加汇添富基金销售</w:t>
            </w:r>
            <w:r>
              <w:rPr>
                <w:rFonts w:ascii="宋体" w:hAnsi="宋体" w:cs="宋体"/>
                <w:color w:val="000000"/>
                <w:kern w:val="0"/>
                <w:szCs w:val="21"/>
              </w:rPr>
              <w:t>(</w:t>
            </w:r>
            <w:r>
              <w:rPr>
                <w:rFonts w:ascii="宋体" w:hAnsi="宋体" w:cs="宋体"/>
                <w:color w:val="000000"/>
                <w:kern w:val="0"/>
                <w:szCs w:val="21"/>
              </w:rPr>
              <w:t>上海</w:t>
            </w:r>
            <w:r>
              <w:rPr>
                <w:rFonts w:ascii="宋体" w:hAnsi="宋体" w:cs="宋体"/>
                <w:color w:val="000000"/>
                <w:kern w:val="0"/>
                <w:szCs w:val="21"/>
              </w:rPr>
              <w:t>)</w:t>
            </w:r>
            <w:r>
              <w:rPr>
                <w:rFonts w:ascii="宋体" w:hAnsi="宋体" w:cs="宋体"/>
                <w:color w:val="000000"/>
                <w:kern w:val="0"/>
                <w:szCs w:val="21"/>
              </w:rPr>
              <w:t>有限公司申购费率优惠活动的公告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2026-06-18</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29</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华商基金管理有限公司关于旗下基金调整停牌股票估值方法的提示性公告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2026-07-01</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30</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华商基金管理有限公司旗下基金</w:t>
            </w:r>
            <w:r>
              <w:rPr>
                <w:rFonts w:ascii="宋体" w:hAnsi="宋体" w:cs="宋体"/>
                <w:color w:val="000000"/>
                <w:kern w:val="0"/>
                <w:szCs w:val="21"/>
              </w:rPr>
              <w:t>2026</w:t>
            </w:r>
            <w:r>
              <w:rPr>
                <w:rFonts w:ascii="宋体" w:hAnsi="宋体" w:cs="宋体"/>
                <w:color w:val="000000"/>
                <w:kern w:val="0"/>
                <w:szCs w:val="21"/>
              </w:rPr>
              <w:t>年第二季度报告提示性公告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2026-07-21</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31</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华商安远稳进一年持有期混合型基金中基金（</w:t>
            </w:r>
            <w:r>
              <w:rPr>
                <w:rFonts w:ascii="宋体" w:hAnsi="宋体" w:cs="宋体"/>
                <w:color w:val="000000"/>
                <w:kern w:val="0"/>
                <w:szCs w:val="21"/>
              </w:rPr>
              <w:t>FOF</w:t>
            </w:r>
            <w:r>
              <w:rPr>
                <w:rFonts w:ascii="宋体" w:hAnsi="宋体" w:cs="宋体"/>
                <w:color w:val="000000"/>
                <w:kern w:val="0"/>
                <w:szCs w:val="21"/>
              </w:rPr>
              <w:t>）</w:t>
            </w:r>
            <w:r>
              <w:rPr>
                <w:rFonts w:ascii="宋体" w:hAnsi="宋体" w:cs="宋体"/>
                <w:color w:val="000000"/>
                <w:kern w:val="0"/>
                <w:szCs w:val="21"/>
              </w:rPr>
              <w:t>2026</w:t>
            </w:r>
            <w:r>
              <w:rPr>
                <w:rFonts w:ascii="宋体" w:hAnsi="宋体" w:cs="宋体"/>
                <w:color w:val="000000"/>
                <w:kern w:val="0"/>
                <w:szCs w:val="21"/>
              </w:rPr>
              <w:t>年第</w:t>
            </w:r>
            <w:r>
              <w:rPr>
                <w:rFonts w:ascii="宋体" w:hAnsi="宋体" w:cs="宋体"/>
                <w:color w:val="000000"/>
                <w:kern w:val="0"/>
                <w:szCs w:val="21"/>
              </w:rPr>
              <w:t>2</w:t>
            </w:r>
            <w:r>
              <w:rPr>
                <w:rFonts w:ascii="宋体" w:hAnsi="宋体" w:cs="宋体"/>
                <w:color w:val="000000"/>
                <w:kern w:val="0"/>
                <w:szCs w:val="21"/>
              </w:rPr>
              <w:t>季度报告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2026-07-21</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32</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华商基金管理有限公司关于终止与浦领基金销售有限公司销售合作关系的公告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2026-07-23</w:t>
            </w:r>
          </w:p>
        </w:tc>
      </w:tr>
      <w:tr w:rsidR="00796C66">
        <w:trPr>
          <w:trHeight w:val="420"/>
          <w:jc w:val="center"/>
        </w:trPr>
        <w:tc>
          <w:tcPr>
            <w:tcW w:w="713" w:type="dxa"/>
            <w:tcBorders>
              <w:top w:val="single" w:sz="4" w:space="0" w:color="000000"/>
              <w:left w:val="single" w:sz="8" w:space="0" w:color="000000"/>
              <w:bottom w:val="single" w:sz="4"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33</w:t>
            </w:r>
          </w:p>
        </w:tc>
        <w:tc>
          <w:tcPr>
            <w:tcW w:w="7381" w:type="dxa"/>
            <w:tcBorders>
              <w:top w:val="single" w:sz="4" w:space="0" w:color="000000"/>
              <w:left w:val="single" w:sz="8" w:space="0" w:color="000000"/>
              <w:bottom w:val="single" w:sz="4"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关于华商安远稳进一年持有期混合型基金中基金（</w:t>
            </w:r>
            <w:r>
              <w:rPr>
                <w:rFonts w:ascii="宋体" w:hAnsi="宋体" w:cs="宋体"/>
                <w:color w:val="000000"/>
                <w:kern w:val="0"/>
                <w:szCs w:val="21"/>
              </w:rPr>
              <w:t>FOF</w:t>
            </w:r>
            <w:r>
              <w:rPr>
                <w:rFonts w:ascii="宋体" w:hAnsi="宋体" w:cs="宋体"/>
                <w:color w:val="000000"/>
                <w:kern w:val="0"/>
                <w:szCs w:val="21"/>
              </w:rPr>
              <w:t>）连续</w:t>
            </w:r>
            <w:r>
              <w:rPr>
                <w:rFonts w:ascii="宋体" w:hAnsi="宋体" w:cs="宋体"/>
                <w:color w:val="000000"/>
                <w:kern w:val="0"/>
                <w:szCs w:val="21"/>
              </w:rPr>
              <w:t>30</w:t>
            </w:r>
            <w:r>
              <w:rPr>
                <w:rFonts w:ascii="宋体" w:hAnsi="宋体" w:cs="宋体"/>
                <w:color w:val="000000"/>
                <w:kern w:val="0"/>
                <w:szCs w:val="21"/>
              </w:rPr>
              <w:t>个工作日基金资产净值低于</w:t>
            </w:r>
            <w:r>
              <w:rPr>
                <w:rFonts w:ascii="宋体" w:hAnsi="宋体" w:cs="宋体"/>
                <w:color w:val="000000"/>
                <w:kern w:val="0"/>
                <w:szCs w:val="21"/>
              </w:rPr>
              <w:t>5000</w:t>
            </w:r>
            <w:r>
              <w:rPr>
                <w:rFonts w:ascii="宋体" w:hAnsi="宋体" w:cs="宋体"/>
                <w:color w:val="000000"/>
                <w:kern w:val="0"/>
                <w:szCs w:val="21"/>
              </w:rPr>
              <w:t>万元的提示性公告</w:t>
            </w:r>
          </w:p>
        </w:tc>
        <w:tc>
          <w:tcPr>
            <w:tcW w:w="1289" w:type="dxa"/>
            <w:tcBorders>
              <w:top w:val="single" w:sz="4" w:space="0" w:color="000000"/>
              <w:left w:val="single" w:sz="8" w:space="0" w:color="000000"/>
              <w:bottom w:val="single" w:sz="4"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2026-07-23</w:t>
            </w:r>
          </w:p>
        </w:tc>
      </w:tr>
      <w:tr w:rsidR="00796C66">
        <w:trPr>
          <w:trHeight w:val="420"/>
          <w:jc w:val="center"/>
        </w:trPr>
        <w:tc>
          <w:tcPr>
            <w:tcW w:w="713" w:type="dxa"/>
            <w:tcBorders>
              <w:top w:val="single" w:sz="4" w:space="0" w:color="000000"/>
              <w:left w:val="single" w:sz="8" w:space="0" w:color="000000"/>
              <w:bottom w:val="single" w:sz="8" w:space="0" w:color="000000"/>
              <w:right w:val="single" w:sz="4" w:space="0" w:color="000000"/>
            </w:tcBorders>
            <w:tcMar>
              <w:top w:w="96" w:type="dxa"/>
              <w:left w:w="111" w:type="dxa"/>
              <w:bottom w:w="96" w:type="dxa"/>
              <w:right w:w="108"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34</w:t>
            </w:r>
          </w:p>
        </w:tc>
        <w:tc>
          <w:tcPr>
            <w:tcW w:w="7381" w:type="dxa"/>
            <w:tcBorders>
              <w:top w:val="single" w:sz="4" w:space="0" w:color="000000"/>
              <w:left w:val="single" w:sz="8" w:space="0" w:color="000000"/>
              <w:bottom w:val="single" w:sz="8" w:space="0" w:color="000000"/>
              <w:right w:val="single" w:sz="4" w:space="0" w:color="000000"/>
            </w:tcBorders>
            <w:tcMar>
              <w:top w:w="96" w:type="dxa"/>
              <w:left w:w="118" w:type="dxa"/>
              <w:bottom w:w="96" w:type="dxa"/>
              <w:right w:w="108" w:type="dxa"/>
            </w:tcMar>
            <w:vAlign w:val="center"/>
            <w:hideMark/>
          </w:tcPr>
          <w:p w:rsidR="00796C66" w:rsidRDefault="00FB6202">
            <w:pPr>
              <w:pStyle w:val="div"/>
              <w:rPr>
                <w:rFonts w:eastAsia="Times New Roman"/>
                <w:color w:val="000000"/>
                <w:kern w:val="0"/>
                <w:szCs w:val="21"/>
              </w:rPr>
            </w:pPr>
            <w:r>
              <w:rPr>
                <w:rFonts w:ascii="宋体" w:hAnsi="宋体" w:cs="宋体"/>
                <w:color w:val="000000"/>
                <w:kern w:val="0"/>
                <w:szCs w:val="21"/>
              </w:rPr>
              <w:t>关于华商安远稳进一年持有期混合型基金中基金（</w:t>
            </w:r>
            <w:r>
              <w:rPr>
                <w:rFonts w:ascii="宋体" w:hAnsi="宋体" w:cs="宋体"/>
                <w:color w:val="000000"/>
                <w:kern w:val="0"/>
                <w:szCs w:val="21"/>
              </w:rPr>
              <w:t>FOF</w:t>
            </w:r>
            <w:r>
              <w:rPr>
                <w:rFonts w:ascii="宋体" w:hAnsi="宋体" w:cs="宋体"/>
                <w:color w:val="000000"/>
                <w:kern w:val="0"/>
                <w:szCs w:val="21"/>
              </w:rPr>
              <w:t>）连续</w:t>
            </w:r>
            <w:r>
              <w:rPr>
                <w:rFonts w:ascii="宋体" w:hAnsi="宋体" w:cs="宋体"/>
                <w:color w:val="000000"/>
                <w:kern w:val="0"/>
                <w:szCs w:val="21"/>
              </w:rPr>
              <w:t>40</w:t>
            </w:r>
            <w:r>
              <w:rPr>
                <w:rFonts w:ascii="宋体" w:hAnsi="宋体" w:cs="宋体"/>
                <w:color w:val="000000"/>
                <w:kern w:val="0"/>
                <w:szCs w:val="21"/>
              </w:rPr>
              <w:t>个工作日基金资产净值低于</w:t>
            </w:r>
            <w:r>
              <w:rPr>
                <w:rFonts w:ascii="宋体" w:hAnsi="宋体" w:cs="宋体"/>
                <w:color w:val="000000"/>
                <w:kern w:val="0"/>
                <w:szCs w:val="21"/>
              </w:rPr>
              <w:t>5000</w:t>
            </w:r>
            <w:r>
              <w:rPr>
                <w:rFonts w:ascii="宋体" w:hAnsi="宋体" w:cs="宋体"/>
                <w:color w:val="000000"/>
                <w:kern w:val="0"/>
                <w:szCs w:val="21"/>
              </w:rPr>
              <w:t>万元的提示性公告</w:t>
            </w:r>
          </w:p>
        </w:tc>
        <w:tc>
          <w:tcPr>
            <w:tcW w:w="1289" w:type="dxa"/>
            <w:tcBorders>
              <w:top w:val="single" w:sz="4" w:space="0" w:color="000000"/>
              <w:left w:val="single" w:sz="8" w:space="0" w:color="000000"/>
              <w:bottom w:val="single" w:sz="8" w:space="0" w:color="000000"/>
              <w:right w:val="single" w:sz="8" w:space="0" w:color="000000"/>
            </w:tcBorders>
            <w:tcMar>
              <w:top w:w="96" w:type="dxa"/>
              <w:left w:w="118" w:type="dxa"/>
              <w:bottom w:w="96" w:type="dxa"/>
              <w:right w:w="111" w:type="dxa"/>
            </w:tcMar>
            <w:vAlign w:val="center"/>
            <w:hideMark/>
          </w:tcPr>
          <w:p w:rsidR="00796C66" w:rsidRDefault="00FB6202">
            <w:pPr>
              <w:pStyle w:val="div"/>
              <w:jc w:val="center"/>
              <w:rPr>
                <w:rFonts w:eastAsia="Times New Roman"/>
                <w:color w:val="000000"/>
                <w:kern w:val="0"/>
                <w:szCs w:val="21"/>
              </w:rPr>
            </w:pPr>
            <w:r>
              <w:rPr>
                <w:rFonts w:ascii="宋体" w:hAnsi="宋体" w:cs="宋体"/>
                <w:color w:val="000000"/>
                <w:kern w:val="0"/>
                <w:szCs w:val="21"/>
              </w:rPr>
              <w:t>2026-08-06</w:t>
            </w:r>
          </w:p>
        </w:tc>
      </w:tr>
    </w:tbl>
    <w:p w:rsidR="00796C66" w:rsidRDefault="00FB6202">
      <w:pPr>
        <w:widowControl/>
        <w:jc w:val="center"/>
        <w:rPr>
          <w:rFonts w:ascii="宋体" w:hAnsi="宋体"/>
          <w:sz w:val="24"/>
        </w:rPr>
      </w:pPr>
      <w:r>
        <w:rPr>
          <w:rFonts w:ascii="宋体" w:hAnsi="宋体"/>
          <w:sz w:val="24"/>
        </w:rPr>
        <w:br w:type="page"/>
      </w:r>
    </w:p>
    <w:p w:rsidR="00796C66" w:rsidRDefault="00FB6202">
      <w:pPr>
        <w:pStyle w:val="ae"/>
        <w:outlineLvl w:val="0"/>
      </w:pPr>
      <w:bookmarkStart w:id="26" w:name="_Toc256000025"/>
      <w:r>
        <w:rPr>
          <w:noProof/>
        </w:rPr>
        <w:lastRenderedPageBreak/>
        <w:t>二十五</w:t>
      </w:r>
      <w:r>
        <w:rPr>
          <w:rStyle w:val="Char5"/>
          <w:b/>
          <w:bCs/>
          <w:noProof/>
        </w:rPr>
        <w:t>、</w:t>
      </w:r>
      <w:r>
        <w:rPr>
          <w:noProof/>
        </w:rPr>
        <w:t>招募说明书存放及查阅方式</w:t>
      </w:r>
      <w:bookmarkEnd w:id="26"/>
    </w:p>
    <w:p w:rsidR="00796C66" w:rsidRDefault="00FB6202">
      <w:pPr>
        <w:pStyle w:val="div"/>
        <w:spacing w:line="360" w:lineRule="auto"/>
        <w:ind w:firstLine="420"/>
        <w:rPr>
          <w:rFonts w:eastAsia="Times New Roman"/>
          <w:kern w:val="0"/>
          <w:szCs w:val="21"/>
        </w:rPr>
      </w:pPr>
      <w:r>
        <w:rPr>
          <w:rFonts w:ascii="宋体" w:hAnsi="宋体" w:cs="宋体"/>
          <w:kern w:val="0"/>
          <w:szCs w:val="21"/>
        </w:rPr>
        <w:t>本招募说明书公布后，置备于基金管理人的住所，供公众查阅、复制。</w:t>
      </w:r>
    </w:p>
    <w:p w:rsidR="00796C66" w:rsidRDefault="00FB6202">
      <w:pPr>
        <w:pStyle w:val="div"/>
        <w:spacing w:line="360" w:lineRule="auto"/>
        <w:ind w:firstLine="420"/>
        <w:rPr>
          <w:rFonts w:eastAsia="Times New Roman"/>
          <w:kern w:val="0"/>
          <w:szCs w:val="21"/>
        </w:rPr>
      </w:pPr>
      <w:r>
        <w:rPr>
          <w:rFonts w:ascii="宋体" w:hAnsi="宋体" w:cs="宋体"/>
          <w:kern w:val="0"/>
          <w:szCs w:val="21"/>
        </w:rPr>
        <w:t>基金管理人和基金托管人保证文本的内容与公告的内容完全一致。</w:t>
      </w:r>
      <w:r>
        <w:rPr>
          <w:rFonts w:ascii="宋体" w:hAnsi="宋体" w:cs="宋体"/>
          <w:kern w:val="0"/>
          <w:szCs w:val="21"/>
        </w:rPr>
        <w:br w:type="page"/>
      </w:r>
    </w:p>
    <w:p w:rsidR="00796C66" w:rsidRDefault="00FB6202">
      <w:pPr>
        <w:pStyle w:val="ae"/>
        <w:outlineLvl w:val="0"/>
      </w:pPr>
      <w:bookmarkStart w:id="27" w:name="_Toc256000026"/>
      <w:r>
        <w:rPr>
          <w:noProof/>
        </w:rPr>
        <w:lastRenderedPageBreak/>
        <w:t>二十六</w:t>
      </w:r>
      <w:r>
        <w:rPr>
          <w:rStyle w:val="Char5"/>
          <w:b/>
          <w:bCs/>
          <w:noProof/>
        </w:rPr>
        <w:t>、</w:t>
      </w:r>
      <w:r>
        <w:rPr>
          <w:noProof/>
        </w:rPr>
        <w:t>备查文件</w:t>
      </w:r>
      <w:bookmarkEnd w:id="27"/>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一</w:t>
      </w:r>
      <w:r>
        <w:rPr>
          <w:rFonts w:ascii="宋体" w:hAnsi="宋体" w:cs="宋体"/>
          <w:kern w:val="0"/>
          <w:szCs w:val="21"/>
        </w:rPr>
        <w:t>)</w:t>
      </w:r>
      <w:r>
        <w:rPr>
          <w:rFonts w:ascii="宋体" w:hAnsi="宋体" w:cs="宋体"/>
          <w:kern w:val="0"/>
          <w:szCs w:val="21"/>
        </w:rPr>
        <w:t>中国证监会注册华商安远稳进一年持有期混合型基金中基金</w:t>
      </w:r>
      <w:r>
        <w:rPr>
          <w:rFonts w:ascii="宋体" w:hAnsi="宋体" w:cs="宋体"/>
          <w:kern w:val="0"/>
          <w:szCs w:val="21"/>
        </w:rPr>
        <w:t>(FOF)</w:t>
      </w:r>
      <w:r>
        <w:rPr>
          <w:rFonts w:ascii="宋体" w:hAnsi="宋体" w:cs="宋体"/>
          <w:kern w:val="0"/>
          <w:szCs w:val="21"/>
        </w:rPr>
        <w:t>的文件。</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二</w:t>
      </w:r>
      <w:r>
        <w:rPr>
          <w:rFonts w:ascii="宋体" w:hAnsi="宋体" w:cs="宋体"/>
          <w:kern w:val="0"/>
          <w:szCs w:val="21"/>
        </w:rPr>
        <w:t>)</w:t>
      </w:r>
      <w:r>
        <w:rPr>
          <w:rFonts w:ascii="宋体" w:hAnsi="宋体" w:cs="宋体"/>
          <w:kern w:val="0"/>
          <w:szCs w:val="21"/>
        </w:rPr>
        <w:t>《华商安远稳进一年持有期混合型基金中基金</w:t>
      </w:r>
      <w:r>
        <w:rPr>
          <w:rFonts w:ascii="宋体" w:hAnsi="宋体" w:cs="宋体"/>
          <w:kern w:val="0"/>
          <w:szCs w:val="21"/>
        </w:rPr>
        <w:t>(FOF)</w:t>
      </w:r>
      <w:r>
        <w:rPr>
          <w:rFonts w:ascii="宋体" w:hAnsi="宋体" w:cs="宋体"/>
          <w:kern w:val="0"/>
          <w:szCs w:val="21"/>
        </w:rPr>
        <w:t>基金合同》。</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三</w:t>
      </w:r>
      <w:r>
        <w:rPr>
          <w:rFonts w:ascii="宋体" w:hAnsi="宋体" w:cs="宋体"/>
          <w:kern w:val="0"/>
          <w:szCs w:val="21"/>
        </w:rPr>
        <w:t>)</w:t>
      </w:r>
      <w:r>
        <w:rPr>
          <w:rFonts w:ascii="宋体" w:hAnsi="宋体" w:cs="宋体"/>
          <w:kern w:val="0"/>
          <w:szCs w:val="21"/>
        </w:rPr>
        <w:t>《华商安远稳进一年持有期混合型基金中基金</w:t>
      </w:r>
      <w:r>
        <w:rPr>
          <w:rFonts w:ascii="宋体" w:hAnsi="宋体" w:cs="宋体"/>
          <w:kern w:val="0"/>
          <w:szCs w:val="21"/>
        </w:rPr>
        <w:t>(FOF)</w:t>
      </w:r>
      <w:r>
        <w:rPr>
          <w:rFonts w:ascii="宋体" w:hAnsi="宋体" w:cs="宋体"/>
          <w:kern w:val="0"/>
          <w:szCs w:val="21"/>
        </w:rPr>
        <w:t>托管协议》。</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四</w:t>
      </w:r>
      <w:r>
        <w:rPr>
          <w:rFonts w:ascii="宋体" w:hAnsi="宋体" w:cs="宋体"/>
          <w:kern w:val="0"/>
          <w:szCs w:val="21"/>
        </w:rPr>
        <w:t>)</w:t>
      </w:r>
      <w:r>
        <w:rPr>
          <w:rFonts w:ascii="宋体" w:hAnsi="宋体" w:cs="宋体"/>
          <w:kern w:val="0"/>
          <w:szCs w:val="21"/>
        </w:rPr>
        <w:t>法律意见书。</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五</w:t>
      </w:r>
      <w:r>
        <w:rPr>
          <w:rFonts w:ascii="宋体" w:hAnsi="宋体" w:cs="宋体"/>
          <w:kern w:val="0"/>
          <w:szCs w:val="21"/>
        </w:rPr>
        <w:t>)</w:t>
      </w:r>
      <w:r>
        <w:rPr>
          <w:rFonts w:ascii="宋体" w:hAnsi="宋体" w:cs="宋体"/>
          <w:kern w:val="0"/>
          <w:szCs w:val="21"/>
        </w:rPr>
        <w:t>基金管理人业务资格批件、营业执照。</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六</w:t>
      </w:r>
      <w:r>
        <w:rPr>
          <w:rFonts w:ascii="宋体" w:hAnsi="宋体" w:cs="宋体"/>
          <w:kern w:val="0"/>
          <w:szCs w:val="21"/>
        </w:rPr>
        <w:t>)</w:t>
      </w:r>
      <w:r>
        <w:rPr>
          <w:rFonts w:ascii="宋体" w:hAnsi="宋体" w:cs="宋体"/>
          <w:kern w:val="0"/>
          <w:szCs w:val="21"/>
        </w:rPr>
        <w:t>基金托管人业务资格批件、营业执照。</w:t>
      </w:r>
    </w:p>
    <w:p w:rsidR="00796C66" w:rsidRDefault="00FB6202">
      <w:pPr>
        <w:pStyle w:val="div"/>
        <w:spacing w:line="360" w:lineRule="auto"/>
        <w:ind w:firstLine="420"/>
        <w:rPr>
          <w:rFonts w:eastAsia="Times New Roman"/>
          <w:kern w:val="0"/>
          <w:szCs w:val="21"/>
        </w:rPr>
      </w:pPr>
      <w:r>
        <w:rPr>
          <w:rFonts w:ascii="宋体" w:hAnsi="宋体" w:cs="宋体"/>
          <w:kern w:val="0"/>
          <w:szCs w:val="21"/>
        </w:rPr>
        <w:t>(</w:t>
      </w:r>
      <w:r>
        <w:rPr>
          <w:rFonts w:ascii="宋体" w:hAnsi="宋体" w:cs="宋体"/>
          <w:kern w:val="0"/>
          <w:szCs w:val="21"/>
        </w:rPr>
        <w:t>七</w:t>
      </w:r>
      <w:r>
        <w:rPr>
          <w:rFonts w:ascii="宋体" w:hAnsi="宋体" w:cs="宋体"/>
          <w:kern w:val="0"/>
          <w:szCs w:val="21"/>
        </w:rPr>
        <w:t>)</w:t>
      </w:r>
      <w:r>
        <w:rPr>
          <w:rFonts w:ascii="宋体" w:hAnsi="宋体" w:cs="宋体"/>
          <w:kern w:val="0"/>
          <w:szCs w:val="21"/>
        </w:rPr>
        <w:t>中国证监会要求的其他文件。</w:t>
      </w:r>
    </w:p>
    <w:p w:rsidR="00796C66" w:rsidRDefault="00FB6202">
      <w:pPr>
        <w:pStyle w:val="div"/>
        <w:spacing w:line="360" w:lineRule="auto"/>
        <w:jc w:val="right"/>
        <w:rPr>
          <w:rFonts w:eastAsia="Times New Roman"/>
          <w:kern w:val="0"/>
          <w:szCs w:val="21"/>
        </w:rPr>
      </w:pPr>
      <w:r>
        <w:rPr>
          <w:rFonts w:ascii="宋体" w:hAnsi="宋体" w:cs="宋体"/>
          <w:kern w:val="0"/>
          <w:szCs w:val="21"/>
        </w:rPr>
        <w:t>华商基金管理有限公司</w:t>
      </w:r>
    </w:p>
    <w:p w:rsidR="00796C66" w:rsidRDefault="00FB6202">
      <w:pPr>
        <w:pStyle w:val="div"/>
        <w:spacing w:line="360" w:lineRule="auto"/>
        <w:jc w:val="right"/>
        <w:rPr>
          <w:rFonts w:ascii="宋体" w:hAnsi="宋体" w:cs="宋体"/>
          <w:kern w:val="0"/>
          <w:szCs w:val="21"/>
        </w:rPr>
      </w:pPr>
      <w:r>
        <w:rPr>
          <w:rFonts w:ascii="宋体" w:hAnsi="宋体" w:cs="宋体"/>
          <w:kern w:val="0"/>
          <w:szCs w:val="21"/>
        </w:rPr>
        <w:t>2026</w:t>
      </w:r>
      <w:r>
        <w:rPr>
          <w:rFonts w:ascii="宋体" w:hAnsi="宋体" w:cs="宋体"/>
          <w:kern w:val="0"/>
          <w:szCs w:val="21"/>
        </w:rPr>
        <w:t>年</w:t>
      </w:r>
      <w:r>
        <w:rPr>
          <w:rFonts w:ascii="宋体" w:hAnsi="宋体" w:cs="宋体"/>
          <w:kern w:val="0"/>
          <w:szCs w:val="21"/>
        </w:rPr>
        <w:t>10</w:t>
      </w:r>
      <w:r>
        <w:rPr>
          <w:rFonts w:ascii="宋体" w:hAnsi="宋体" w:cs="宋体"/>
          <w:kern w:val="0"/>
          <w:szCs w:val="21"/>
        </w:rPr>
        <w:t>月</w:t>
      </w:r>
      <w:r>
        <w:rPr>
          <w:rFonts w:ascii="宋体" w:hAnsi="宋体" w:cs="宋体"/>
          <w:kern w:val="0"/>
          <w:szCs w:val="21"/>
        </w:rPr>
        <w:t>13</w:t>
      </w:r>
      <w:r>
        <w:rPr>
          <w:rFonts w:ascii="宋体" w:hAnsi="宋体" w:cs="宋体"/>
          <w:kern w:val="0"/>
          <w:szCs w:val="21"/>
        </w:rPr>
        <w:t>日</w:t>
      </w:r>
    </w:p>
    <w:sectPr w:rsidR="00796C66">
      <w:headerReference w:type="even" r:id="rId7"/>
      <w:headerReference w:type="default" r:id="rId8"/>
      <w:footerReference w:type="even" r:id="rId9"/>
      <w:footerReference w:type="default" r:id="rId10"/>
      <w:headerReference w:type="first" r:id="rId11"/>
      <w:footerReference w:type="first" r:id="rId12"/>
      <w:pgSz w:w="11907" w:h="16840"/>
      <w:pgMar w:top="1440" w:right="1800" w:bottom="1440" w:left="1800" w:header="851" w:footer="992" w:gutter="0"/>
      <w:pgNumType w:start="1"/>
      <w:cols w:space="425"/>
      <w:docGrid w:linePitch="31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202" w:rsidRDefault="00FB6202">
      <w:r>
        <w:separator/>
      </w:r>
    </w:p>
  </w:endnote>
  <w:endnote w:type="continuationSeparator" w:id="0">
    <w:p w:rsidR="00FB6202" w:rsidRDefault="00FB6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charset w:val="00"/>
    <w:family w:val="roman"/>
    <w:pitch w:val="default"/>
  </w:font>
  <w:font w:name="黑体">
    <w:altName w:val="SimHei"/>
    <w:panose1 w:val="02010609060101010101"/>
    <w:charset w:val="86"/>
    <w:family w:val="modern"/>
    <w:pitch w:val="fixed"/>
    <w:sig w:usb0="800002BF" w:usb1="38CF7CFA" w:usb2="00000016" w:usb3="00000000" w:csb0="00040001" w:csb1="00000000"/>
  </w:font>
  <w:font w:name="serif">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C66" w:rsidRDefault="00796C6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C66" w:rsidRDefault="00FB6202">
    <w:pPr>
      <w:jc w:val="center"/>
      <w:rPr>
        <w:sz w:val="18"/>
        <w:szCs w:val="18"/>
      </w:rPr>
    </w:pPr>
    <w:r>
      <w:rPr>
        <w:rFonts w:ascii="宋体" w:hAnsi="宋体" w:hint="eastAsia"/>
        <w:sz w:val="18"/>
        <w:szCs w:val="18"/>
      </w:rPr>
      <w:t>第</w:t>
    </w:r>
    <w:r>
      <w:rPr>
        <w:rFonts w:ascii="宋体" w:hAnsi="宋体" w:hint="eastAsia"/>
        <w:sz w:val="18"/>
        <w:szCs w:val="18"/>
      </w:rPr>
      <w:t xml:space="preserve"> </w:t>
    </w:r>
    <w:r>
      <w:rPr>
        <w:rFonts w:ascii="宋体" w:hAnsi="宋体" w:hint="eastAsia"/>
        <w:sz w:val="18"/>
        <w:szCs w:val="18"/>
      </w:rPr>
      <w:fldChar w:fldCharType="begin"/>
    </w:r>
    <w:r>
      <w:rPr>
        <w:rFonts w:ascii="宋体" w:hAnsi="宋体" w:hint="eastAsia"/>
        <w:sz w:val="18"/>
        <w:szCs w:val="18"/>
      </w:rPr>
      <w:instrText>PAGE</w:instrText>
    </w:r>
    <w:r>
      <w:rPr>
        <w:rFonts w:ascii="宋体" w:hAnsi="宋体" w:hint="eastAsia"/>
        <w:sz w:val="18"/>
        <w:szCs w:val="18"/>
      </w:rPr>
      <w:fldChar w:fldCharType="separate"/>
    </w:r>
    <w:r w:rsidR="0010287D">
      <w:rPr>
        <w:rFonts w:ascii="宋体" w:hAnsi="宋体"/>
        <w:noProof/>
        <w:sz w:val="18"/>
        <w:szCs w:val="18"/>
      </w:rPr>
      <w:t>10</w:t>
    </w:r>
    <w:r>
      <w:rPr>
        <w:rFonts w:ascii="宋体" w:hAnsi="宋体" w:hint="eastAsia"/>
        <w:sz w:val="18"/>
        <w:szCs w:val="18"/>
      </w:rPr>
      <w:fldChar w:fldCharType="end"/>
    </w:r>
    <w:r>
      <w:rPr>
        <w:rFonts w:ascii="宋体" w:hAnsi="宋体" w:hint="eastAsia"/>
        <w:sz w:val="18"/>
        <w:szCs w:val="18"/>
      </w:rPr>
      <w:t xml:space="preserve"> </w:t>
    </w:r>
    <w:r>
      <w:rPr>
        <w:rFonts w:ascii="宋体" w:hAnsi="宋体" w:hint="eastAsia"/>
        <w:sz w:val="18"/>
        <w:szCs w:val="18"/>
      </w:rPr>
      <w:t>页</w:t>
    </w:r>
    <w:r>
      <w:rPr>
        <w:rFonts w:ascii="宋体" w:hAnsi="宋体" w:hint="eastAsia"/>
        <w:sz w:val="18"/>
        <w:szCs w:val="18"/>
      </w:rPr>
      <w:t xml:space="preserve"> </w:t>
    </w:r>
    <w:r>
      <w:rPr>
        <w:rFonts w:ascii="宋体" w:hAnsi="宋体" w:hint="eastAsia"/>
        <w:sz w:val="18"/>
        <w:szCs w:val="18"/>
      </w:rPr>
      <w:t>共</w:t>
    </w:r>
    <w:r>
      <w:rPr>
        <w:rFonts w:ascii="宋体" w:hAnsi="宋体" w:hint="eastAsia"/>
        <w:sz w:val="18"/>
        <w:szCs w:val="18"/>
      </w:rPr>
      <w:t xml:space="preserve"> </w:t>
    </w:r>
    <w:r>
      <w:rPr>
        <w:rFonts w:ascii="宋体" w:hAnsi="宋体" w:hint="eastAsia"/>
        <w:sz w:val="18"/>
        <w:szCs w:val="18"/>
      </w:rPr>
      <w:fldChar w:fldCharType="begin"/>
    </w:r>
    <w:r>
      <w:rPr>
        <w:rFonts w:ascii="宋体" w:hAnsi="宋体" w:hint="eastAsia"/>
        <w:sz w:val="18"/>
        <w:szCs w:val="18"/>
      </w:rPr>
      <w:instrText>NUMPAGES</w:instrText>
    </w:r>
    <w:r>
      <w:rPr>
        <w:rFonts w:ascii="宋体" w:hAnsi="宋体" w:hint="eastAsia"/>
        <w:sz w:val="18"/>
        <w:szCs w:val="18"/>
      </w:rPr>
      <w:fldChar w:fldCharType="separate"/>
    </w:r>
    <w:r w:rsidR="0010287D">
      <w:rPr>
        <w:rFonts w:ascii="宋体" w:hAnsi="宋体"/>
        <w:noProof/>
        <w:sz w:val="18"/>
        <w:szCs w:val="18"/>
      </w:rPr>
      <w:t>117</w:t>
    </w:r>
    <w:r>
      <w:rPr>
        <w:rFonts w:ascii="宋体" w:hAnsi="宋体" w:hint="eastAsia"/>
        <w:sz w:val="18"/>
        <w:szCs w:val="18"/>
      </w:rPr>
      <w:fldChar w:fldCharType="end"/>
    </w:r>
    <w:r>
      <w:rPr>
        <w:rFonts w:ascii="宋体" w:hAnsi="宋体" w:hint="eastAsia"/>
        <w:sz w:val="18"/>
        <w:szCs w:val="18"/>
      </w:rPr>
      <w:t xml:space="preserve"> </w:t>
    </w:r>
    <w:r>
      <w:rPr>
        <w:rFonts w:ascii="宋体" w:hAnsi="宋体" w:hint="eastAsia"/>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C66" w:rsidRDefault="00FB6202">
    <w:pPr>
      <w:jc w:val="center"/>
      <w:rPr>
        <w:sz w:val="18"/>
        <w:szCs w:val="18"/>
      </w:rPr>
    </w:pPr>
    <w:r>
      <w:rPr>
        <w:rFonts w:ascii="宋体" w:hAnsi="宋体" w:hint="eastAsia"/>
        <w:sz w:val="18"/>
        <w:szCs w:val="18"/>
      </w:rPr>
      <w:t>第</w:t>
    </w:r>
    <w:r>
      <w:rPr>
        <w:rFonts w:ascii="宋体" w:hAnsi="宋体" w:hint="eastAsia"/>
        <w:sz w:val="18"/>
        <w:szCs w:val="18"/>
      </w:rPr>
      <w:t xml:space="preserve"> </w:t>
    </w:r>
    <w:r>
      <w:rPr>
        <w:rFonts w:ascii="宋体" w:hAnsi="宋体" w:hint="eastAsia"/>
        <w:sz w:val="18"/>
        <w:szCs w:val="18"/>
      </w:rPr>
      <w:fldChar w:fldCharType="begin"/>
    </w:r>
    <w:r>
      <w:rPr>
        <w:rFonts w:ascii="宋体" w:hAnsi="宋体" w:hint="eastAsia"/>
        <w:sz w:val="18"/>
        <w:szCs w:val="18"/>
      </w:rPr>
      <w:instrText>PAGE</w:instrText>
    </w:r>
    <w:r>
      <w:rPr>
        <w:rFonts w:ascii="宋体" w:hAnsi="宋体" w:hint="eastAsia"/>
        <w:sz w:val="18"/>
        <w:szCs w:val="18"/>
      </w:rPr>
      <w:fldChar w:fldCharType="separate"/>
    </w:r>
    <w:r>
      <w:rPr>
        <w:rFonts w:ascii="宋体" w:hAnsi="宋体" w:hint="eastAsia"/>
        <w:sz w:val="18"/>
        <w:szCs w:val="18"/>
      </w:rPr>
      <w:t>1</w:t>
    </w:r>
    <w:r>
      <w:rPr>
        <w:rFonts w:ascii="宋体" w:hAnsi="宋体" w:hint="eastAsia"/>
        <w:sz w:val="18"/>
        <w:szCs w:val="18"/>
      </w:rPr>
      <w:fldChar w:fldCharType="end"/>
    </w:r>
    <w:r>
      <w:rPr>
        <w:rFonts w:ascii="宋体" w:hAnsi="宋体" w:hint="eastAsia"/>
        <w:sz w:val="18"/>
        <w:szCs w:val="18"/>
      </w:rPr>
      <w:t xml:space="preserve"> </w:t>
    </w:r>
    <w:r>
      <w:rPr>
        <w:rFonts w:ascii="宋体" w:hAnsi="宋体" w:hint="eastAsia"/>
        <w:sz w:val="18"/>
        <w:szCs w:val="18"/>
      </w:rPr>
      <w:t>页</w:t>
    </w:r>
    <w:r>
      <w:rPr>
        <w:rFonts w:ascii="宋体" w:hAnsi="宋体" w:hint="eastAsia"/>
        <w:sz w:val="18"/>
        <w:szCs w:val="18"/>
      </w:rPr>
      <w:t xml:space="preserve"> </w:t>
    </w:r>
    <w:r>
      <w:rPr>
        <w:rFonts w:ascii="宋体" w:hAnsi="宋体" w:hint="eastAsia"/>
        <w:sz w:val="18"/>
        <w:szCs w:val="18"/>
      </w:rPr>
      <w:t>共</w:t>
    </w:r>
    <w:r>
      <w:rPr>
        <w:rFonts w:ascii="宋体" w:hAnsi="宋体" w:hint="eastAsia"/>
        <w:sz w:val="18"/>
        <w:szCs w:val="18"/>
      </w:rPr>
      <w:t xml:space="preserve"> </w:t>
    </w:r>
    <w:r>
      <w:rPr>
        <w:rFonts w:ascii="宋体" w:hAnsi="宋体" w:hint="eastAsia"/>
        <w:sz w:val="18"/>
        <w:szCs w:val="18"/>
      </w:rPr>
      <w:fldChar w:fldCharType="begin"/>
    </w:r>
    <w:r>
      <w:rPr>
        <w:rFonts w:ascii="宋体" w:hAnsi="宋体" w:hint="eastAsia"/>
        <w:sz w:val="18"/>
        <w:szCs w:val="18"/>
      </w:rPr>
      <w:instrText>NUMPAGES</w:instrText>
    </w:r>
    <w:r>
      <w:rPr>
        <w:rFonts w:ascii="宋体" w:hAnsi="宋体" w:hint="eastAsia"/>
        <w:sz w:val="18"/>
        <w:szCs w:val="18"/>
      </w:rPr>
      <w:fldChar w:fldCharType="separate"/>
    </w:r>
    <w:r>
      <w:rPr>
        <w:rFonts w:ascii="宋体" w:hAnsi="宋体"/>
        <w:sz w:val="18"/>
        <w:szCs w:val="18"/>
      </w:rPr>
      <w:t>152</w:t>
    </w:r>
    <w:r>
      <w:rPr>
        <w:rFonts w:ascii="宋体" w:hAnsi="宋体" w:hint="eastAsia"/>
        <w:sz w:val="18"/>
        <w:szCs w:val="18"/>
      </w:rPr>
      <w:fldChar w:fldCharType="end"/>
    </w:r>
    <w:r>
      <w:rPr>
        <w:rFonts w:ascii="宋体" w:hAnsi="宋体" w:hint="eastAsia"/>
        <w:sz w:val="18"/>
        <w:szCs w:val="18"/>
      </w:rPr>
      <w:t xml:space="preserve"> </w:t>
    </w:r>
    <w:r>
      <w:rPr>
        <w:rFonts w:ascii="宋体" w:hAnsi="宋体" w:hint="eastAsia"/>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202" w:rsidRDefault="00FB6202">
      <w:r>
        <w:separator/>
      </w:r>
    </w:p>
  </w:footnote>
  <w:footnote w:type="continuationSeparator" w:id="0">
    <w:p w:rsidR="00FB6202" w:rsidRDefault="00FB6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C66" w:rsidRDefault="00796C6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C66" w:rsidRDefault="00796C66">
    <w:pPr>
      <w:pBdr>
        <w:bottom w:val="single" w:sz="6" w:space="1" w:color="auto"/>
      </w:pBdr>
      <w:jc w:val="right"/>
      <w:rPr>
        <w:rFonts w:ascii="宋体" w:hAnsi="宋体"/>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C66" w:rsidRDefault="00796C66">
    <w:pPr>
      <w:pBdr>
        <w:bottom w:val="single" w:sz="6" w:space="1" w:color="auto"/>
      </w:pBdr>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6C7"/>
    <w:rsid w:val="000007B8"/>
    <w:rsid w:val="0000182F"/>
    <w:rsid w:val="00001ACF"/>
    <w:rsid w:val="00003DCC"/>
    <w:rsid w:val="00006754"/>
    <w:rsid w:val="00007071"/>
    <w:rsid w:val="00010320"/>
    <w:rsid w:val="000111FC"/>
    <w:rsid w:val="000113EC"/>
    <w:rsid w:val="00011D72"/>
    <w:rsid w:val="000133B1"/>
    <w:rsid w:val="00013D94"/>
    <w:rsid w:val="000151A7"/>
    <w:rsid w:val="00015241"/>
    <w:rsid w:val="00015FAC"/>
    <w:rsid w:val="00016203"/>
    <w:rsid w:val="00016B79"/>
    <w:rsid w:val="00017DF5"/>
    <w:rsid w:val="00017F18"/>
    <w:rsid w:val="00020426"/>
    <w:rsid w:val="0002111F"/>
    <w:rsid w:val="00021121"/>
    <w:rsid w:val="00021D67"/>
    <w:rsid w:val="00022464"/>
    <w:rsid w:val="000233FA"/>
    <w:rsid w:val="00023F37"/>
    <w:rsid w:val="00024D9A"/>
    <w:rsid w:val="00024E1F"/>
    <w:rsid w:val="00025A3B"/>
    <w:rsid w:val="000260AF"/>
    <w:rsid w:val="00026CCD"/>
    <w:rsid w:val="00026F17"/>
    <w:rsid w:val="00027915"/>
    <w:rsid w:val="00030B51"/>
    <w:rsid w:val="000321AF"/>
    <w:rsid w:val="0003240C"/>
    <w:rsid w:val="0003267F"/>
    <w:rsid w:val="000332C8"/>
    <w:rsid w:val="000348C2"/>
    <w:rsid w:val="00035084"/>
    <w:rsid w:val="000350CB"/>
    <w:rsid w:val="000357AA"/>
    <w:rsid w:val="00035A0D"/>
    <w:rsid w:val="000367F8"/>
    <w:rsid w:val="00037219"/>
    <w:rsid w:val="00037965"/>
    <w:rsid w:val="000404ED"/>
    <w:rsid w:val="00041665"/>
    <w:rsid w:val="00041699"/>
    <w:rsid w:val="00042EF9"/>
    <w:rsid w:val="0004546D"/>
    <w:rsid w:val="00046E46"/>
    <w:rsid w:val="000471A4"/>
    <w:rsid w:val="0004798B"/>
    <w:rsid w:val="0005032C"/>
    <w:rsid w:val="000531EB"/>
    <w:rsid w:val="0005424D"/>
    <w:rsid w:val="000546F8"/>
    <w:rsid w:val="0005490E"/>
    <w:rsid w:val="00054A42"/>
    <w:rsid w:val="00055E77"/>
    <w:rsid w:val="000563A8"/>
    <w:rsid w:val="000563B6"/>
    <w:rsid w:val="00057B48"/>
    <w:rsid w:val="00060CEE"/>
    <w:rsid w:val="00060F7C"/>
    <w:rsid w:val="000610F2"/>
    <w:rsid w:val="0006204F"/>
    <w:rsid w:val="00063123"/>
    <w:rsid w:val="0006530F"/>
    <w:rsid w:val="00065D0B"/>
    <w:rsid w:val="00066054"/>
    <w:rsid w:val="00066179"/>
    <w:rsid w:val="000667F5"/>
    <w:rsid w:val="00067D30"/>
    <w:rsid w:val="000704F2"/>
    <w:rsid w:val="000718E3"/>
    <w:rsid w:val="0007243F"/>
    <w:rsid w:val="0007249E"/>
    <w:rsid w:val="000725BD"/>
    <w:rsid w:val="00072A6F"/>
    <w:rsid w:val="00072CDD"/>
    <w:rsid w:val="0007379F"/>
    <w:rsid w:val="000757AE"/>
    <w:rsid w:val="000758C1"/>
    <w:rsid w:val="00076766"/>
    <w:rsid w:val="00076C31"/>
    <w:rsid w:val="000803A0"/>
    <w:rsid w:val="00080BC1"/>
    <w:rsid w:val="00083060"/>
    <w:rsid w:val="0008319A"/>
    <w:rsid w:val="00083997"/>
    <w:rsid w:val="00084583"/>
    <w:rsid w:val="00086872"/>
    <w:rsid w:val="0009107C"/>
    <w:rsid w:val="00091D16"/>
    <w:rsid w:val="000921A0"/>
    <w:rsid w:val="00092895"/>
    <w:rsid w:val="0009314B"/>
    <w:rsid w:val="00094969"/>
    <w:rsid w:val="0009568F"/>
    <w:rsid w:val="00096B18"/>
    <w:rsid w:val="00097798"/>
    <w:rsid w:val="000A02E7"/>
    <w:rsid w:val="000A0676"/>
    <w:rsid w:val="000A0728"/>
    <w:rsid w:val="000A0D85"/>
    <w:rsid w:val="000A1211"/>
    <w:rsid w:val="000A15F3"/>
    <w:rsid w:val="000A189B"/>
    <w:rsid w:val="000A18C4"/>
    <w:rsid w:val="000A32E9"/>
    <w:rsid w:val="000A59D1"/>
    <w:rsid w:val="000A5E78"/>
    <w:rsid w:val="000A6DE8"/>
    <w:rsid w:val="000A7ED0"/>
    <w:rsid w:val="000B10D1"/>
    <w:rsid w:val="000B12BE"/>
    <w:rsid w:val="000B1601"/>
    <w:rsid w:val="000B3768"/>
    <w:rsid w:val="000B380D"/>
    <w:rsid w:val="000B48FB"/>
    <w:rsid w:val="000B4E4B"/>
    <w:rsid w:val="000B5722"/>
    <w:rsid w:val="000B66E3"/>
    <w:rsid w:val="000B7FE0"/>
    <w:rsid w:val="000C0148"/>
    <w:rsid w:val="000C01F7"/>
    <w:rsid w:val="000C09E3"/>
    <w:rsid w:val="000C0EC1"/>
    <w:rsid w:val="000C1CEF"/>
    <w:rsid w:val="000C2E03"/>
    <w:rsid w:val="000C400C"/>
    <w:rsid w:val="000C48BD"/>
    <w:rsid w:val="000C50F4"/>
    <w:rsid w:val="000C6AC6"/>
    <w:rsid w:val="000C6B0D"/>
    <w:rsid w:val="000C72ED"/>
    <w:rsid w:val="000C78E2"/>
    <w:rsid w:val="000D03C5"/>
    <w:rsid w:val="000D068D"/>
    <w:rsid w:val="000D08F8"/>
    <w:rsid w:val="000D0EB4"/>
    <w:rsid w:val="000D0FDE"/>
    <w:rsid w:val="000D22E7"/>
    <w:rsid w:val="000D2C18"/>
    <w:rsid w:val="000D2E60"/>
    <w:rsid w:val="000D2EFC"/>
    <w:rsid w:val="000D355B"/>
    <w:rsid w:val="000D4F08"/>
    <w:rsid w:val="000D5759"/>
    <w:rsid w:val="000D589C"/>
    <w:rsid w:val="000D680E"/>
    <w:rsid w:val="000D703B"/>
    <w:rsid w:val="000E0387"/>
    <w:rsid w:val="000E1393"/>
    <w:rsid w:val="000E236E"/>
    <w:rsid w:val="000E2972"/>
    <w:rsid w:val="000E2F0A"/>
    <w:rsid w:val="000E3AC0"/>
    <w:rsid w:val="000E4B73"/>
    <w:rsid w:val="000E658D"/>
    <w:rsid w:val="000E6F3C"/>
    <w:rsid w:val="000E76C7"/>
    <w:rsid w:val="000F0498"/>
    <w:rsid w:val="000F0F5A"/>
    <w:rsid w:val="000F1C68"/>
    <w:rsid w:val="000F1FA4"/>
    <w:rsid w:val="000F3478"/>
    <w:rsid w:val="000F3BF2"/>
    <w:rsid w:val="000F6996"/>
    <w:rsid w:val="000F73E0"/>
    <w:rsid w:val="0010032E"/>
    <w:rsid w:val="00100367"/>
    <w:rsid w:val="00100D5D"/>
    <w:rsid w:val="001012E5"/>
    <w:rsid w:val="0010193A"/>
    <w:rsid w:val="0010275C"/>
    <w:rsid w:val="0010287D"/>
    <w:rsid w:val="00102B51"/>
    <w:rsid w:val="001034EA"/>
    <w:rsid w:val="0010406F"/>
    <w:rsid w:val="00104812"/>
    <w:rsid w:val="001059A4"/>
    <w:rsid w:val="00106750"/>
    <w:rsid w:val="001068CA"/>
    <w:rsid w:val="00107952"/>
    <w:rsid w:val="001103DB"/>
    <w:rsid w:val="00110CBA"/>
    <w:rsid w:val="0011151C"/>
    <w:rsid w:val="001117FC"/>
    <w:rsid w:val="00111C28"/>
    <w:rsid w:val="00112F9B"/>
    <w:rsid w:val="00113114"/>
    <w:rsid w:val="001133DF"/>
    <w:rsid w:val="00113572"/>
    <w:rsid w:val="0011406A"/>
    <w:rsid w:val="001140D9"/>
    <w:rsid w:val="0011436E"/>
    <w:rsid w:val="00115614"/>
    <w:rsid w:val="00115DB0"/>
    <w:rsid w:val="00116722"/>
    <w:rsid w:val="001171D8"/>
    <w:rsid w:val="0011766E"/>
    <w:rsid w:val="0012027C"/>
    <w:rsid w:val="001207F1"/>
    <w:rsid w:val="001212E4"/>
    <w:rsid w:val="00121C71"/>
    <w:rsid w:val="00122F6F"/>
    <w:rsid w:val="001240DD"/>
    <w:rsid w:val="001264C4"/>
    <w:rsid w:val="00126CA6"/>
    <w:rsid w:val="00127659"/>
    <w:rsid w:val="00127F8E"/>
    <w:rsid w:val="001304AB"/>
    <w:rsid w:val="0013206C"/>
    <w:rsid w:val="001328BC"/>
    <w:rsid w:val="0013541C"/>
    <w:rsid w:val="00135E36"/>
    <w:rsid w:val="001361B9"/>
    <w:rsid w:val="00142B41"/>
    <w:rsid w:val="00143249"/>
    <w:rsid w:val="00143F6D"/>
    <w:rsid w:val="00144ED1"/>
    <w:rsid w:val="00145F21"/>
    <w:rsid w:val="00146355"/>
    <w:rsid w:val="001470D1"/>
    <w:rsid w:val="00147637"/>
    <w:rsid w:val="001478B3"/>
    <w:rsid w:val="00150786"/>
    <w:rsid w:val="001518DE"/>
    <w:rsid w:val="00151C73"/>
    <w:rsid w:val="00151F06"/>
    <w:rsid w:val="00152156"/>
    <w:rsid w:val="0015244A"/>
    <w:rsid w:val="00152DB9"/>
    <w:rsid w:val="00153CEC"/>
    <w:rsid w:val="0015401D"/>
    <w:rsid w:val="00154873"/>
    <w:rsid w:val="0015581C"/>
    <w:rsid w:val="00156B77"/>
    <w:rsid w:val="00157C13"/>
    <w:rsid w:val="00157D77"/>
    <w:rsid w:val="00157FE7"/>
    <w:rsid w:val="001601B5"/>
    <w:rsid w:val="00160EEF"/>
    <w:rsid w:val="00162501"/>
    <w:rsid w:val="0016286F"/>
    <w:rsid w:val="00162CF0"/>
    <w:rsid w:val="001631EB"/>
    <w:rsid w:val="001637C9"/>
    <w:rsid w:val="00164A30"/>
    <w:rsid w:val="00164A9C"/>
    <w:rsid w:val="001659D6"/>
    <w:rsid w:val="00166C4F"/>
    <w:rsid w:val="00167A46"/>
    <w:rsid w:val="00167A94"/>
    <w:rsid w:val="00167C74"/>
    <w:rsid w:val="001725FB"/>
    <w:rsid w:val="0017261D"/>
    <w:rsid w:val="00172CEF"/>
    <w:rsid w:val="00172E25"/>
    <w:rsid w:val="00174878"/>
    <w:rsid w:val="0017507B"/>
    <w:rsid w:val="00175E28"/>
    <w:rsid w:val="001760C9"/>
    <w:rsid w:val="001816B8"/>
    <w:rsid w:val="001822BE"/>
    <w:rsid w:val="00182677"/>
    <w:rsid w:val="0018290E"/>
    <w:rsid w:val="00182C22"/>
    <w:rsid w:val="00183A7D"/>
    <w:rsid w:val="00184D16"/>
    <w:rsid w:val="0018574B"/>
    <w:rsid w:val="00185850"/>
    <w:rsid w:val="00186125"/>
    <w:rsid w:val="0018674B"/>
    <w:rsid w:val="00186ED1"/>
    <w:rsid w:val="00187A80"/>
    <w:rsid w:val="00187CEC"/>
    <w:rsid w:val="0019048D"/>
    <w:rsid w:val="0019062C"/>
    <w:rsid w:val="00190A98"/>
    <w:rsid w:val="00190C5B"/>
    <w:rsid w:val="00191143"/>
    <w:rsid w:val="00191684"/>
    <w:rsid w:val="00192320"/>
    <w:rsid w:val="0019353F"/>
    <w:rsid w:val="001958C1"/>
    <w:rsid w:val="001976A1"/>
    <w:rsid w:val="001A05B5"/>
    <w:rsid w:val="001A0901"/>
    <w:rsid w:val="001A0D96"/>
    <w:rsid w:val="001A1EC2"/>
    <w:rsid w:val="001A38CB"/>
    <w:rsid w:val="001A3A68"/>
    <w:rsid w:val="001A3AB5"/>
    <w:rsid w:val="001A5DFF"/>
    <w:rsid w:val="001A7517"/>
    <w:rsid w:val="001A7B38"/>
    <w:rsid w:val="001B05B8"/>
    <w:rsid w:val="001B077C"/>
    <w:rsid w:val="001B0D7C"/>
    <w:rsid w:val="001B14B6"/>
    <w:rsid w:val="001B3C0F"/>
    <w:rsid w:val="001B4DC1"/>
    <w:rsid w:val="001B570A"/>
    <w:rsid w:val="001B5721"/>
    <w:rsid w:val="001B6B16"/>
    <w:rsid w:val="001B73AD"/>
    <w:rsid w:val="001C1585"/>
    <w:rsid w:val="001C2B16"/>
    <w:rsid w:val="001C2E92"/>
    <w:rsid w:val="001C52F2"/>
    <w:rsid w:val="001C6490"/>
    <w:rsid w:val="001C6D6D"/>
    <w:rsid w:val="001C74F4"/>
    <w:rsid w:val="001C7A0D"/>
    <w:rsid w:val="001D16D9"/>
    <w:rsid w:val="001D1D09"/>
    <w:rsid w:val="001D1E13"/>
    <w:rsid w:val="001D3004"/>
    <w:rsid w:val="001D3A41"/>
    <w:rsid w:val="001D4024"/>
    <w:rsid w:val="001D42C5"/>
    <w:rsid w:val="001D46B2"/>
    <w:rsid w:val="001D56A8"/>
    <w:rsid w:val="001D5B8E"/>
    <w:rsid w:val="001D6709"/>
    <w:rsid w:val="001D77D9"/>
    <w:rsid w:val="001E06FA"/>
    <w:rsid w:val="001E0E42"/>
    <w:rsid w:val="001E1DD1"/>
    <w:rsid w:val="001E2340"/>
    <w:rsid w:val="001E3ACE"/>
    <w:rsid w:val="001E3FA6"/>
    <w:rsid w:val="001E4445"/>
    <w:rsid w:val="001E6D99"/>
    <w:rsid w:val="001E6EAE"/>
    <w:rsid w:val="001E70A5"/>
    <w:rsid w:val="001E7177"/>
    <w:rsid w:val="001E7AF5"/>
    <w:rsid w:val="001F00B4"/>
    <w:rsid w:val="001F06CC"/>
    <w:rsid w:val="001F0E1A"/>
    <w:rsid w:val="001F1A6E"/>
    <w:rsid w:val="001F1AE3"/>
    <w:rsid w:val="001F36C1"/>
    <w:rsid w:val="001F4B54"/>
    <w:rsid w:val="001F4CFB"/>
    <w:rsid w:val="001F50A5"/>
    <w:rsid w:val="001F5B44"/>
    <w:rsid w:val="001F6007"/>
    <w:rsid w:val="001F7089"/>
    <w:rsid w:val="001F7229"/>
    <w:rsid w:val="001F774D"/>
    <w:rsid w:val="001F777D"/>
    <w:rsid w:val="001F7BE7"/>
    <w:rsid w:val="0020001B"/>
    <w:rsid w:val="00200CEA"/>
    <w:rsid w:val="002017D3"/>
    <w:rsid w:val="00201A0B"/>
    <w:rsid w:val="002026ED"/>
    <w:rsid w:val="00202C15"/>
    <w:rsid w:val="00203606"/>
    <w:rsid w:val="00203621"/>
    <w:rsid w:val="00203A4E"/>
    <w:rsid w:val="00204EB7"/>
    <w:rsid w:val="002054DB"/>
    <w:rsid w:val="002066C8"/>
    <w:rsid w:val="00211128"/>
    <w:rsid w:val="00212710"/>
    <w:rsid w:val="00215260"/>
    <w:rsid w:val="00215A10"/>
    <w:rsid w:val="00215D75"/>
    <w:rsid w:val="00216E36"/>
    <w:rsid w:val="00220B6F"/>
    <w:rsid w:val="00220DC9"/>
    <w:rsid w:val="00221605"/>
    <w:rsid w:val="00221EEF"/>
    <w:rsid w:val="00222122"/>
    <w:rsid w:val="002250AE"/>
    <w:rsid w:val="0022658A"/>
    <w:rsid w:val="002275D2"/>
    <w:rsid w:val="00227DF1"/>
    <w:rsid w:val="002302C0"/>
    <w:rsid w:val="00230E50"/>
    <w:rsid w:val="00232888"/>
    <w:rsid w:val="0023289D"/>
    <w:rsid w:val="0023340B"/>
    <w:rsid w:val="00233CF6"/>
    <w:rsid w:val="00234765"/>
    <w:rsid w:val="00237135"/>
    <w:rsid w:val="00237636"/>
    <w:rsid w:val="002377E7"/>
    <w:rsid w:val="00237DA3"/>
    <w:rsid w:val="00240E2E"/>
    <w:rsid w:val="00241C34"/>
    <w:rsid w:val="00241D4B"/>
    <w:rsid w:val="002446A1"/>
    <w:rsid w:val="002449D7"/>
    <w:rsid w:val="0024534F"/>
    <w:rsid w:val="002457B8"/>
    <w:rsid w:val="00245B19"/>
    <w:rsid w:val="00246316"/>
    <w:rsid w:val="0025058E"/>
    <w:rsid w:val="002509CE"/>
    <w:rsid w:val="00250C93"/>
    <w:rsid w:val="00251116"/>
    <w:rsid w:val="002532AD"/>
    <w:rsid w:val="00253BF8"/>
    <w:rsid w:val="0025411D"/>
    <w:rsid w:val="00255A35"/>
    <w:rsid w:val="00256C66"/>
    <w:rsid w:val="00256DAE"/>
    <w:rsid w:val="00257399"/>
    <w:rsid w:val="00260132"/>
    <w:rsid w:val="00260DE7"/>
    <w:rsid w:val="002610F0"/>
    <w:rsid w:val="002634A9"/>
    <w:rsid w:val="0026396F"/>
    <w:rsid w:val="002641A0"/>
    <w:rsid w:val="00265A4D"/>
    <w:rsid w:val="00265F6B"/>
    <w:rsid w:val="00266B0D"/>
    <w:rsid w:val="00267BE0"/>
    <w:rsid w:val="00271071"/>
    <w:rsid w:val="0027110B"/>
    <w:rsid w:val="00271BBF"/>
    <w:rsid w:val="00271D63"/>
    <w:rsid w:val="00271EB4"/>
    <w:rsid w:val="0027261D"/>
    <w:rsid w:val="0027322B"/>
    <w:rsid w:val="00273A68"/>
    <w:rsid w:val="002752DC"/>
    <w:rsid w:val="002754DE"/>
    <w:rsid w:val="002758D0"/>
    <w:rsid w:val="00275A70"/>
    <w:rsid w:val="00276C43"/>
    <w:rsid w:val="00276EF0"/>
    <w:rsid w:val="00282BD5"/>
    <w:rsid w:val="00283BF5"/>
    <w:rsid w:val="002846A1"/>
    <w:rsid w:val="00284DE1"/>
    <w:rsid w:val="00284DE6"/>
    <w:rsid w:val="00285C19"/>
    <w:rsid w:val="00286544"/>
    <w:rsid w:val="00287AA5"/>
    <w:rsid w:val="00287D25"/>
    <w:rsid w:val="002921A0"/>
    <w:rsid w:val="00293350"/>
    <w:rsid w:val="002933B0"/>
    <w:rsid w:val="002934C6"/>
    <w:rsid w:val="00293B47"/>
    <w:rsid w:val="002942FB"/>
    <w:rsid w:val="0029624D"/>
    <w:rsid w:val="00296DC8"/>
    <w:rsid w:val="002977B1"/>
    <w:rsid w:val="00297827"/>
    <w:rsid w:val="002A1AD0"/>
    <w:rsid w:val="002A1DDD"/>
    <w:rsid w:val="002A211B"/>
    <w:rsid w:val="002A42BE"/>
    <w:rsid w:val="002A43EA"/>
    <w:rsid w:val="002A4F50"/>
    <w:rsid w:val="002A60F5"/>
    <w:rsid w:val="002B0851"/>
    <w:rsid w:val="002B142D"/>
    <w:rsid w:val="002B3980"/>
    <w:rsid w:val="002B4430"/>
    <w:rsid w:val="002B452E"/>
    <w:rsid w:val="002B45E0"/>
    <w:rsid w:val="002B5C4C"/>
    <w:rsid w:val="002B5F52"/>
    <w:rsid w:val="002B68AD"/>
    <w:rsid w:val="002B6D0C"/>
    <w:rsid w:val="002B706E"/>
    <w:rsid w:val="002B7D34"/>
    <w:rsid w:val="002C043C"/>
    <w:rsid w:val="002C08AF"/>
    <w:rsid w:val="002C0A33"/>
    <w:rsid w:val="002C0C86"/>
    <w:rsid w:val="002C0D05"/>
    <w:rsid w:val="002C39E3"/>
    <w:rsid w:val="002C3CDE"/>
    <w:rsid w:val="002C4C96"/>
    <w:rsid w:val="002C4E58"/>
    <w:rsid w:val="002C507C"/>
    <w:rsid w:val="002C5312"/>
    <w:rsid w:val="002C6758"/>
    <w:rsid w:val="002C6A38"/>
    <w:rsid w:val="002C6E0D"/>
    <w:rsid w:val="002C7BC5"/>
    <w:rsid w:val="002C7D20"/>
    <w:rsid w:val="002D18A6"/>
    <w:rsid w:val="002D1C0A"/>
    <w:rsid w:val="002D4124"/>
    <w:rsid w:val="002D57FC"/>
    <w:rsid w:val="002D5E5E"/>
    <w:rsid w:val="002D5FE4"/>
    <w:rsid w:val="002D61B2"/>
    <w:rsid w:val="002D7F38"/>
    <w:rsid w:val="002E099E"/>
    <w:rsid w:val="002E0AE8"/>
    <w:rsid w:val="002E3351"/>
    <w:rsid w:val="002E5483"/>
    <w:rsid w:val="002E56C0"/>
    <w:rsid w:val="002E6711"/>
    <w:rsid w:val="002F3CB8"/>
    <w:rsid w:val="002F3D37"/>
    <w:rsid w:val="002F3E5E"/>
    <w:rsid w:val="002F3F76"/>
    <w:rsid w:val="002F4E7C"/>
    <w:rsid w:val="002F59E6"/>
    <w:rsid w:val="002F5CFE"/>
    <w:rsid w:val="002F5E02"/>
    <w:rsid w:val="002F6578"/>
    <w:rsid w:val="003003C0"/>
    <w:rsid w:val="00300B35"/>
    <w:rsid w:val="00300C0A"/>
    <w:rsid w:val="003017F1"/>
    <w:rsid w:val="00302090"/>
    <w:rsid w:val="003036F8"/>
    <w:rsid w:val="00303F5F"/>
    <w:rsid w:val="003059B2"/>
    <w:rsid w:val="00305BAC"/>
    <w:rsid w:val="00305F3C"/>
    <w:rsid w:val="003065F5"/>
    <w:rsid w:val="003068F7"/>
    <w:rsid w:val="00306B33"/>
    <w:rsid w:val="00306DFE"/>
    <w:rsid w:val="00307247"/>
    <w:rsid w:val="00307D19"/>
    <w:rsid w:val="00310455"/>
    <w:rsid w:val="00311BA8"/>
    <w:rsid w:val="00311CA8"/>
    <w:rsid w:val="003120CF"/>
    <w:rsid w:val="00312568"/>
    <w:rsid w:val="00313E25"/>
    <w:rsid w:val="00313F3C"/>
    <w:rsid w:val="0031433C"/>
    <w:rsid w:val="00314838"/>
    <w:rsid w:val="00314A76"/>
    <w:rsid w:val="00316573"/>
    <w:rsid w:val="003168CC"/>
    <w:rsid w:val="00320B23"/>
    <w:rsid w:val="00322BD2"/>
    <w:rsid w:val="003231AC"/>
    <w:rsid w:val="0032380F"/>
    <w:rsid w:val="00324182"/>
    <w:rsid w:val="00324987"/>
    <w:rsid w:val="00324F6D"/>
    <w:rsid w:val="00326019"/>
    <w:rsid w:val="0032684E"/>
    <w:rsid w:val="00326C9A"/>
    <w:rsid w:val="00326DFD"/>
    <w:rsid w:val="003271FF"/>
    <w:rsid w:val="003306C2"/>
    <w:rsid w:val="003311BB"/>
    <w:rsid w:val="003316FE"/>
    <w:rsid w:val="00331805"/>
    <w:rsid w:val="00334798"/>
    <w:rsid w:val="0033499A"/>
    <w:rsid w:val="00334D8F"/>
    <w:rsid w:val="003352CD"/>
    <w:rsid w:val="00335C36"/>
    <w:rsid w:val="00337A60"/>
    <w:rsid w:val="00337B3C"/>
    <w:rsid w:val="00340F38"/>
    <w:rsid w:val="00342754"/>
    <w:rsid w:val="0034288C"/>
    <w:rsid w:val="00342B98"/>
    <w:rsid w:val="00342DA2"/>
    <w:rsid w:val="0034330A"/>
    <w:rsid w:val="003433E4"/>
    <w:rsid w:val="00343AA1"/>
    <w:rsid w:val="00344F5B"/>
    <w:rsid w:val="00345910"/>
    <w:rsid w:val="00345B63"/>
    <w:rsid w:val="003462C4"/>
    <w:rsid w:val="003472F9"/>
    <w:rsid w:val="00347514"/>
    <w:rsid w:val="0035066B"/>
    <w:rsid w:val="00350935"/>
    <w:rsid w:val="00350A9D"/>
    <w:rsid w:val="00350EAF"/>
    <w:rsid w:val="00351330"/>
    <w:rsid w:val="00351532"/>
    <w:rsid w:val="00354DCA"/>
    <w:rsid w:val="00355C00"/>
    <w:rsid w:val="00357E14"/>
    <w:rsid w:val="00361A78"/>
    <w:rsid w:val="0036221D"/>
    <w:rsid w:val="00362C1D"/>
    <w:rsid w:val="00363FDA"/>
    <w:rsid w:val="003647AF"/>
    <w:rsid w:val="00364DA1"/>
    <w:rsid w:val="00365B90"/>
    <w:rsid w:val="00366813"/>
    <w:rsid w:val="00366A08"/>
    <w:rsid w:val="00366F04"/>
    <w:rsid w:val="00367F3C"/>
    <w:rsid w:val="00370373"/>
    <w:rsid w:val="00370739"/>
    <w:rsid w:val="003722BC"/>
    <w:rsid w:val="00372CA0"/>
    <w:rsid w:val="00375139"/>
    <w:rsid w:val="0037587A"/>
    <w:rsid w:val="00376EB7"/>
    <w:rsid w:val="00377B60"/>
    <w:rsid w:val="00380187"/>
    <w:rsid w:val="00380767"/>
    <w:rsid w:val="00380861"/>
    <w:rsid w:val="003828AC"/>
    <w:rsid w:val="00382B61"/>
    <w:rsid w:val="00383056"/>
    <w:rsid w:val="00383DF3"/>
    <w:rsid w:val="0038504B"/>
    <w:rsid w:val="003856AC"/>
    <w:rsid w:val="00386727"/>
    <w:rsid w:val="003903F1"/>
    <w:rsid w:val="00391C9C"/>
    <w:rsid w:val="00392E7B"/>
    <w:rsid w:val="00393354"/>
    <w:rsid w:val="00393403"/>
    <w:rsid w:val="003939F5"/>
    <w:rsid w:val="00393E89"/>
    <w:rsid w:val="003940EE"/>
    <w:rsid w:val="00394C75"/>
    <w:rsid w:val="003959D0"/>
    <w:rsid w:val="003966C7"/>
    <w:rsid w:val="0039752A"/>
    <w:rsid w:val="003A071C"/>
    <w:rsid w:val="003A0E72"/>
    <w:rsid w:val="003A12AD"/>
    <w:rsid w:val="003A1E27"/>
    <w:rsid w:val="003A206D"/>
    <w:rsid w:val="003A2078"/>
    <w:rsid w:val="003A2264"/>
    <w:rsid w:val="003A27ED"/>
    <w:rsid w:val="003A41DA"/>
    <w:rsid w:val="003A4F6F"/>
    <w:rsid w:val="003A5001"/>
    <w:rsid w:val="003A5C86"/>
    <w:rsid w:val="003A672D"/>
    <w:rsid w:val="003A67AA"/>
    <w:rsid w:val="003A7A75"/>
    <w:rsid w:val="003A7EDD"/>
    <w:rsid w:val="003B3904"/>
    <w:rsid w:val="003B4174"/>
    <w:rsid w:val="003B4A98"/>
    <w:rsid w:val="003B5EE6"/>
    <w:rsid w:val="003B5FE9"/>
    <w:rsid w:val="003B79CD"/>
    <w:rsid w:val="003C04CD"/>
    <w:rsid w:val="003C04FD"/>
    <w:rsid w:val="003C2C2C"/>
    <w:rsid w:val="003C2EC3"/>
    <w:rsid w:val="003C37CF"/>
    <w:rsid w:val="003C3939"/>
    <w:rsid w:val="003C44F2"/>
    <w:rsid w:val="003C5535"/>
    <w:rsid w:val="003C5648"/>
    <w:rsid w:val="003C6CFE"/>
    <w:rsid w:val="003C75B5"/>
    <w:rsid w:val="003D069C"/>
    <w:rsid w:val="003D2D6C"/>
    <w:rsid w:val="003D341C"/>
    <w:rsid w:val="003D35AB"/>
    <w:rsid w:val="003D4C14"/>
    <w:rsid w:val="003D4E21"/>
    <w:rsid w:val="003D5533"/>
    <w:rsid w:val="003D5D66"/>
    <w:rsid w:val="003D7684"/>
    <w:rsid w:val="003D7C40"/>
    <w:rsid w:val="003E3BF9"/>
    <w:rsid w:val="003E3E35"/>
    <w:rsid w:val="003E4472"/>
    <w:rsid w:val="003E515F"/>
    <w:rsid w:val="003E63B2"/>
    <w:rsid w:val="003E63F1"/>
    <w:rsid w:val="003F032E"/>
    <w:rsid w:val="003F111C"/>
    <w:rsid w:val="003F1626"/>
    <w:rsid w:val="003F223B"/>
    <w:rsid w:val="00400564"/>
    <w:rsid w:val="00400879"/>
    <w:rsid w:val="00400884"/>
    <w:rsid w:val="00400976"/>
    <w:rsid w:val="00400A9F"/>
    <w:rsid w:val="00400D99"/>
    <w:rsid w:val="00401329"/>
    <w:rsid w:val="00401E36"/>
    <w:rsid w:val="00406BFA"/>
    <w:rsid w:val="00406C2C"/>
    <w:rsid w:val="0041192D"/>
    <w:rsid w:val="004142AD"/>
    <w:rsid w:val="004146E8"/>
    <w:rsid w:val="0041588C"/>
    <w:rsid w:val="00416A27"/>
    <w:rsid w:val="004178FB"/>
    <w:rsid w:val="00420A4E"/>
    <w:rsid w:val="00421CB6"/>
    <w:rsid w:val="0042255C"/>
    <w:rsid w:val="00423AC8"/>
    <w:rsid w:val="0042595D"/>
    <w:rsid w:val="00426A6C"/>
    <w:rsid w:val="00432A89"/>
    <w:rsid w:val="004331DE"/>
    <w:rsid w:val="00434189"/>
    <w:rsid w:val="0043575A"/>
    <w:rsid w:val="00435E39"/>
    <w:rsid w:val="00436423"/>
    <w:rsid w:val="00436A2D"/>
    <w:rsid w:val="00437249"/>
    <w:rsid w:val="004372C1"/>
    <w:rsid w:val="004374E0"/>
    <w:rsid w:val="00437930"/>
    <w:rsid w:val="00437AC7"/>
    <w:rsid w:val="004407FB"/>
    <w:rsid w:val="00442374"/>
    <w:rsid w:val="00442823"/>
    <w:rsid w:val="0044328A"/>
    <w:rsid w:val="0044498D"/>
    <w:rsid w:val="00444A54"/>
    <w:rsid w:val="00444C07"/>
    <w:rsid w:val="00445ED2"/>
    <w:rsid w:val="00447AF8"/>
    <w:rsid w:val="00452A35"/>
    <w:rsid w:val="004533ED"/>
    <w:rsid w:val="00453D62"/>
    <w:rsid w:val="00454D6B"/>
    <w:rsid w:val="00455466"/>
    <w:rsid w:val="00455796"/>
    <w:rsid w:val="004568D2"/>
    <w:rsid w:val="004608EF"/>
    <w:rsid w:val="004612A9"/>
    <w:rsid w:val="004627DF"/>
    <w:rsid w:val="00464C64"/>
    <w:rsid w:val="00464C78"/>
    <w:rsid w:val="004659FF"/>
    <w:rsid w:val="00465C59"/>
    <w:rsid w:val="0046677C"/>
    <w:rsid w:val="004676D3"/>
    <w:rsid w:val="00467827"/>
    <w:rsid w:val="00470357"/>
    <w:rsid w:val="004715B3"/>
    <w:rsid w:val="0047351E"/>
    <w:rsid w:val="004735C2"/>
    <w:rsid w:val="00473B98"/>
    <w:rsid w:val="004750E0"/>
    <w:rsid w:val="00475341"/>
    <w:rsid w:val="00476918"/>
    <w:rsid w:val="00480CC9"/>
    <w:rsid w:val="00480D9A"/>
    <w:rsid w:val="00483196"/>
    <w:rsid w:val="0048353A"/>
    <w:rsid w:val="0048446C"/>
    <w:rsid w:val="00484672"/>
    <w:rsid w:val="00484808"/>
    <w:rsid w:val="00484A29"/>
    <w:rsid w:val="00484C05"/>
    <w:rsid w:val="00485FA9"/>
    <w:rsid w:val="00486BB5"/>
    <w:rsid w:val="004879D9"/>
    <w:rsid w:val="00490DA6"/>
    <w:rsid w:val="004914AD"/>
    <w:rsid w:val="004919E6"/>
    <w:rsid w:val="004921B3"/>
    <w:rsid w:val="004925D0"/>
    <w:rsid w:val="00492AA2"/>
    <w:rsid w:val="004932C0"/>
    <w:rsid w:val="004944FB"/>
    <w:rsid w:val="00494819"/>
    <w:rsid w:val="00494992"/>
    <w:rsid w:val="00494AA7"/>
    <w:rsid w:val="00494C79"/>
    <w:rsid w:val="00494D1A"/>
    <w:rsid w:val="004950ED"/>
    <w:rsid w:val="00495B8B"/>
    <w:rsid w:val="0049644C"/>
    <w:rsid w:val="00497939"/>
    <w:rsid w:val="00497D52"/>
    <w:rsid w:val="004A15B8"/>
    <w:rsid w:val="004A17EA"/>
    <w:rsid w:val="004A285A"/>
    <w:rsid w:val="004A394F"/>
    <w:rsid w:val="004A4AC6"/>
    <w:rsid w:val="004A52A0"/>
    <w:rsid w:val="004A5642"/>
    <w:rsid w:val="004B2676"/>
    <w:rsid w:val="004B2A2F"/>
    <w:rsid w:val="004B305B"/>
    <w:rsid w:val="004B39EA"/>
    <w:rsid w:val="004B5B10"/>
    <w:rsid w:val="004B5B1C"/>
    <w:rsid w:val="004B5DAB"/>
    <w:rsid w:val="004B60AA"/>
    <w:rsid w:val="004C0476"/>
    <w:rsid w:val="004C0B23"/>
    <w:rsid w:val="004C1C5F"/>
    <w:rsid w:val="004C1D8B"/>
    <w:rsid w:val="004C266B"/>
    <w:rsid w:val="004C4245"/>
    <w:rsid w:val="004C55AA"/>
    <w:rsid w:val="004C6652"/>
    <w:rsid w:val="004D2141"/>
    <w:rsid w:val="004D246F"/>
    <w:rsid w:val="004D2793"/>
    <w:rsid w:val="004D310C"/>
    <w:rsid w:val="004D3E63"/>
    <w:rsid w:val="004D4000"/>
    <w:rsid w:val="004D57DE"/>
    <w:rsid w:val="004D5A58"/>
    <w:rsid w:val="004D7335"/>
    <w:rsid w:val="004D7636"/>
    <w:rsid w:val="004D7893"/>
    <w:rsid w:val="004E0619"/>
    <w:rsid w:val="004E0949"/>
    <w:rsid w:val="004E1526"/>
    <w:rsid w:val="004E22D6"/>
    <w:rsid w:val="004E3B6F"/>
    <w:rsid w:val="004E4333"/>
    <w:rsid w:val="004E55F1"/>
    <w:rsid w:val="004E609A"/>
    <w:rsid w:val="004E6C96"/>
    <w:rsid w:val="004E7513"/>
    <w:rsid w:val="004E7F7F"/>
    <w:rsid w:val="004F05FA"/>
    <w:rsid w:val="004F1688"/>
    <w:rsid w:val="004F25F5"/>
    <w:rsid w:val="004F261B"/>
    <w:rsid w:val="004F55C0"/>
    <w:rsid w:val="004F5E53"/>
    <w:rsid w:val="004F6ADA"/>
    <w:rsid w:val="004F70A9"/>
    <w:rsid w:val="004F789B"/>
    <w:rsid w:val="00500E4E"/>
    <w:rsid w:val="005036AF"/>
    <w:rsid w:val="00504D80"/>
    <w:rsid w:val="005055C8"/>
    <w:rsid w:val="00505671"/>
    <w:rsid w:val="00505BED"/>
    <w:rsid w:val="00506F68"/>
    <w:rsid w:val="00510419"/>
    <w:rsid w:val="00510E84"/>
    <w:rsid w:val="005111A6"/>
    <w:rsid w:val="00511765"/>
    <w:rsid w:val="00511926"/>
    <w:rsid w:val="005139EA"/>
    <w:rsid w:val="005147C8"/>
    <w:rsid w:val="00516C46"/>
    <w:rsid w:val="00523388"/>
    <w:rsid w:val="00523731"/>
    <w:rsid w:val="00524F4F"/>
    <w:rsid w:val="00525EE4"/>
    <w:rsid w:val="00526FDF"/>
    <w:rsid w:val="00527768"/>
    <w:rsid w:val="00527A05"/>
    <w:rsid w:val="00527A68"/>
    <w:rsid w:val="00534388"/>
    <w:rsid w:val="005349E7"/>
    <w:rsid w:val="00534BE0"/>
    <w:rsid w:val="0053626F"/>
    <w:rsid w:val="00536DC2"/>
    <w:rsid w:val="005372C6"/>
    <w:rsid w:val="00541036"/>
    <w:rsid w:val="005417C6"/>
    <w:rsid w:val="00544F6E"/>
    <w:rsid w:val="0054515F"/>
    <w:rsid w:val="00547054"/>
    <w:rsid w:val="00550106"/>
    <w:rsid w:val="00550FDF"/>
    <w:rsid w:val="00551149"/>
    <w:rsid w:val="00551539"/>
    <w:rsid w:val="005531C4"/>
    <w:rsid w:val="00553C7D"/>
    <w:rsid w:val="005540DB"/>
    <w:rsid w:val="00554547"/>
    <w:rsid w:val="00555706"/>
    <w:rsid w:val="00555A8F"/>
    <w:rsid w:val="00557002"/>
    <w:rsid w:val="0055728D"/>
    <w:rsid w:val="00560448"/>
    <w:rsid w:val="005623DC"/>
    <w:rsid w:val="00564A03"/>
    <w:rsid w:val="00565897"/>
    <w:rsid w:val="00565A12"/>
    <w:rsid w:val="005665E7"/>
    <w:rsid w:val="005672BA"/>
    <w:rsid w:val="0057033C"/>
    <w:rsid w:val="005707AE"/>
    <w:rsid w:val="00571EE3"/>
    <w:rsid w:val="00573680"/>
    <w:rsid w:val="00574370"/>
    <w:rsid w:val="00574D1B"/>
    <w:rsid w:val="0057696B"/>
    <w:rsid w:val="00577EA0"/>
    <w:rsid w:val="005810CC"/>
    <w:rsid w:val="005834E3"/>
    <w:rsid w:val="00583EE2"/>
    <w:rsid w:val="00584018"/>
    <w:rsid w:val="00584367"/>
    <w:rsid w:val="005844A2"/>
    <w:rsid w:val="00584AC8"/>
    <w:rsid w:val="00585481"/>
    <w:rsid w:val="00585504"/>
    <w:rsid w:val="00585585"/>
    <w:rsid w:val="0058666A"/>
    <w:rsid w:val="005870C0"/>
    <w:rsid w:val="00587D56"/>
    <w:rsid w:val="00590A3F"/>
    <w:rsid w:val="00593A69"/>
    <w:rsid w:val="00593EE4"/>
    <w:rsid w:val="00594282"/>
    <w:rsid w:val="0059499F"/>
    <w:rsid w:val="00595B38"/>
    <w:rsid w:val="00595E51"/>
    <w:rsid w:val="00597E5C"/>
    <w:rsid w:val="005A278F"/>
    <w:rsid w:val="005A4272"/>
    <w:rsid w:val="005A47DC"/>
    <w:rsid w:val="005A4A48"/>
    <w:rsid w:val="005A55CA"/>
    <w:rsid w:val="005A5B12"/>
    <w:rsid w:val="005A6E22"/>
    <w:rsid w:val="005A7BE1"/>
    <w:rsid w:val="005B0F08"/>
    <w:rsid w:val="005B1117"/>
    <w:rsid w:val="005B12B4"/>
    <w:rsid w:val="005B23B1"/>
    <w:rsid w:val="005B35B4"/>
    <w:rsid w:val="005B4A69"/>
    <w:rsid w:val="005B5C98"/>
    <w:rsid w:val="005B7535"/>
    <w:rsid w:val="005B7771"/>
    <w:rsid w:val="005C0610"/>
    <w:rsid w:val="005C125C"/>
    <w:rsid w:val="005C1471"/>
    <w:rsid w:val="005C1F66"/>
    <w:rsid w:val="005C30D9"/>
    <w:rsid w:val="005C31D7"/>
    <w:rsid w:val="005C3D88"/>
    <w:rsid w:val="005C48B5"/>
    <w:rsid w:val="005C5B08"/>
    <w:rsid w:val="005D16A7"/>
    <w:rsid w:val="005D299B"/>
    <w:rsid w:val="005D3632"/>
    <w:rsid w:val="005D38D8"/>
    <w:rsid w:val="005D4185"/>
    <w:rsid w:val="005D627A"/>
    <w:rsid w:val="005D6E83"/>
    <w:rsid w:val="005D7CBB"/>
    <w:rsid w:val="005E0250"/>
    <w:rsid w:val="005E0B8A"/>
    <w:rsid w:val="005E0E56"/>
    <w:rsid w:val="005E0EAC"/>
    <w:rsid w:val="005E1332"/>
    <w:rsid w:val="005E2412"/>
    <w:rsid w:val="005E355D"/>
    <w:rsid w:val="005E513D"/>
    <w:rsid w:val="005E5146"/>
    <w:rsid w:val="005E6866"/>
    <w:rsid w:val="005E788F"/>
    <w:rsid w:val="005F1693"/>
    <w:rsid w:val="005F1EB6"/>
    <w:rsid w:val="005F1EB8"/>
    <w:rsid w:val="005F2196"/>
    <w:rsid w:val="005F6B39"/>
    <w:rsid w:val="005F6BA4"/>
    <w:rsid w:val="005F7E79"/>
    <w:rsid w:val="00600BB7"/>
    <w:rsid w:val="006015BF"/>
    <w:rsid w:val="006019BC"/>
    <w:rsid w:val="006022DF"/>
    <w:rsid w:val="00603A9D"/>
    <w:rsid w:val="0060434B"/>
    <w:rsid w:val="00604753"/>
    <w:rsid w:val="006052CC"/>
    <w:rsid w:val="0060533C"/>
    <w:rsid w:val="006054BA"/>
    <w:rsid w:val="006054D2"/>
    <w:rsid w:val="00605730"/>
    <w:rsid w:val="00606ED8"/>
    <w:rsid w:val="00610827"/>
    <w:rsid w:val="00611FB8"/>
    <w:rsid w:val="00612703"/>
    <w:rsid w:val="0061583B"/>
    <w:rsid w:val="00615865"/>
    <w:rsid w:val="00616946"/>
    <w:rsid w:val="00616BE8"/>
    <w:rsid w:val="0061709D"/>
    <w:rsid w:val="0061710C"/>
    <w:rsid w:val="006175C7"/>
    <w:rsid w:val="006178A5"/>
    <w:rsid w:val="0061791C"/>
    <w:rsid w:val="00620397"/>
    <w:rsid w:val="0062222B"/>
    <w:rsid w:val="00622584"/>
    <w:rsid w:val="0062274C"/>
    <w:rsid w:val="00623851"/>
    <w:rsid w:val="00623BA9"/>
    <w:rsid w:val="0062436B"/>
    <w:rsid w:val="00625A31"/>
    <w:rsid w:val="00626267"/>
    <w:rsid w:val="00627F54"/>
    <w:rsid w:val="00630778"/>
    <w:rsid w:val="006308F1"/>
    <w:rsid w:val="0063099F"/>
    <w:rsid w:val="00631195"/>
    <w:rsid w:val="00633AD0"/>
    <w:rsid w:val="006343C5"/>
    <w:rsid w:val="00634AA7"/>
    <w:rsid w:val="00634FF9"/>
    <w:rsid w:val="00637EDC"/>
    <w:rsid w:val="00641BA1"/>
    <w:rsid w:val="00641DCB"/>
    <w:rsid w:val="00641E87"/>
    <w:rsid w:val="00643DCB"/>
    <w:rsid w:val="00645283"/>
    <w:rsid w:val="00645EA8"/>
    <w:rsid w:val="006463E6"/>
    <w:rsid w:val="006466C8"/>
    <w:rsid w:val="00646D3B"/>
    <w:rsid w:val="006506A2"/>
    <w:rsid w:val="006514FD"/>
    <w:rsid w:val="006517D1"/>
    <w:rsid w:val="0065306D"/>
    <w:rsid w:val="00654694"/>
    <w:rsid w:val="00656D7C"/>
    <w:rsid w:val="006576C6"/>
    <w:rsid w:val="006605B7"/>
    <w:rsid w:val="00663A1F"/>
    <w:rsid w:val="00663FD1"/>
    <w:rsid w:val="00664A2D"/>
    <w:rsid w:val="00664B41"/>
    <w:rsid w:val="00665227"/>
    <w:rsid w:val="0066529A"/>
    <w:rsid w:val="00665749"/>
    <w:rsid w:val="00665989"/>
    <w:rsid w:val="0066753C"/>
    <w:rsid w:val="00667F06"/>
    <w:rsid w:val="00670223"/>
    <w:rsid w:val="00670847"/>
    <w:rsid w:val="00670DC8"/>
    <w:rsid w:val="00674CFB"/>
    <w:rsid w:val="006751C5"/>
    <w:rsid w:val="0068233C"/>
    <w:rsid w:val="00682CCA"/>
    <w:rsid w:val="0068307F"/>
    <w:rsid w:val="006834E6"/>
    <w:rsid w:val="00683F52"/>
    <w:rsid w:val="00685156"/>
    <w:rsid w:val="006858BE"/>
    <w:rsid w:val="00685AF9"/>
    <w:rsid w:val="00685BA1"/>
    <w:rsid w:val="00685C8A"/>
    <w:rsid w:val="00686DBC"/>
    <w:rsid w:val="0068770C"/>
    <w:rsid w:val="00687AB5"/>
    <w:rsid w:val="006903CB"/>
    <w:rsid w:val="00690715"/>
    <w:rsid w:val="00691430"/>
    <w:rsid w:val="00692080"/>
    <w:rsid w:val="006921E5"/>
    <w:rsid w:val="00693E84"/>
    <w:rsid w:val="00694838"/>
    <w:rsid w:val="006948D8"/>
    <w:rsid w:val="00695DB8"/>
    <w:rsid w:val="006963BB"/>
    <w:rsid w:val="00696CE9"/>
    <w:rsid w:val="00696F3A"/>
    <w:rsid w:val="00697183"/>
    <w:rsid w:val="006A0E0E"/>
    <w:rsid w:val="006A1062"/>
    <w:rsid w:val="006A1116"/>
    <w:rsid w:val="006A1BB2"/>
    <w:rsid w:val="006A2B9C"/>
    <w:rsid w:val="006A4D4E"/>
    <w:rsid w:val="006A6083"/>
    <w:rsid w:val="006A68DE"/>
    <w:rsid w:val="006A69A6"/>
    <w:rsid w:val="006A7DAF"/>
    <w:rsid w:val="006B19E9"/>
    <w:rsid w:val="006B2EDD"/>
    <w:rsid w:val="006B4425"/>
    <w:rsid w:val="006B4E68"/>
    <w:rsid w:val="006B5DA5"/>
    <w:rsid w:val="006B5EDB"/>
    <w:rsid w:val="006B721D"/>
    <w:rsid w:val="006C11F7"/>
    <w:rsid w:val="006C1FBD"/>
    <w:rsid w:val="006C2991"/>
    <w:rsid w:val="006C328D"/>
    <w:rsid w:val="006C3364"/>
    <w:rsid w:val="006C3797"/>
    <w:rsid w:val="006C4002"/>
    <w:rsid w:val="006C40EC"/>
    <w:rsid w:val="006C53D1"/>
    <w:rsid w:val="006C5528"/>
    <w:rsid w:val="006C55D3"/>
    <w:rsid w:val="006C591F"/>
    <w:rsid w:val="006C5C08"/>
    <w:rsid w:val="006C6691"/>
    <w:rsid w:val="006C7ECC"/>
    <w:rsid w:val="006D0EF4"/>
    <w:rsid w:val="006D2D47"/>
    <w:rsid w:val="006D37E3"/>
    <w:rsid w:val="006D3C2C"/>
    <w:rsid w:val="006D4430"/>
    <w:rsid w:val="006D5A35"/>
    <w:rsid w:val="006D5D0C"/>
    <w:rsid w:val="006D7410"/>
    <w:rsid w:val="006D7F93"/>
    <w:rsid w:val="006E0B42"/>
    <w:rsid w:val="006E0E07"/>
    <w:rsid w:val="006E0F70"/>
    <w:rsid w:val="006E1BFE"/>
    <w:rsid w:val="006E1C89"/>
    <w:rsid w:val="006E2436"/>
    <w:rsid w:val="006E2ADF"/>
    <w:rsid w:val="006E2E6D"/>
    <w:rsid w:val="006E520C"/>
    <w:rsid w:val="006E6585"/>
    <w:rsid w:val="006E7629"/>
    <w:rsid w:val="006F003D"/>
    <w:rsid w:val="006F049F"/>
    <w:rsid w:val="006F2410"/>
    <w:rsid w:val="006F28E8"/>
    <w:rsid w:val="006F318A"/>
    <w:rsid w:val="006F541B"/>
    <w:rsid w:val="006F5CC0"/>
    <w:rsid w:val="006F66A3"/>
    <w:rsid w:val="00700400"/>
    <w:rsid w:val="00701FE6"/>
    <w:rsid w:val="00704172"/>
    <w:rsid w:val="00704D19"/>
    <w:rsid w:val="00704FE5"/>
    <w:rsid w:val="0070584D"/>
    <w:rsid w:val="00705862"/>
    <w:rsid w:val="00705B82"/>
    <w:rsid w:val="00707736"/>
    <w:rsid w:val="0070789C"/>
    <w:rsid w:val="00710DF6"/>
    <w:rsid w:val="00710FF9"/>
    <w:rsid w:val="007115AE"/>
    <w:rsid w:val="007117DB"/>
    <w:rsid w:val="00712224"/>
    <w:rsid w:val="007122D0"/>
    <w:rsid w:val="00712DAF"/>
    <w:rsid w:val="007139CD"/>
    <w:rsid w:val="0071440E"/>
    <w:rsid w:val="007145D8"/>
    <w:rsid w:val="00715004"/>
    <w:rsid w:val="007157C9"/>
    <w:rsid w:val="007159D6"/>
    <w:rsid w:val="00715C4A"/>
    <w:rsid w:val="007163F6"/>
    <w:rsid w:val="0071679B"/>
    <w:rsid w:val="00716C70"/>
    <w:rsid w:val="0072187F"/>
    <w:rsid w:val="00722625"/>
    <w:rsid w:val="00724BE2"/>
    <w:rsid w:val="00724E0B"/>
    <w:rsid w:val="00724EC3"/>
    <w:rsid w:val="00725D6C"/>
    <w:rsid w:val="00725FE5"/>
    <w:rsid w:val="007265EB"/>
    <w:rsid w:val="00726904"/>
    <w:rsid w:val="00727D7B"/>
    <w:rsid w:val="0073012C"/>
    <w:rsid w:val="00731FA2"/>
    <w:rsid w:val="00732036"/>
    <w:rsid w:val="007320DE"/>
    <w:rsid w:val="00735039"/>
    <w:rsid w:val="007352AC"/>
    <w:rsid w:val="007354EA"/>
    <w:rsid w:val="0073551A"/>
    <w:rsid w:val="00735C23"/>
    <w:rsid w:val="007369AF"/>
    <w:rsid w:val="007404AA"/>
    <w:rsid w:val="00740577"/>
    <w:rsid w:val="00740AB5"/>
    <w:rsid w:val="00741D05"/>
    <w:rsid w:val="00742A4D"/>
    <w:rsid w:val="007432DA"/>
    <w:rsid w:val="0074394D"/>
    <w:rsid w:val="007444FE"/>
    <w:rsid w:val="007445D0"/>
    <w:rsid w:val="00745CE0"/>
    <w:rsid w:val="00746AB4"/>
    <w:rsid w:val="00747125"/>
    <w:rsid w:val="0075055B"/>
    <w:rsid w:val="00750686"/>
    <w:rsid w:val="00750D2F"/>
    <w:rsid w:val="0075282B"/>
    <w:rsid w:val="00752BF5"/>
    <w:rsid w:val="007536B2"/>
    <w:rsid w:val="007537F9"/>
    <w:rsid w:val="00754541"/>
    <w:rsid w:val="00754E3B"/>
    <w:rsid w:val="00754EB2"/>
    <w:rsid w:val="0075601C"/>
    <w:rsid w:val="00756449"/>
    <w:rsid w:val="00756656"/>
    <w:rsid w:val="00756B03"/>
    <w:rsid w:val="007579C1"/>
    <w:rsid w:val="007600F4"/>
    <w:rsid w:val="00760742"/>
    <w:rsid w:val="00761A74"/>
    <w:rsid w:val="00761DCD"/>
    <w:rsid w:val="00762643"/>
    <w:rsid w:val="00763BDE"/>
    <w:rsid w:val="007653F9"/>
    <w:rsid w:val="00765BBF"/>
    <w:rsid w:val="007719CF"/>
    <w:rsid w:val="00772BE1"/>
    <w:rsid w:val="00774D54"/>
    <w:rsid w:val="007756F4"/>
    <w:rsid w:val="00775FBE"/>
    <w:rsid w:val="00777426"/>
    <w:rsid w:val="007776A7"/>
    <w:rsid w:val="00777D63"/>
    <w:rsid w:val="00780690"/>
    <w:rsid w:val="00782541"/>
    <w:rsid w:val="007825D8"/>
    <w:rsid w:val="00782FE7"/>
    <w:rsid w:val="00783165"/>
    <w:rsid w:val="00783783"/>
    <w:rsid w:val="00786E29"/>
    <w:rsid w:val="007902D9"/>
    <w:rsid w:val="0079073D"/>
    <w:rsid w:val="007907AD"/>
    <w:rsid w:val="00791D0D"/>
    <w:rsid w:val="00792877"/>
    <w:rsid w:val="007938C8"/>
    <w:rsid w:val="00794A02"/>
    <w:rsid w:val="00795ACF"/>
    <w:rsid w:val="007967F4"/>
    <w:rsid w:val="00796C66"/>
    <w:rsid w:val="00796CDF"/>
    <w:rsid w:val="007A02BF"/>
    <w:rsid w:val="007A1BAF"/>
    <w:rsid w:val="007A4682"/>
    <w:rsid w:val="007A47F2"/>
    <w:rsid w:val="007A5403"/>
    <w:rsid w:val="007A5E10"/>
    <w:rsid w:val="007A624C"/>
    <w:rsid w:val="007A6D4D"/>
    <w:rsid w:val="007A6F71"/>
    <w:rsid w:val="007A7A82"/>
    <w:rsid w:val="007B02C8"/>
    <w:rsid w:val="007B0527"/>
    <w:rsid w:val="007B0A91"/>
    <w:rsid w:val="007B14EC"/>
    <w:rsid w:val="007B484A"/>
    <w:rsid w:val="007B5764"/>
    <w:rsid w:val="007B5C6A"/>
    <w:rsid w:val="007B76AE"/>
    <w:rsid w:val="007B7ADC"/>
    <w:rsid w:val="007C005B"/>
    <w:rsid w:val="007C03B3"/>
    <w:rsid w:val="007C1E2D"/>
    <w:rsid w:val="007C3202"/>
    <w:rsid w:val="007C41C7"/>
    <w:rsid w:val="007C4D6B"/>
    <w:rsid w:val="007C51EA"/>
    <w:rsid w:val="007C52FC"/>
    <w:rsid w:val="007C63F9"/>
    <w:rsid w:val="007C6EB3"/>
    <w:rsid w:val="007C7040"/>
    <w:rsid w:val="007C7AD8"/>
    <w:rsid w:val="007D0401"/>
    <w:rsid w:val="007D0751"/>
    <w:rsid w:val="007D38FD"/>
    <w:rsid w:val="007D3995"/>
    <w:rsid w:val="007D413A"/>
    <w:rsid w:val="007D4EB5"/>
    <w:rsid w:val="007D5FEC"/>
    <w:rsid w:val="007D7AF0"/>
    <w:rsid w:val="007D7CD3"/>
    <w:rsid w:val="007D7E94"/>
    <w:rsid w:val="007E057D"/>
    <w:rsid w:val="007E116B"/>
    <w:rsid w:val="007E1B1F"/>
    <w:rsid w:val="007E3816"/>
    <w:rsid w:val="007E4053"/>
    <w:rsid w:val="007E4682"/>
    <w:rsid w:val="007E5596"/>
    <w:rsid w:val="007E71B9"/>
    <w:rsid w:val="007E76BB"/>
    <w:rsid w:val="007E7967"/>
    <w:rsid w:val="007F04B1"/>
    <w:rsid w:val="007F0F5A"/>
    <w:rsid w:val="007F1944"/>
    <w:rsid w:val="007F1A20"/>
    <w:rsid w:val="007F1C90"/>
    <w:rsid w:val="007F227A"/>
    <w:rsid w:val="007F4BD7"/>
    <w:rsid w:val="007F501E"/>
    <w:rsid w:val="007F5F7C"/>
    <w:rsid w:val="007F7875"/>
    <w:rsid w:val="007F7C56"/>
    <w:rsid w:val="008013D3"/>
    <w:rsid w:val="008027E4"/>
    <w:rsid w:val="0080308C"/>
    <w:rsid w:val="0080461F"/>
    <w:rsid w:val="00804A71"/>
    <w:rsid w:val="0080542A"/>
    <w:rsid w:val="008060E0"/>
    <w:rsid w:val="00810254"/>
    <w:rsid w:val="00810DEF"/>
    <w:rsid w:val="00812EEC"/>
    <w:rsid w:val="008131BB"/>
    <w:rsid w:val="008136C9"/>
    <w:rsid w:val="0081388A"/>
    <w:rsid w:val="008140B6"/>
    <w:rsid w:val="00814173"/>
    <w:rsid w:val="008143EF"/>
    <w:rsid w:val="00814941"/>
    <w:rsid w:val="008149AF"/>
    <w:rsid w:val="00814D6C"/>
    <w:rsid w:val="00815347"/>
    <w:rsid w:val="00815DD8"/>
    <w:rsid w:val="00816142"/>
    <w:rsid w:val="00816EE0"/>
    <w:rsid w:val="00820A5A"/>
    <w:rsid w:val="00820BB0"/>
    <w:rsid w:val="008228E6"/>
    <w:rsid w:val="00823D52"/>
    <w:rsid w:val="00824429"/>
    <w:rsid w:val="008255F6"/>
    <w:rsid w:val="00827663"/>
    <w:rsid w:val="00830262"/>
    <w:rsid w:val="00830EAB"/>
    <w:rsid w:val="00831F1E"/>
    <w:rsid w:val="00832B07"/>
    <w:rsid w:val="00832DD9"/>
    <w:rsid w:val="00834862"/>
    <w:rsid w:val="00834FF1"/>
    <w:rsid w:val="008352AA"/>
    <w:rsid w:val="00837940"/>
    <w:rsid w:val="00837DF5"/>
    <w:rsid w:val="0084049B"/>
    <w:rsid w:val="0084258E"/>
    <w:rsid w:val="008439A3"/>
    <w:rsid w:val="00843E06"/>
    <w:rsid w:val="008445E3"/>
    <w:rsid w:val="008457F1"/>
    <w:rsid w:val="00846DFC"/>
    <w:rsid w:val="00850643"/>
    <w:rsid w:val="00856985"/>
    <w:rsid w:val="00856CDA"/>
    <w:rsid w:val="00856D4C"/>
    <w:rsid w:val="00857F08"/>
    <w:rsid w:val="00860304"/>
    <w:rsid w:val="008628DF"/>
    <w:rsid w:val="00862A06"/>
    <w:rsid w:val="00863B95"/>
    <w:rsid w:val="00863CE3"/>
    <w:rsid w:val="00863E93"/>
    <w:rsid w:val="00864C09"/>
    <w:rsid w:val="00865717"/>
    <w:rsid w:val="00866D3E"/>
    <w:rsid w:val="00866EEF"/>
    <w:rsid w:val="008709BB"/>
    <w:rsid w:val="00870B31"/>
    <w:rsid w:val="00872336"/>
    <w:rsid w:val="00872622"/>
    <w:rsid w:val="00873984"/>
    <w:rsid w:val="00873C68"/>
    <w:rsid w:val="008744D3"/>
    <w:rsid w:val="008745E2"/>
    <w:rsid w:val="00874947"/>
    <w:rsid w:val="00875D43"/>
    <w:rsid w:val="00876379"/>
    <w:rsid w:val="008763A8"/>
    <w:rsid w:val="00877508"/>
    <w:rsid w:val="008779BC"/>
    <w:rsid w:val="0088274B"/>
    <w:rsid w:val="0088313C"/>
    <w:rsid w:val="008834F5"/>
    <w:rsid w:val="008837FD"/>
    <w:rsid w:val="00884134"/>
    <w:rsid w:val="00884E3F"/>
    <w:rsid w:val="008859C0"/>
    <w:rsid w:val="00885D23"/>
    <w:rsid w:val="00885EF4"/>
    <w:rsid w:val="00886222"/>
    <w:rsid w:val="00887393"/>
    <w:rsid w:val="00890178"/>
    <w:rsid w:val="00891392"/>
    <w:rsid w:val="008919FA"/>
    <w:rsid w:val="00891AC9"/>
    <w:rsid w:val="00891B4E"/>
    <w:rsid w:val="0089222D"/>
    <w:rsid w:val="008927BD"/>
    <w:rsid w:val="00892BA8"/>
    <w:rsid w:val="00892E86"/>
    <w:rsid w:val="008934E8"/>
    <w:rsid w:val="0089381F"/>
    <w:rsid w:val="008969BF"/>
    <w:rsid w:val="00896DB5"/>
    <w:rsid w:val="008976AA"/>
    <w:rsid w:val="00897709"/>
    <w:rsid w:val="00897732"/>
    <w:rsid w:val="008A021C"/>
    <w:rsid w:val="008A12B6"/>
    <w:rsid w:val="008A20AC"/>
    <w:rsid w:val="008A3839"/>
    <w:rsid w:val="008A3B2A"/>
    <w:rsid w:val="008A3DE4"/>
    <w:rsid w:val="008A5515"/>
    <w:rsid w:val="008A67E7"/>
    <w:rsid w:val="008A6B75"/>
    <w:rsid w:val="008A6C8A"/>
    <w:rsid w:val="008A78C2"/>
    <w:rsid w:val="008A7DC7"/>
    <w:rsid w:val="008B05A4"/>
    <w:rsid w:val="008B1BA1"/>
    <w:rsid w:val="008B2511"/>
    <w:rsid w:val="008B42D2"/>
    <w:rsid w:val="008B433B"/>
    <w:rsid w:val="008B459D"/>
    <w:rsid w:val="008B5435"/>
    <w:rsid w:val="008B5B49"/>
    <w:rsid w:val="008B6865"/>
    <w:rsid w:val="008B7346"/>
    <w:rsid w:val="008B745B"/>
    <w:rsid w:val="008C05EB"/>
    <w:rsid w:val="008C2C2C"/>
    <w:rsid w:val="008C33FA"/>
    <w:rsid w:val="008C48E0"/>
    <w:rsid w:val="008C4F03"/>
    <w:rsid w:val="008C4F05"/>
    <w:rsid w:val="008C5271"/>
    <w:rsid w:val="008C564F"/>
    <w:rsid w:val="008C5A6A"/>
    <w:rsid w:val="008C5B3C"/>
    <w:rsid w:val="008C6A0E"/>
    <w:rsid w:val="008D27B2"/>
    <w:rsid w:val="008D3D46"/>
    <w:rsid w:val="008D410A"/>
    <w:rsid w:val="008D5676"/>
    <w:rsid w:val="008D6FE5"/>
    <w:rsid w:val="008D7122"/>
    <w:rsid w:val="008E03CC"/>
    <w:rsid w:val="008E1513"/>
    <w:rsid w:val="008E25AD"/>
    <w:rsid w:val="008E2637"/>
    <w:rsid w:val="008E2999"/>
    <w:rsid w:val="008E3F97"/>
    <w:rsid w:val="008E5B9B"/>
    <w:rsid w:val="008E691E"/>
    <w:rsid w:val="008E7B15"/>
    <w:rsid w:val="008F03C5"/>
    <w:rsid w:val="008F14D6"/>
    <w:rsid w:val="008F20E4"/>
    <w:rsid w:val="008F4003"/>
    <w:rsid w:val="008F5725"/>
    <w:rsid w:val="008F5C45"/>
    <w:rsid w:val="008F7056"/>
    <w:rsid w:val="0090159D"/>
    <w:rsid w:val="00901D33"/>
    <w:rsid w:val="009020A8"/>
    <w:rsid w:val="009022F7"/>
    <w:rsid w:val="009049AB"/>
    <w:rsid w:val="00906128"/>
    <w:rsid w:val="009069BB"/>
    <w:rsid w:val="00907A41"/>
    <w:rsid w:val="009101D0"/>
    <w:rsid w:val="00910C8F"/>
    <w:rsid w:val="00912719"/>
    <w:rsid w:val="00912E24"/>
    <w:rsid w:val="00914492"/>
    <w:rsid w:val="00914772"/>
    <w:rsid w:val="00920337"/>
    <w:rsid w:val="0092193D"/>
    <w:rsid w:val="00921BBC"/>
    <w:rsid w:val="0092420C"/>
    <w:rsid w:val="00924A92"/>
    <w:rsid w:val="00924D4F"/>
    <w:rsid w:val="0092575D"/>
    <w:rsid w:val="0092735A"/>
    <w:rsid w:val="00927379"/>
    <w:rsid w:val="00927A00"/>
    <w:rsid w:val="00927CCC"/>
    <w:rsid w:val="00930644"/>
    <w:rsid w:val="009306DA"/>
    <w:rsid w:val="0093330F"/>
    <w:rsid w:val="009339CC"/>
    <w:rsid w:val="0093416C"/>
    <w:rsid w:val="00935269"/>
    <w:rsid w:val="00935652"/>
    <w:rsid w:val="009358D0"/>
    <w:rsid w:val="00935B19"/>
    <w:rsid w:val="009365F9"/>
    <w:rsid w:val="0093674C"/>
    <w:rsid w:val="00937A91"/>
    <w:rsid w:val="0094018A"/>
    <w:rsid w:val="009420EF"/>
    <w:rsid w:val="009431AD"/>
    <w:rsid w:val="009431D2"/>
    <w:rsid w:val="0094522F"/>
    <w:rsid w:val="009453D6"/>
    <w:rsid w:val="00947BF2"/>
    <w:rsid w:val="009505E4"/>
    <w:rsid w:val="00951234"/>
    <w:rsid w:val="0095437B"/>
    <w:rsid w:val="00954E1E"/>
    <w:rsid w:val="00954F27"/>
    <w:rsid w:val="00955201"/>
    <w:rsid w:val="00956CB5"/>
    <w:rsid w:val="00960094"/>
    <w:rsid w:val="009607B7"/>
    <w:rsid w:val="00960BE4"/>
    <w:rsid w:val="00960CBE"/>
    <w:rsid w:val="009614D6"/>
    <w:rsid w:val="009617FD"/>
    <w:rsid w:val="00961872"/>
    <w:rsid w:val="00961873"/>
    <w:rsid w:val="0096226C"/>
    <w:rsid w:val="009627BB"/>
    <w:rsid w:val="00962FB2"/>
    <w:rsid w:val="00963367"/>
    <w:rsid w:val="009651B2"/>
    <w:rsid w:val="009658BB"/>
    <w:rsid w:val="00965BAE"/>
    <w:rsid w:val="00965CE4"/>
    <w:rsid w:val="00966387"/>
    <w:rsid w:val="00966C9B"/>
    <w:rsid w:val="00970A53"/>
    <w:rsid w:val="009716F8"/>
    <w:rsid w:val="009726E6"/>
    <w:rsid w:val="00973813"/>
    <w:rsid w:val="00973BFF"/>
    <w:rsid w:val="00974819"/>
    <w:rsid w:val="00974F41"/>
    <w:rsid w:val="009766A2"/>
    <w:rsid w:val="00976C91"/>
    <w:rsid w:val="009805A4"/>
    <w:rsid w:val="00982321"/>
    <w:rsid w:val="009827F7"/>
    <w:rsid w:val="00982A32"/>
    <w:rsid w:val="00984080"/>
    <w:rsid w:val="0098458D"/>
    <w:rsid w:val="009860B0"/>
    <w:rsid w:val="00986BF8"/>
    <w:rsid w:val="00986C89"/>
    <w:rsid w:val="00987008"/>
    <w:rsid w:val="00990A91"/>
    <w:rsid w:val="00990D36"/>
    <w:rsid w:val="00991C42"/>
    <w:rsid w:val="00992B6A"/>
    <w:rsid w:val="00993C3D"/>
    <w:rsid w:val="0099400A"/>
    <w:rsid w:val="0099485D"/>
    <w:rsid w:val="00994B59"/>
    <w:rsid w:val="00995C5A"/>
    <w:rsid w:val="00995CA8"/>
    <w:rsid w:val="00996BA6"/>
    <w:rsid w:val="00996DAA"/>
    <w:rsid w:val="009971FA"/>
    <w:rsid w:val="009A1CEF"/>
    <w:rsid w:val="009A2E03"/>
    <w:rsid w:val="009A349D"/>
    <w:rsid w:val="009A4EF6"/>
    <w:rsid w:val="009A5130"/>
    <w:rsid w:val="009A5A46"/>
    <w:rsid w:val="009A5AB2"/>
    <w:rsid w:val="009A6C46"/>
    <w:rsid w:val="009A6D9D"/>
    <w:rsid w:val="009A6F27"/>
    <w:rsid w:val="009A7730"/>
    <w:rsid w:val="009A7BFB"/>
    <w:rsid w:val="009B14D4"/>
    <w:rsid w:val="009B171B"/>
    <w:rsid w:val="009B1F14"/>
    <w:rsid w:val="009B2F1C"/>
    <w:rsid w:val="009B308C"/>
    <w:rsid w:val="009B3A63"/>
    <w:rsid w:val="009B75F3"/>
    <w:rsid w:val="009B787C"/>
    <w:rsid w:val="009B7CA0"/>
    <w:rsid w:val="009C0BC3"/>
    <w:rsid w:val="009C0E52"/>
    <w:rsid w:val="009C1A08"/>
    <w:rsid w:val="009C1CDD"/>
    <w:rsid w:val="009C31E2"/>
    <w:rsid w:val="009C3E79"/>
    <w:rsid w:val="009D030E"/>
    <w:rsid w:val="009D1C35"/>
    <w:rsid w:val="009D2873"/>
    <w:rsid w:val="009D6866"/>
    <w:rsid w:val="009D708E"/>
    <w:rsid w:val="009D7D4C"/>
    <w:rsid w:val="009D7FC5"/>
    <w:rsid w:val="009E0304"/>
    <w:rsid w:val="009E1B20"/>
    <w:rsid w:val="009E27A5"/>
    <w:rsid w:val="009E3597"/>
    <w:rsid w:val="009E3E49"/>
    <w:rsid w:val="009E5172"/>
    <w:rsid w:val="009E58E9"/>
    <w:rsid w:val="009E6BDD"/>
    <w:rsid w:val="009E749B"/>
    <w:rsid w:val="009E7595"/>
    <w:rsid w:val="009F0823"/>
    <w:rsid w:val="009F0E07"/>
    <w:rsid w:val="009F0E20"/>
    <w:rsid w:val="009F34D8"/>
    <w:rsid w:val="009F3CB9"/>
    <w:rsid w:val="009F5C4A"/>
    <w:rsid w:val="009F6171"/>
    <w:rsid w:val="009F6703"/>
    <w:rsid w:val="009F71B8"/>
    <w:rsid w:val="00A002B4"/>
    <w:rsid w:val="00A012F3"/>
    <w:rsid w:val="00A029AE"/>
    <w:rsid w:val="00A02E5B"/>
    <w:rsid w:val="00A02FB0"/>
    <w:rsid w:val="00A03DD6"/>
    <w:rsid w:val="00A044A6"/>
    <w:rsid w:val="00A05EF3"/>
    <w:rsid w:val="00A05EF6"/>
    <w:rsid w:val="00A062AD"/>
    <w:rsid w:val="00A07780"/>
    <w:rsid w:val="00A07CDB"/>
    <w:rsid w:val="00A11DF7"/>
    <w:rsid w:val="00A128D1"/>
    <w:rsid w:val="00A131C3"/>
    <w:rsid w:val="00A139A9"/>
    <w:rsid w:val="00A1401B"/>
    <w:rsid w:val="00A140E0"/>
    <w:rsid w:val="00A14CBD"/>
    <w:rsid w:val="00A14CFF"/>
    <w:rsid w:val="00A14EB4"/>
    <w:rsid w:val="00A15560"/>
    <w:rsid w:val="00A15D50"/>
    <w:rsid w:val="00A1690D"/>
    <w:rsid w:val="00A2005D"/>
    <w:rsid w:val="00A21EC5"/>
    <w:rsid w:val="00A222EC"/>
    <w:rsid w:val="00A24B55"/>
    <w:rsid w:val="00A25336"/>
    <w:rsid w:val="00A26436"/>
    <w:rsid w:val="00A26EB5"/>
    <w:rsid w:val="00A273D5"/>
    <w:rsid w:val="00A275D8"/>
    <w:rsid w:val="00A27940"/>
    <w:rsid w:val="00A3098B"/>
    <w:rsid w:val="00A310E0"/>
    <w:rsid w:val="00A3139B"/>
    <w:rsid w:val="00A31D26"/>
    <w:rsid w:val="00A330EC"/>
    <w:rsid w:val="00A33DDB"/>
    <w:rsid w:val="00A34255"/>
    <w:rsid w:val="00A3498B"/>
    <w:rsid w:val="00A35B16"/>
    <w:rsid w:val="00A35C48"/>
    <w:rsid w:val="00A362AF"/>
    <w:rsid w:val="00A362F6"/>
    <w:rsid w:val="00A401C6"/>
    <w:rsid w:val="00A401DF"/>
    <w:rsid w:val="00A40A49"/>
    <w:rsid w:val="00A40F16"/>
    <w:rsid w:val="00A41CA2"/>
    <w:rsid w:val="00A41E32"/>
    <w:rsid w:val="00A428EF"/>
    <w:rsid w:val="00A42E2B"/>
    <w:rsid w:val="00A43463"/>
    <w:rsid w:val="00A437D0"/>
    <w:rsid w:val="00A43EB1"/>
    <w:rsid w:val="00A44B84"/>
    <w:rsid w:val="00A4565A"/>
    <w:rsid w:val="00A45781"/>
    <w:rsid w:val="00A46FF8"/>
    <w:rsid w:val="00A50C7B"/>
    <w:rsid w:val="00A51CE6"/>
    <w:rsid w:val="00A52158"/>
    <w:rsid w:val="00A52E7B"/>
    <w:rsid w:val="00A55AE7"/>
    <w:rsid w:val="00A57874"/>
    <w:rsid w:val="00A579F7"/>
    <w:rsid w:val="00A60DA4"/>
    <w:rsid w:val="00A6135F"/>
    <w:rsid w:val="00A6178B"/>
    <w:rsid w:val="00A63F88"/>
    <w:rsid w:val="00A64723"/>
    <w:rsid w:val="00A65281"/>
    <w:rsid w:val="00A653EF"/>
    <w:rsid w:val="00A65691"/>
    <w:rsid w:val="00A65AD1"/>
    <w:rsid w:val="00A677E2"/>
    <w:rsid w:val="00A706AB"/>
    <w:rsid w:val="00A706D9"/>
    <w:rsid w:val="00A70792"/>
    <w:rsid w:val="00A70BC7"/>
    <w:rsid w:val="00A71558"/>
    <w:rsid w:val="00A7193A"/>
    <w:rsid w:val="00A7271E"/>
    <w:rsid w:val="00A7348C"/>
    <w:rsid w:val="00A73B66"/>
    <w:rsid w:val="00A754DF"/>
    <w:rsid w:val="00A7606D"/>
    <w:rsid w:val="00A763E9"/>
    <w:rsid w:val="00A76D7D"/>
    <w:rsid w:val="00A773C7"/>
    <w:rsid w:val="00A8012E"/>
    <w:rsid w:val="00A815B1"/>
    <w:rsid w:val="00A81B8C"/>
    <w:rsid w:val="00A820CD"/>
    <w:rsid w:val="00A830EE"/>
    <w:rsid w:val="00A8345F"/>
    <w:rsid w:val="00A834D0"/>
    <w:rsid w:val="00A83B81"/>
    <w:rsid w:val="00A84465"/>
    <w:rsid w:val="00A848C4"/>
    <w:rsid w:val="00A84CB0"/>
    <w:rsid w:val="00A84D55"/>
    <w:rsid w:val="00A84F52"/>
    <w:rsid w:val="00A85E67"/>
    <w:rsid w:val="00A90741"/>
    <w:rsid w:val="00A90B32"/>
    <w:rsid w:val="00A91F7B"/>
    <w:rsid w:val="00A93940"/>
    <w:rsid w:val="00A944A6"/>
    <w:rsid w:val="00A94596"/>
    <w:rsid w:val="00A945F1"/>
    <w:rsid w:val="00A9758C"/>
    <w:rsid w:val="00AA0C71"/>
    <w:rsid w:val="00AA20D0"/>
    <w:rsid w:val="00AA2629"/>
    <w:rsid w:val="00AA3ACF"/>
    <w:rsid w:val="00AA4AA3"/>
    <w:rsid w:val="00AA4EE2"/>
    <w:rsid w:val="00AA5DC4"/>
    <w:rsid w:val="00AA6248"/>
    <w:rsid w:val="00AA6FDE"/>
    <w:rsid w:val="00AB02DA"/>
    <w:rsid w:val="00AB0856"/>
    <w:rsid w:val="00AB0F52"/>
    <w:rsid w:val="00AB1AE0"/>
    <w:rsid w:val="00AB1C29"/>
    <w:rsid w:val="00AB4542"/>
    <w:rsid w:val="00AB64DB"/>
    <w:rsid w:val="00AB747D"/>
    <w:rsid w:val="00AB7AE0"/>
    <w:rsid w:val="00AC02F1"/>
    <w:rsid w:val="00AC0B50"/>
    <w:rsid w:val="00AC311F"/>
    <w:rsid w:val="00AC43A4"/>
    <w:rsid w:val="00AC461C"/>
    <w:rsid w:val="00AC46D8"/>
    <w:rsid w:val="00AC4B36"/>
    <w:rsid w:val="00AC5A94"/>
    <w:rsid w:val="00AC5CE1"/>
    <w:rsid w:val="00AC7A01"/>
    <w:rsid w:val="00AC7DE7"/>
    <w:rsid w:val="00AD2164"/>
    <w:rsid w:val="00AD604B"/>
    <w:rsid w:val="00AD6E9F"/>
    <w:rsid w:val="00AE015A"/>
    <w:rsid w:val="00AE068D"/>
    <w:rsid w:val="00AE0697"/>
    <w:rsid w:val="00AE0B62"/>
    <w:rsid w:val="00AE0CF4"/>
    <w:rsid w:val="00AE1444"/>
    <w:rsid w:val="00AE4632"/>
    <w:rsid w:val="00AE5096"/>
    <w:rsid w:val="00AE5261"/>
    <w:rsid w:val="00AE6B7E"/>
    <w:rsid w:val="00AE742E"/>
    <w:rsid w:val="00AE77AA"/>
    <w:rsid w:val="00AF0928"/>
    <w:rsid w:val="00AF17E4"/>
    <w:rsid w:val="00AF1ECA"/>
    <w:rsid w:val="00AF2610"/>
    <w:rsid w:val="00AF4FF5"/>
    <w:rsid w:val="00AF5F62"/>
    <w:rsid w:val="00AF656C"/>
    <w:rsid w:val="00AF6B4C"/>
    <w:rsid w:val="00B00071"/>
    <w:rsid w:val="00B01033"/>
    <w:rsid w:val="00B01562"/>
    <w:rsid w:val="00B019E6"/>
    <w:rsid w:val="00B0220E"/>
    <w:rsid w:val="00B02731"/>
    <w:rsid w:val="00B0362D"/>
    <w:rsid w:val="00B038ED"/>
    <w:rsid w:val="00B03FFD"/>
    <w:rsid w:val="00B05398"/>
    <w:rsid w:val="00B05790"/>
    <w:rsid w:val="00B062C7"/>
    <w:rsid w:val="00B07026"/>
    <w:rsid w:val="00B1013E"/>
    <w:rsid w:val="00B104D7"/>
    <w:rsid w:val="00B10A55"/>
    <w:rsid w:val="00B114DB"/>
    <w:rsid w:val="00B128ED"/>
    <w:rsid w:val="00B12B35"/>
    <w:rsid w:val="00B13F6D"/>
    <w:rsid w:val="00B14E76"/>
    <w:rsid w:val="00B15580"/>
    <w:rsid w:val="00B16249"/>
    <w:rsid w:val="00B16372"/>
    <w:rsid w:val="00B17E6E"/>
    <w:rsid w:val="00B20519"/>
    <w:rsid w:val="00B20A39"/>
    <w:rsid w:val="00B20DCA"/>
    <w:rsid w:val="00B2138F"/>
    <w:rsid w:val="00B22AD2"/>
    <w:rsid w:val="00B22AEB"/>
    <w:rsid w:val="00B2463A"/>
    <w:rsid w:val="00B24D76"/>
    <w:rsid w:val="00B25B86"/>
    <w:rsid w:val="00B25CF4"/>
    <w:rsid w:val="00B31723"/>
    <w:rsid w:val="00B31CCD"/>
    <w:rsid w:val="00B32ADF"/>
    <w:rsid w:val="00B3300B"/>
    <w:rsid w:val="00B35413"/>
    <w:rsid w:val="00B35BFE"/>
    <w:rsid w:val="00B35EF5"/>
    <w:rsid w:val="00B364BE"/>
    <w:rsid w:val="00B37455"/>
    <w:rsid w:val="00B4043C"/>
    <w:rsid w:val="00B4191C"/>
    <w:rsid w:val="00B444EB"/>
    <w:rsid w:val="00B44A25"/>
    <w:rsid w:val="00B44B69"/>
    <w:rsid w:val="00B44D91"/>
    <w:rsid w:val="00B45059"/>
    <w:rsid w:val="00B45FB7"/>
    <w:rsid w:val="00B4623B"/>
    <w:rsid w:val="00B465F3"/>
    <w:rsid w:val="00B468A9"/>
    <w:rsid w:val="00B46C23"/>
    <w:rsid w:val="00B46EC9"/>
    <w:rsid w:val="00B47414"/>
    <w:rsid w:val="00B479DE"/>
    <w:rsid w:val="00B47A5D"/>
    <w:rsid w:val="00B47A80"/>
    <w:rsid w:val="00B5051D"/>
    <w:rsid w:val="00B512D2"/>
    <w:rsid w:val="00B53A8E"/>
    <w:rsid w:val="00B568A1"/>
    <w:rsid w:val="00B56B2D"/>
    <w:rsid w:val="00B57134"/>
    <w:rsid w:val="00B60211"/>
    <w:rsid w:val="00B60B1E"/>
    <w:rsid w:val="00B60C6C"/>
    <w:rsid w:val="00B61914"/>
    <w:rsid w:val="00B61DED"/>
    <w:rsid w:val="00B62793"/>
    <w:rsid w:val="00B62FDE"/>
    <w:rsid w:val="00B63EE8"/>
    <w:rsid w:val="00B64481"/>
    <w:rsid w:val="00B64CC4"/>
    <w:rsid w:val="00B660F7"/>
    <w:rsid w:val="00B70487"/>
    <w:rsid w:val="00B71073"/>
    <w:rsid w:val="00B7147A"/>
    <w:rsid w:val="00B727F9"/>
    <w:rsid w:val="00B74920"/>
    <w:rsid w:val="00B75814"/>
    <w:rsid w:val="00B76AF3"/>
    <w:rsid w:val="00B77019"/>
    <w:rsid w:val="00B77847"/>
    <w:rsid w:val="00B80547"/>
    <w:rsid w:val="00B81F5D"/>
    <w:rsid w:val="00B82424"/>
    <w:rsid w:val="00B844C6"/>
    <w:rsid w:val="00B8528A"/>
    <w:rsid w:val="00B87FD8"/>
    <w:rsid w:val="00B91314"/>
    <w:rsid w:val="00B9160B"/>
    <w:rsid w:val="00B91C0A"/>
    <w:rsid w:val="00B91D32"/>
    <w:rsid w:val="00B923F1"/>
    <w:rsid w:val="00B9392E"/>
    <w:rsid w:val="00B940DA"/>
    <w:rsid w:val="00B94C78"/>
    <w:rsid w:val="00B95D8A"/>
    <w:rsid w:val="00BA2344"/>
    <w:rsid w:val="00BA2882"/>
    <w:rsid w:val="00BA3A83"/>
    <w:rsid w:val="00BA3CD4"/>
    <w:rsid w:val="00BA534B"/>
    <w:rsid w:val="00BA5F3D"/>
    <w:rsid w:val="00BA738A"/>
    <w:rsid w:val="00BA784F"/>
    <w:rsid w:val="00BA7AD4"/>
    <w:rsid w:val="00BB0153"/>
    <w:rsid w:val="00BB0DC3"/>
    <w:rsid w:val="00BB1CF4"/>
    <w:rsid w:val="00BB248A"/>
    <w:rsid w:val="00BB436B"/>
    <w:rsid w:val="00BB4BFD"/>
    <w:rsid w:val="00BB5036"/>
    <w:rsid w:val="00BB5E69"/>
    <w:rsid w:val="00BB7784"/>
    <w:rsid w:val="00BC0B49"/>
    <w:rsid w:val="00BC129D"/>
    <w:rsid w:val="00BC1A7E"/>
    <w:rsid w:val="00BC1EC9"/>
    <w:rsid w:val="00BC2621"/>
    <w:rsid w:val="00BC2A84"/>
    <w:rsid w:val="00BC2DD2"/>
    <w:rsid w:val="00BC3210"/>
    <w:rsid w:val="00BC3663"/>
    <w:rsid w:val="00BC3B0D"/>
    <w:rsid w:val="00BC51E1"/>
    <w:rsid w:val="00BC51E9"/>
    <w:rsid w:val="00BC5999"/>
    <w:rsid w:val="00BC6B88"/>
    <w:rsid w:val="00BD02D7"/>
    <w:rsid w:val="00BD0798"/>
    <w:rsid w:val="00BD1114"/>
    <w:rsid w:val="00BD3525"/>
    <w:rsid w:val="00BD357B"/>
    <w:rsid w:val="00BD3A11"/>
    <w:rsid w:val="00BD3E85"/>
    <w:rsid w:val="00BD4987"/>
    <w:rsid w:val="00BD4BAA"/>
    <w:rsid w:val="00BD4F55"/>
    <w:rsid w:val="00BD5B15"/>
    <w:rsid w:val="00BD66D6"/>
    <w:rsid w:val="00BD778C"/>
    <w:rsid w:val="00BD7C22"/>
    <w:rsid w:val="00BE030B"/>
    <w:rsid w:val="00BE36E5"/>
    <w:rsid w:val="00BE409A"/>
    <w:rsid w:val="00BE5577"/>
    <w:rsid w:val="00BE5F38"/>
    <w:rsid w:val="00BE6854"/>
    <w:rsid w:val="00BE7343"/>
    <w:rsid w:val="00BF00F1"/>
    <w:rsid w:val="00BF11BA"/>
    <w:rsid w:val="00BF25BB"/>
    <w:rsid w:val="00BF5263"/>
    <w:rsid w:val="00C00088"/>
    <w:rsid w:val="00C0083A"/>
    <w:rsid w:val="00C00CEE"/>
    <w:rsid w:val="00C027FA"/>
    <w:rsid w:val="00C03B9E"/>
    <w:rsid w:val="00C03E92"/>
    <w:rsid w:val="00C03FE4"/>
    <w:rsid w:val="00C05765"/>
    <w:rsid w:val="00C062E8"/>
    <w:rsid w:val="00C06C79"/>
    <w:rsid w:val="00C11039"/>
    <w:rsid w:val="00C115D5"/>
    <w:rsid w:val="00C118D6"/>
    <w:rsid w:val="00C11BFA"/>
    <w:rsid w:val="00C141C9"/>
    <w:rsid w:val="00C14428"/>
    <w:rsid w:val="00C15061"/>
    <w:rsid w:val="00C157B4"/>
    <w:rsid w:val="00C15B34"/>
    <w:rsid w:val="00C15BB9"/>
    <w:rsid w:val="00C16794"/>
    <w:rsid w:val="00C16C32"/>
    <w:rsid w:val="00C16F82"/>
    <w:rsid w:val="00C173ED"/>
    <w:rsid w:val="00C17A3D"/>
    <w:rsid w:val="00C17C7D"/>
    <w:rsid w:val="00C17DA4"/>
    <w:rsid w:val="00C17F4F"/>
    <w:rsid w:val="00C203F5"/>
    <w:rsid w:val="00C22779"/>
    <w:rsid w:val="00C22C36"/>
    <w:rsid w:val="00C2312C"/>
    <w:rsid w:val="00C235A6"/>
    <w:rsid w:val="00C2367F"/>
    <w:rsid w:val="00C23828"/>
    <w:rsid w:val="00C26AE4"/>
    <w:rsid w:val="00C26C79"/>
    <w:rsid w:val="00C27CB6"/>
    <w:rsid w:val="00C27FEA"/>
    <w:rsid w:val="00C30B6C"/>
    <w:rsid w:val="00C30DA8"/>
    <w:rsid w:val="00C30DAF"/>
    <w:rsid w:val="00C3208A"/>
    <w:rsid w:val="00C32B9A"/>
    <w:rsid w:val="00C32D36"/>
    <w:rsid w:val="00C330DB"/>
    <w:rsid w:val="00C33386"/>
    <w:rsid w:val="00C34CCB"/>
    <w:rsid w:val="00C36299"/>
    <w:rsid w:val="00C36314"/>
    <w:rsid w:val="00C4089B"/>
    <w:rsid w:val="00C4179D"/>
    <w:rsid w:val="00C423A2"/>
    <w:rsid w:val="00C42906"/>
    <w:rsid w:val="00C43B8F"/>
    <w:rsid w:val="00C43C78"/>
    <w:rsid w:val="00C43F32"/>
    <w:rsid w:val="00C45067"/>
    <w:rsid w:val="00C4590D"/>
    <w:rsid w:val="00C45AB4"/>
    <w:rsid w:val="00C46AB0"/>
    <w:rsid w:val="00C47196"/>
    <w:rsid w:val="00C47953"/>
    <w:rsid w:val="00C47D52"/>
    <w:rsid w:val="00C5054F"/>
    <w:rsid w:val="00C50BDB"/>
    <w:rsid w:val="00C512DC"/>
    <w:rsid w:val="00C52423"/>
    <w:rsid w:val="00C53D79"/>
    <w:rsid w:val="00C54642"/>
    <w:rsid w:val="00C55E15"/>
    <w:rsid w:val="00C56A2A"/>
    <w:rsid w:val="00C56D5C"/>
    <w:rsid w:val="00C56E66"/>
    <w:rsid w:val="00C60727"/>
    <w:rsid w:val="00C61051"/>
    <w:rsid w:val="00C614CB"/>
    <w:rsid w:val="00C61588"/>
    <w:rsid w:val="00C6203B"/>
    <w:rsid w:val="00C623A2"/>
    <w:rsid w:val="00C62BD1"/>
    <w:rsid w:val="00C63F06"/>
    <w:rsid w:val="00C64072"/>
    <w:rsid w:val="00C649B5"/>
    <w:rsid w:val="00C70F62"/>
    <w:rsid w:val="00C71CA7"/>
    <w:rsid w:val="00C71CCC"/>
    <w:rsid w:val="00C72A1F"/>
    <w:rsid w:val="00C73BFE"/>
    <w:rsid w:val="00C73F16"/>
    <w:rsid w:val="00C74E75"/>
    <w:rsid w:val="00C8377A"/>
    <w:rsid w:val="00C84325"/>
    <w:rsid w:val="00C84747"/>
    <w:rsid w:val="00C8573B"/>
    <w:rsid w:val="00C860E6"/>
    <w:rsid w:val="00C86469"/>
    <w:rsid w:val="00C86BD4"/>
    <w:rsid w:val="00C916CF"/>
    <w:rsid w:val="00C92E65"/>
    <w:rsid w:val="00C946C9"/>
    <w:rsid w:val="00C94794"/>
    <w:rsid w:val="00C97EC3"/>
    <w:rsid w:val="00CA0871"/>
    <w:rsid w:val="00CA135B"/>
    <w:rsid w:val="00CA1447"/>
    <w:rsid w:val="00CA42D2"/>
    <w:rsid w:val="00CA531E"/>
    <w:rsid w:val="00CA56E5"/>
    <w:rsid w:val="00CA5F28"/>
    <w:rsid w:val="00CA65B8"/>
    <w:rsid w:val="00CA7180"/>
    <w:rsid w:val="00CA7501"/>
    <w:rsid w:val="00CA759E"/>
    <w:rsid w:val="00CB0366"/>
    <w:rsid w:val="00CB0504"/>
    <w:rsid w:val="00CB172F"/>
    <w:rsid w:val="00CB252A"/>
    <w:rsid w:val="00CB373C"/>
    <w:rsid w:val="00CB4110"/>
    <w:rsid w:val="00CB519A"/>
    <w:rsid w:val="00CB5340"/>
    <w:rsid w:val="00CB63EF"/>
    <w:rsid w:val="00CB7984"/>
    <w:rsid w:val="00CB7DB5"/>
    <w:rsid w:val="00CC0D22"/>
    <w:rsid w:val="00CC158C"/>
    <w:rsid w:val="00CC165E"/>
    <w:rsid w:val="00CC1B00"/>
    <w:rsid w:val="00CC2986"/>
    <w:rsid w:val="00CC335E"/>
    <w:rsid w:val="00CC3509"/>
    <w:rsid w:val="00CC36C4"/>
    <w:rsid w:val="00CC3A64"/>
    <w:rsid w:val="00CC3B36"/>
    <w:rsid w:val="00CC40E1"/>
    <w:rsid w:val="00CC4F7F"/>
    <w:rsid w:val="00CC4FEE"/>
    <w:rsid w:val="00CC54A1"/>
    <w:rsid w:val="00CC632D"/>
    <w:rsid w:val="00CC72C6"/>
    <w:rsid w:val="00CC73FE"/>
    <w:rsid w:val="00CC7CC5"/>
    <w:rsid w:val="00CD0C48"/>
    <w:rsid w:val="00CD1512"/>
    <w:rsid w:val="00CD165D"/>
    <w:rsid w:val="00CD1EF6"/>
    <w:rsid w:val="00CD2078"/>
    <w:rsid w:val="00CD33B2"/>
    <w:rsid w:val="00CD34D2"/>
    <w:rsid w:val="00CD39D3"/>
    <w:rsid w:val="00CD3AD8"/>
    <w:rsid w:val="00CD3E70"/>
    <w:rsid w:val="00CD4497"/>
    <w:rsid w:val="00CD4B05"/>
    <w:rsid w:val="00CD5AE2"/>
    <w:rsid w:val="00CD6264"/>
    <w:rsid w:val="00CD6B7A"/>
    <w:rsid w:val="00CD6D37"/>
    <w:rsid w:val="00CD75BF"/>
    <w:rsid w:val="00CE069A"/>
    <w:rsid w:val="00CE0A4A"/>
    <w:rsid w:val="00CE3C10"/>
    <w:rsid w:val="00CE3E4A"/>
    <w:rsid w:val="00CE4900"/>
    <w:rsid w:val="00CE5E16"/>
    <w:rsid w:val="00CE5FE9"/>
    <w:rsid w:val="00CE6182"/>
    <w:rsid w:val="00CE63CE"/>
    <w:rsid w:val="00CF16A0"/>
    <w:rsid w:val="00CF296F"/>
    <w:rsid w:val="00CF2E82"/>
    <w:rsid w:val="00CF32AF"/>
    <w:rsid w:val="00CF3F6F"/>
    <w:rsid w:val="00CF53BD"/>
    <w:rsid w:val="00CF5F20"/>
    <w:rsid w:val="00CF60B3"/>
    <w:rsid w:val="00CF669D"/>
    <w:rsid w:val="00CF67EF"/>
    <w:rsid w:val="00CF7AD7"/>
    <w:rsid w:val="00D00F1B"/>
    <w:rsid w:val="00D02C49"/>
    <w:rsid w:val="00D039BE"/>
    <w:rsid w:val="00D03C49"/>
    <w:rsid w:val="00D045F6"/>
    <w:rsid w:val="00D04897"/>
    <w:rsid w:val="00D0530B"/>
    <w:rsid w:val="00D0598C"/>
    <w:rsid w:val="00D07805"/>
    <w:rsid w:val="00D078E8"/>
    <w:rsid w:val="00D07F46"/>
    <w:rsid w:val="00D10142"/>
    <w:rsid w:val="00D10BA8"/>
    <w:rsid w:val="00D119A1"/>
    <w:rsid w:val="00D11B32"/>
    <w:rsid w:val="00D12E91"/>
    <w:rsid w:val="00D1338E"/>
    <w:rsid w:val="00D136D9"/>
    <w:rsid w:val="00D14848"/>
    <w:rsid w:val="00D14B04"/>
    <w:rsid w:val="00D15A6C"/>
    <w:rsid w:val="00D160D1"/>
    <w:rsid w:val="00D17A37"/>
    <w:rsid w:val="00D20AD5"/>
    <w:rsid w:val="00D2153B"/>
    <w:rsid w:val="00D21E80"/>
    <w:rsid w:val="00D21F8B"/>
    <w:rsid w:val="00D22747"/>
    <w:rsid w:val="00D2470A"/>
    <w:rsid w:val="00D24FC9"/>
    <w:rsid w:val="00D264FE"/>
    <w:rsid w:val="00D2669F"/>
    <w:rsid w:val="00D27188"/>
    <w:rsid w:val="00D30563"/>
    <w:rsid w:val="00D30840"/>
    <w:rsid w:val="00D311BC"/>
    <w:rsid w:val="00D3250D"/>
    <w:rsid w:val="00D33713"/>
    <w:rsid w:val="00D33920"/>
    <w:rsid w:val="00D345A4"/>
    <w:rsid w:val="00D34D68"/>
    <w:rsid w:val="00D35477"/>
    <w:rsid w:val="00D3590D"/>
    <w:rsid w:val="00D35F9D"/>
    <w:rsid w:val="00D36A42"/>
    <w:rsid w:val="00D40909"/>
    <w:rsid w:val="00D40C59"/>
    <w:rsid w:val="00D41292"/>
    <w:rsid w:val="00D41EB4"/>
    <w:rsid w:val="00D428FC"/>
    <w:rsid w:val="00D431B2"/>
    <w:rsid w:val="00D461A2"/>
    <w:rsid w:val="00D46730"/>
    <w:rsid w:val="00D46BDB"/>
    <w:rsid w:val="00D47458"/>
    <w:rsid w:val="00D474EA"/>
    <w:rsid w:val="00D47A47"/>
    <w:rsid w:val="00D50498"/>
    <w:rsid w:val="00D51BA2"/>
    <w:rsid w:val="00D51BE7"/>
    <w:rsid w:val="00D54722"/>
    <w:rsid w:val="00D554BE"/>
    <w:rsid w:val="00D5629D"/>
    <w:rsid w:val="00D56B5A"/>
    <w:rsid w:val="00D60945"/>
    <w:rsid w:val="00D6141C"/>
    <w:rsid w:val="00D61B2E"/>
    <w:rsid w:val="00D637C1"/>
    <w:rsid w:val="00D6394F"/>
    <w:rsid w:val="00D64809"/>
    <w:rsid w:val="00D64EA1"/>
    <w:rsid w:val="00D64EF6"/>
    <w:rsid w:val="00D65E79"/>
    <w:rsid w:val="00D67406"/>
    <w:rsid w:val="00D71045"/>
    <w:rsid w:val="00D74320"/>
    <w:rsid w:val="00D748FB"/>
    <w:rsid w:val="00D7516B"/>
    <w:rsid w:val="00D7730C"/>
    <w:rsid w:val="00D77A96"/>
    <w:rsid w:val="00D808D8"/>
    <w:rsid w:val="00D83078"/>
    <w:rsid w:val="00D830F9"/>
    <w:rsid w:val="00D85FDE"/>
    <w:rsid w:val="00D87148"/>
    <w:rsid w:val="00D874EC"/>
    <w:rsid w:val="00D87E19"/>
    <w:rsid w:val="00D90D2E"/>
    <w:rsid w:val="00D913A8"/>
    <w:rsid w:val="00D913E3"/>
    <w:rsid w:val="00D91520"/>
    <w:rsid w:val="00D92C31"/>
    <w:rsid w:val="00D92DC1"/>
    <w:rsid w:val="00D9362C"/>
    <w:rsid w:val="00D93877"/>
    <w:rsid w:val="00D94C76"/>
    <w:rsid w:val="00D95BEB"/>
    <w:rsid w:val="00D96062"/>
    <w:rsid w:val="00DA495A"/>
    <w:rsid w:val="00DA585B"/>
    <w:rsid w:val="00DA6EAC"/>
    <w:rsid w:val="00DA7D17"/>
    <w:rsid w:val="00DA7E03"/>
    <w:rsid w:val="00DB0E91"/>
    <w:rsid w:val="00DB1BA0"/>
    <w:rsid w:val="00DB204C"/>
    <w:rsid w:val="00DB6325"/>
    <w:rsid w:val="00DB76F6"/>
    <w:rsid w:val="00DB7FD4"/>
    <w:rsid w:val="00DC0427"/>
    <w:rsid w:val="00DC049B"/>
    <w:rsid w:val="00DC12A8"/>
    <w:rsid w:val="00DC1E6C"/>
    <w:rsid w:val="00DC21A5"/>
    <w:rsid w:val="00DC2AD6"/>
    <w:rsid w:val="00DC2E96"/>
    <w:rsid w:val="00DC30A4"/>
    <w:rsid w:val="00DC4BAE"/>
    <w:rsid w:val="00DC5665"/>
    <w:rsid w:val="00DC5B8F"/>
    <w:rsid w:val="00DC7AAC"/>
    <w:rsid w:val="00DD1A19"/>
    <w:rsid w:val="00DD277A"/>
    <w:rsid w:val="00DD27EF"/>
    <w:rsid w:val="00DD3BDB"/>
    <w:rsid w:val="00DD484A"/>
    <w:rsid w:val="00DD5695"/>
    <w:rsid w:val="00DD5B36"/>
    <w:rsid w:val="00DD72D1"/>
    <w:rsid w:val="00DD7447"/>
    <w:rsid w:val="00DE05DC"/>
    <w:rsid w:val="00DE1016"/>
    <w:rsid w:val="00DE1250"/>
    <w:rsid w:val="00DE2FDE"/>
    <w:rsid w:val="00DE474F"/>
    <w:rsid w:val="00DE4967"/>
    <w:rsid w:val="00DE5435"/>
    <w:rsid w:val="00DE6F74"/>
    <w:rsid w:val="00DE71C1"/>
    <w:rsid w:val="00DE7426"/>
    <w:rsid w:val="00DE7809"/>
    <w:rsid w:val="00DF1A83"/>
    <w:rsid w:val="00DF415E"/>
    <w:rsid w:val="00DF5BE9"/>
    <w:rsid w:val="00DF5CCE"/>
    <w:rsid w:val="00DF7302"/>
    <w:rsid w:val="00E00028"/>
    <w:rsid w:val="00E00A1B"/>
    <w:rsid w:val="00E03E46"/>
    <w:rsid w:val="00E054AC"/>
    <w:rsid w:val="00E05BCC"/>
    <w:rsid w:val="00E05D94"/>
    <w:rsid w:val="00E068E5"/>
    <w:rsid w:val="00E0796F"/>
    <w:rsid w:val="00E10682"/>
    <w:rsid w:val="00E11103"/>
    <w:rsid w:val="00E11675"/>
    <w:rsid w:val="00E11C97"/>
    <w:rsid w:val="00E1282F"/>
    <w:rsid w:val="00E13B18"/>
    <w:rsid w:val="00E13E81"/>
    <w:rsid w:val="00E14950"/>
    <w:rsid w:val="00E152E4"/>
    <w:rsid w:val="00E1540F"/>
    <w:rsid w:val="00E15C16"/>
    <w:rsid w:val="00E15DC5"/>
    <w:rsid w:val="00E174BC"/>
    <w:rsid w:val="00E17C61"/>
    <w:rsid w:val="00E17CB6"/>
    <w:rsid w:val="00E17D24"/>
    <w:rsid w:val="00E20F63"/>
    <w:rsid w:val="00E2232A"/>
    <w:rsid w:val="00E24728"/>
    <w:rsid w:val="00E2497B"/>
    <w:rsid w:val="00E2626F"/>
    <w:rsid w:val="00E2718C"/>
    <w:rsid w:val="00E30620"/>
    <w:rsid w:val="00E306EC"/>
    <w:rsid w:val="00E308DF"/>
    <w:rsid w:val="00E31C03"/>
    <w:rsid w:val="00E31C61"/>
    <w:rsid w:val="00E32380"/>
    <w:rsid w:val="00E32CF5"/>
    <w:rsid w:val="00E32F71"/>
    <w:rsid w:val="00E33366"/>
    <w:rsid w:val="00E4021E"/>
    <w:rsid w:val="00E40782"/>
    <w:rsid w:val="00E40DCA"/>
    <w:rsid w:val="00E4130A"/>
    <w:rsid w:val="00E4245A"/>
    <w:rsid w:val="00E43B1D"/>
    <w:rsid w:val="00E4418B"/>
    <w:rsid w:val="00E44980"/>
    <w:rsid w:val="00E4546D"/>
    <w:rsid w:val="00E45A53"/>
    <w:rsid w:val="00E466A4"/>
    <w:rsid w:val="00E46826"/>
    <w:rsid w:val="00E501DC"/>
    <w:rsid w:val="00E50F73"/>
    <w:rsid w:val="00E5189D"/>
    <w:rsid w:val="00E51FE8"/>
    <w:rsid w:val="00E52BFE"/>
    <w:rsid w:val="00E53BC1"/>
    <w:rsid w:val="00E56995"/>
    <w:rsid w:val="00E56C7A"/>
    <w:rsid w:val="00E61DF7"/>
    <w:rsid w:val="00E6286D"/>
    <w:rsid w:val="00E62A2A"/>
    <w:rsid w:val="00E63021"/>
    <w:rsid w:val="00E633B5"/>
    <w:rsid w:val="00E635D2"/>
    <w:rsid w:val="00E63E8C"/>
    <w:rsid w:val="00E6450A"/>
    <w:rsid w:val="00E645BA"/>
    <w:rsid w:val="00E65526"/>
    <w:rsid w:val="00E65C94"/>
    <w:rsid w:val="00E664A5"/>
    <w:rsid w:val="00E67840"/>
    <w:rsid w:val="00E67D14"/>
    <w:rsid w:val="00E70B58"/>
    <w:rsid w:val="00E73293"/>
    <w:rsid w:val="00E733C7"/>
    <w:rsid w:val="00E73921"/>
    <w:rsid w:val="00E74BD8"/>
    <w:rsid w:val="00E75566"/>
    <w:rsid w:val="00E76E8A"/>
    <w:rsid w:val="00E76E91"/>
    <w:rsid w:val="00E77907"/>
    <w:rsid w:val="00E814E0"/>
    <w:rsid w:val="00E827D1"/>
    <w:rsid w:val="00E83C12"/>
    <w:rsid w:val="00E8513B"/>
    <w:rsid w:val="00E90DAC"/>
    <w:rsid w:val="00E91123"/>
    <w:rsid w:val="00E913B6"/>
    <w:rsid w:val="00E932CB"/>
    <w:rsid w:val="00E93E9D"/>
    <w:rsid w:val="00E95619"/>
    <w:rsid w:val="00E97908"/>
    <w:rsid w:val="00E97F01"/>
    <w:rsid w:val="00EA05E9"/>
    <w:rsid w:val="00EA0AB4"/>
    <w:rsid w:val="00EA0FA8"/>
    <w:rsid w:val="00EA154D"/>
    <w:rsid w:val="00EA1577"/>
    <w:rsid w:val="00EA1D61"/>
    <w:rsid w:val="00EA24D3"/>
    <w:rsid w:val="00EA37C8"/>
    <w:rsid w:val="00EA3847"/>
    <w:rsid w:val="00EA441A"/>
    <w:rsid w:val="00EA668F"/>
    <w:rsid w:val="00EA67BA"/>
    <w:rsid w:val="00EA72F9"/>
    <w:rsid w:val="00EA7A79"/>
    <w:rsid w:val="00EB1569"/>
    <w:rsid w:val="00EB21B9"/>
    <w:rsid w:val="00EB4C49"/>
    <w:rsid w:val="00EB61AC"/>
    <w:rsid w:val="00EB7C7D"/>
    <w:rsid w:val="00EB7CDB"/>
    <w:rsid w:val="00EC130B"/>
    <w:rsid w:val="00EC1354"/>
    <w:rsid w:val="00EC2DE3"/>
    <w:rsid w:val="00EC3EB5"/>
    <w:rsid w:val="00EC440C"/>
    <w:rsid w:val="00EC5EE5"/>
    <w:rsid w:val="00EC601C"/>
    <w:rsid w:val="00EC7850"/>
    <w:rsid w:val="00EC7C97"/>
    <w:rsid w:val="00ED0164"/>
    <w:rsid w:val="00ED40E8"/>
    <w:rsid w:val="00ED42F8"/>
    <w:rsid w:val="00ED4DBF"/>
    <w:rsid w:val="00ED51F6"/>
    <w:rsid w:val="00ED6231"/>
    <w:rsid w:val="00ED6DF4"/>
    <w:rsid w:val="00EE1787"/>
    <w:rsid w:val="00EE1D7B"/>
    <w:rsid w:val="00EE4989"/>
    <w:rsid w:val="00EE6418"/>
    <w:rsid w:val="00EE6948"/>
    <w:rsid w:val="00EE6FB6"/>
    <w:rsid w:val="00EF190A"/>
    <w:rsid w:val="00EF2254"/>
    <w:rsid w:val="00EF2591"/>
    <w:rsid w:val="00EF49FC"/>
    <w:rsid w:val="00EF57CD"/>
    <w:rsid w:val="00F00A66"/>
    <w:rsid w:val="00F01078"/>
    <w:rsid w:val="00F01AFF"/>
    <w:rsid w:val="00F02904"/>
    <w:rsid w:val="00F02F2B"/>
    <w:rsid w:val="00F02F3F"/>
    <w:rsid w:val="00F05C62"/>
    <w:rsid w:val="00F06311"/>
    <w:rsid w:val="00F06650"/>
    <w:rsid w:val="00F075D7"/>
    <w:rsid w:val="00F11CD0"/>
    <w:rsid w:val="00F14BF6"/>
    <w:rsid w:val="00F15BA3"/>
    <w:rsid w:val="00F15BBB"/>
    <w:rsid w:val="00F15CBC"/>
    <w:rsid w:val="00F161D1"/>
    <w:rsid w:val="00F16C94"/>
    <w:rsid w:val="00F16F0A"/>
    <w:rsid w:val="00F17436"/>
    <w:rsid w:val="00F175FA"/>
    <w:rsid w:val="00F17A87"/>
    <w:rsid w:val="00F17DEE"/>
    <w:rsid w:val="00F20005"/>
    <w:rsid w:val="00F20E04"/>
    <w:rsid w:val="00F24040"/>
    <w:rsid w:val="00F2406B"/>
    <w:rsid w:val="00F248EB"/>
    <w:rsid w:val="00F267ED"/>
    <w:rsid w:val="00F3021A"/>
    <w:rsid w:val="00F304D3"/>
    <w:rsid w:val="00F31158"/>
    <w:rsid w:val="00F322D5"/>
    <w:rsid w:val="00F33F22"/>
    <w:rsid w:val="00F34A4A"/>
    <w:rsid w:val="00F34EF3"/>
    <w:rsid w:val="00F3504F"/>
    <w:rsid w:val="00F356DB"/>
    <w:rsid w:val="00F35EAB"/>
    <w:rsid w:val="00F362DF"/>
    <w:rsid w:val="00F36D1B"/>
    <w:rsid w:val="00F428BE"/>
    <w:rsid w:val="00F434A2"/>
    <w:rsid w:val="00F43C8A"/>
    <w:rsid w:val="00F4430D"/>
    <w:rsid w:val="00F4499D"/>
    <w:rsid w:val="00F4515D"/>
    <w:rsid w:val="00F457C9"/>
    <w:rsid w:val="00F45C69"/>
    <w:rsid w:val="00F460C1"/>
    <w:rsid w:val="00F46C83"/>
    <w:rsid w:val="00F47229"/>
    <w:rsid w:val="00F47E89"/>
    <w:rsid w:val="00F50171"/>
    <w:rsid w:val="00F50BDA"/>
    <w:rsid w:val="00F50C52"/>
    <w:rsid w:val="00F51D08"/>
    <w:rsid w:val="00F52549"/>
    <w:rsid w:val="00F5341F"/>
    <w:rsid w:val="00F548F7"/>
    <w:rsid w:val="00F55D49"/>
    <w:rsid w:val="00F56BAF"/>
    <w:rsid w:val="00F56C67"/>
    <w:rsid w:val="00F574FB"/>
    <w:rsid w:val="00F61987"/>
    <w:rsid w:val="00F63FD6"/>
    <w:rsid w:val="00F64654"/>
    <w:rsid w:val="00F646AD"/>
    <w:rsid w:val="00F65E0E"/>
    <w:rsid w:val="00F65F2B"/>
    <w:rsid w:val="00F66071"/>
    <w:rsid w:val="00F66458"/>
    <w:rsid w:val="00F67A9F"/>
    <w:rsid w:val="00F67BB7"/>
    <w:rsid w:val="00F67D3E"/>
    <w:rsid w:val="00F70C98"/>
    <w:rsid w:val="00F71751"/>
    <w:rsid w:val="00F7194A"/>
    <w:rsid w:val="00F730C2"/>
    <w:rsid w:val="00F73C68"/>
    <w:rsid w:val="00F73D70"/>
    <w:rsid w:val="00F7464C"/>
    <w:rsid w:val="00F76D3C"/>
    <w:rsid w:val="00F770C7"/>
    <w:rsid w:val="00F77B50"/>
    <w:rsid w:val="00F819B0"/>
    <w:rsid w:val="00F828F9"/>
    <w:rsid w:val="00F82957"/>
    <w:rsid w:val="00F82E24"/>
    <w:rsid w:val="00F835C2"/>
    <w:rsid w:val="00F846F8"/>
    <w:rsid w:val="00F85067"/>
    <w:rsid w:val="00F8633C"/>
    <w:rsid w:val="00F9209A"/>
    <w:rsid w:val="00F922A6"/>
    <w:rsid w:val="00F93556"/>
    <w:rsid w:val="00F952CE"/>
    <w:rsid w:val="00F95D72"/>
    <w:rsid w:val="00F963E4"/>
    <w:rsid w:val="00F97D10"/>
    <w:rsid w:val="00FA046D"/>
    <w:rsid w:val="00FA09BA"/>
    <w:rsid w:val="00FA1421"/>
    <w:rsid w:val="00FA27DD"/>
    <w:rsid w:val="00FA29FE"/>
    <w:rsid w:val="00FA3893"/>
    <w:rsid w:val="00FA4D40"/>
    <w:rsid w:val="00FA4E6A"/>
    <w:rsid w:val="00FA5A23"/>
    <w:rsid w:val="00FA5E2C"/>
    <w:rsid w:val="00FA67ED"/>
    <w:rsid w:val="00FB1160"/>
    <w:rsid w:val="00FB194F"/>
    <w:rsid w:val="00FB23B8"/>
    <w:rsid w:val="00FB2E66"/>
    <w:rsid w:val="00FB2F5C"/>
    <w:rsid w:val="00FB4085"/>
    <w:rsid w:val="00FB4F2C"/>
    <w:rsid w:val="00FB4FF3"/>
    <w:rsid w:val="00FB50E4"/>
    <w:rsid w:val="00FB6202"/>
    <w:rsid w:val="00FB6B2F"/>
    <w:rsid w:val="00FB6D9A"/>
    <w:rsid w:val="00FB6F5A"/>
    <w:rsid w:val="00FB7034"/>
    <w:rsid w:val="00FC0B73"/>
    <w:rsid w:val="00FC31A4"/>
    <w:rsid w:val="00FC33BE"/>
    <w:rsid w:val="00FC36B9"/>
    <w:rsid w:val="00FC4BFC"/>
    <w:rsid w:val="00FC4D8F"/>
    <w:rsid w:val="00FC656A"/>
    <w:rsid w:val="00FD246C"/>
    <w:rsid w:val="00FD274D"/>
    <w:rsid w:val="00FD290C"/>
    <w:rsid w:val="00FD365D"/>
    <w:rsid w:val="00FD4670"/>
    <w:rsid w:val="00FD59A1"/>
    <w:rsid w:val="00FD6B57"/>
    <w:rsid w:val="00FD6D78"/>
    <w:rsid w:val="00FD6F00"/>
    <w:rsid w:val="00FD7EAF"/>
    <w:rsid w:val="00FE0351"/>
    <w:rsid w:val="00FE060D"/>
    <w:rsid w:val="00FE0858"/>
    <w:rsid w:val="00FE0B1B"/>
    <w:rsid w:val="00FE287C"/>
    <w:rsid w:val="00FE2AC1"/>
    <w:rsid w:val="00FE2CEC"/>
    <w:rsid w:val="00FE3248"/>
    <w:rsid w:val="00FE3BAC"/>
    <w:rsid w:val="00FE50AE"/>
    <w:rsid w:val="00FE61B0"/>
    <w:rsid w:val="00FE6AB4"/>
    <w:rsid w:val="00FE6D95"/>
    <w:rsid w:val="00FE7575"/>
    <w:rsid w:val="00FE7A13"/>
    <w:rsid w:val="00FF073D"/>
    <w:rsid w:val="00FF1D25"/>
    <w:rsid w:val="00FF2254"/>
    <w:rsid w:val="00FF2D99"/>
    <w:rsid w:val="00FF430A"/>
    <w:rsid w:val="00FF560B"/>
    <w:rsid w:val="00FF62BA"/>
    <w:rsid w:val="00FF7059"/>
    <w:rsid w:val="00FF7312"/>
    <w:rsid w:val="00FF7E1C"/>
    <w:rsid w:val="0A9469B8"/>
    <w:rsid w:val="130A6029"/>
    <w:rsid w:val="343E05B7"/>
    <w:rsid w:val="452C656C"/>
    <w:rsid w:val="4A480766"/>
    <w:rsid w:val="51226553"/>
    <w:rsid w:val="63A177AC"/>
    <w:rsid w:val="6BC82EB3"/>
    <w:rsid w:val="75C5557C"/>
    <w:rsid w:val="7CEF1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A454A8-EF30-407A-9710-B0504639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4" w:semiHidden="1" w:qFormat="1"/>
    <w:lsdException w:name="Normal Indent" w:uiPriority="99" w:qFormat="1"/>
    <w:lsdException w:name="annotation text" w:uiPriority="99" w:qFormat="1"/>
    <w:lsdException w:name="header" w:uiPriority="99" w:qFormat="1"/>
    <w:lsdException w:name="footer" w:uiPriority="99" w:qFormat="1"/>
    <w:lsdException w:name="caption"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2" w:qFormat="1"/>
    <w:lsdException w:name="Body Text Indent 2" w:qFormat="1"/>
    <w:lsdException w:name="Body Text Indent 3" w:qFormat="1"/>
    <w:lsdException w:name="Hyperlink" w:uiPriority="99" w:qFormat="1"/>
    <w:lsdException w:name="Strong" w:uiPriority="22" w:qFormat="1"/>
    <w:lsdException w:name="Emphasis" w:qFormat="1"/>
    <w:lsdException w:name="Document Map"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lang w:eastAsia="zh-CN"/>
    </w:rPr>
  </w:style>
  <w:style w:type="paragraph" w:styleId="1">
    <w:name w:val="heading 1"/>
    <w:basedOn w:val="a"/>
    <w:next w:val="a"/>
    <w:link w:val="1Char"/>
    <w:uiPriority w:val="9"/>
    <w:qFormat/>
    <w:pPr>
      <w:keepNext/>
      <w:keepLines/>
      <w:spacing w:before="340" w:after="330" w:line="578" w:lineRule="auto"/>
      <w:outlineLvl w:val="0"/>
    </w:pPr>
    <w:rPr>
      <w:rFonts w:asciiTheme="minorHAnsi" w:eastAsiaTheme="minorEastAsia" w:hAnsiTheme="minorHAnsi" w:cstheme="minorBidi"/>
      <w:b/>
      <w:bCs/>
      <w:kern w:val="44"/>
      <w:sz w:val="44"/>
      <w:szCs w:val="44"/>
    </w:rPr>
  </w:style>
  <w:style w:type="paragraph" w:styleId="2">
    <w:name w:val="heading 2"/>
    <w:basedOn w:val="a"/>
    <w:next w:val="a"/>
    <w:link w:val="2Char"/>
    <w:qFormat/>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snapToGrid w:val="0"/>
      <w:spacing w:line="360" w:lineRule="auto"/>
      <w:ind w:firstLine="420"/>
    </w:pPr>
    <w:rPr>
      <w:sz w:val="28"/>
      <w:szCs w:val="20"/>
    </w:rPr>
  </w:style>
  <w:style w:type="paragraph" w:styleId="a4">
    <w:name w:val="caption"/>
    <w:basedOn w:val="a"/>
    <w:next w:val="a"/>
    <w:autoRedefine/>
    <w:qFormat/>
    <w:pPr>
      <w:spacing w:line="360" w:lineRule="auto"/>
      <w:jc w:val="center"/>
    </w:pPr>
    <w:rPr>
      <w:rFonts w:ascii="宋体" w:hAnsi="宋体"/>
      <w:szCs w:val="21"/>
    </w:rPr>
  </w:style>
  <w:style w:type="paragraph" w:styleId="a5">
    <w:name w:val="Document Map"/>
    <w:basedOn w:val="a"/>
    <w:link w:val="Char"/>
    <w:qFormat/>
    <w:pPr>
      <w:shd w:val="clear" w:color="auto" w:fill="000080"/>
    </w:pPr>
  </w:style>
  <w:style w:type="paragraph" w:styleId="a6">
    <w:name w:val="annotation text"/>
    <w:basedOn w:val="a"/>
    <w:link w:val="Char0"/>
    <w:uiPriority w:val="99"/>
    <w:qFormat/>
    <w:pPr>
      <w:jc w:val="left"/>
    </w:pPr>
  </w:style>
  <w:style w:type="paragraph" w:styleId="a7">
    <w:name w:val="Body Text"/>
    <w:basedOn w:val="a"/>
    <w:link w:val="Char1"/>
    <w:qFormat/>
    <w:rPr>
      <w:rFonts w:ascii="宋体" w:hAnsi="宋体"/>
      <w:sz w:val="18"/>
      <w:lang w:val="zh-CN"/>
    </w:rPr>
  </w:style>
  <w:style w:type="paragraph" w:styleId="a8">
    <w:name w:val="Body Text Indent"/>
    <w:basedOn w:val="a"/>
    <w:qFormat/>
    <w:pPr>
      <w:ind w:firstLine="540"/>
    </w:pPr>
    <w:rPr>
      <w:sz w:val="24"/>
      <w:szCs w:val="20"/>
    </w:rPr>
  </w:style>
  <w:style w:type="paragraph" w:styleId="a9">
    <w:name w:val="Plain Text"/>
    <w:basedOn w:val="a"/>
    <w:link w:val="Char2"/>
    <w:uiPriority w:val="99"/>
    <w:qFormat/>
    <w:rPr>
      <w:rFonts w:ascii="宋体" w:hAnsi="Courier New"/>
      <w:szCs w:val="20"/>
    </w:rPr>
  </w:style>
  <w:style w:type="paragraph" w:styleId="aa">
    <w:name w:val="Date"/>
    <w:basedOn w:val="a"/>
    <w:next w:val="a"/>
    <w:qFormat/>
    <w:rPr>
      <w:rFonts w:ascii="宋体" w:hAnsi="Courier New"/>
      <w:b/>
      <w:color w:val="000000"/>
      <w:spacing w:val="20"/>
      <w:kern w:val="0"/>
      <w:sz w:val="30"/>
      <w:szCs w:val="20"/>
    </w:rPr>
  </w:style>
  <w:style w:type="paragraph" w:styleId="20">
    <w:name w:val="Body Text Indent 2"/>
    <w:basedOn w:val="a"/>
    <w:qFormat/>
    <w:pPr>
      <w:spacing w:after="120" w:line="480" w:lineRule="auto"/>
      <w:ind w:leftChars="200" w:left="420"/>
    </w:pPr>
  </w:style>
  <w:style w:type="paragraph" w:styleId="ab">
    <w:name w:val="Balloon Text"/>
    <w:basedOn w:val="a"/>
    <w:semiHidden/>
    <w:qFormat/>
    <w:rPr>
      <w:sz w:val="18"/>
      <w:szCs w:val="18"/>
    </w:rPr>
  </w:style>
  <w:style w:type="paragraph" w:styleId="ac">
    <w:name w:val="footer"/>
    <w:basedOn w:val="a"/>
    <w:link w:val="Char3"/>
    <w:uiPriority w:val="99"/>
    <w:qFormat/>
    <w:pPr>
      <w:tabs>
        <w:tab w:val="center" w:pos="4153"/>
        <w:tab w:val="right" w:pos="8306"/>
      </w:tabs>
      <w:snapToGrid w:val="0"/>
      <w:jc w:val="left"/>
    </w:pPr>
    <w:rPr>
      <w:sz w:val="18"/>
      <w:szCs w:val="18"/>
    </w:rPr>
  </w:style>
  <w:style w:type="paragraph" w:styleId="ad">
    <w:name w:val="header"/>
    <w:basedOn w:val="a"/>
    <w:link w:val="Char4"/>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pPr>
      <w:tabs>
        <w:tab w:val="right" w:leader="dot" w:pos="7736"/>
      </w:tabs>
      <w:spacing w:line="360" w:lineRule="auto"/>
      <w:jc w:val="center"/>
    </w:pPr>
    <w:rPr>
      <w:rFonts w:cs="Arial"/>
      <w:bCs/>
      <w:caps/>
    </w:rPr>
  </w:style>
  <w:style w:type="paragraph" w:styleId="4">
    <w:name w:val="toc 4"/>
    <w:basedOn w:val="a"/>
    <w:next w:val="a"/>
    <w:autoRedefine/>
    <w:semiHidden/>
    <w:qFormat/>
    <w:pPr>
      <w:ind w:leftChars="600" w:left="1260"/>
    </w:pPr>
  </w:style>
  <w:style w:type="paragraph" w:styleId="ae">
    <w:name w:val="Subtitle"/>
    <w:basedOn w:val="a"/>
    <w:next w:val="a"/>
    <w:link w:val="Char5"/>
    <w:qFormat/>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3">
    <w:name w:val="Body Text Indent 3"/>
    <w:basedOn w:val="a"/>
    <w:qFormat/>
    <w:pPr>
      <w:spacing w:after="120"/>
      <w:ind w:leftChars="200" w:left="420"/>
    </w:pPr>
    <w:rPr>
      <w:sz w:val="16"/>
      <w:szCs w:val="16"/>
    </w:rPr>
  </w:style>
  <w:style w:type="paragraph" w:styleId="21">
    <w:name w:val="Body Text 2"/>
    <w:basedOn w:val="a"/>
    <w:qFormat/>
    <w:pPr>
      <w:spacing w:after="120" w:line="480" w:lineRule="auto"/>
    </w:pPr>
  </w:style>
  <w:style w:type="paragraph" w:styleId="af">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f0">
    <w:name w:val="Title"/>
    <w:basedOn w:val="a"/>
    <w:next w:val="a"/>
    <w:link w:val="Char6"/>
    <w:qFormat/>
    <w:pPr>
      <w:spacing w:before="240" w:after="60"/>
      <w:jc w:val="center"/>
      <w:outlineLvl w:val="0"/>
    </w:pPr>
    <w:rPr>
      <w:rFonts w:asciiTheme="majorHAnsi" w:hAnsiTheme="majorHAnsi" w:cstheme="majorBidi"/>
      <w:b/>
      <w:bCs/>
      <w:sz w:val="32"/>
      <w:szCs w:val="32"/>
    </w:rPr>
  </w:style>
  <w:style w:type="paragraph" w:styleId="af1">
    <w:name w:val="annotation subject"/>
    <w:basedOn w:val="a6"/>
    <w:next w:val="a6"/>
    <w:link w:val="Char7"/>
    <w:qFormat/>
    <w:rPr>
      <w:b/>
      <w:bCs/>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Professional"/>
    <w:basedOn w:val="a1"/>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af4">
    <w:name w:val="Strong"/>
    <w:basedOn w:val="a0"/>
    <w:uiPriority w:val="22"/>
    <w:qFormat/>
    <w:rPr>
      <w:b/>
      <w:bCs/>
    </w:rPr>
  </w:style>
  <w:style w:type="character" w:styleId="af5">
    <w:name w:val="page number"/>
    <w:basedOn w:val="a0"/>
    <w:qFormat/>
  </w:style>
  <w:style w:type="character" w:styleId="af6">
    <w:name w:val="Hyperlink"/>
    <w:uiPriority w:val="99"/>
    <w:qFormat/>
    <w:rPr>
      <w:color w:val="0000FF"/>
      <w:u w:val="single"/>
    </w:rPr>
  </w:style>
  <w:style w:type="character" w:styleId="af7">
    <w:name w:val="annotation reference"/>
    <w:qFormat/>
    <w:rPr>
      <w:sz w:val="21"/>
      <w:szCs w:val="21"/>
    </w:rPr>
  </w:style>
  <w:style w:type="character" w:styleId="af8">
    <w:name w:val="footnote reference"/>
    <w:qFormat/>
    <w:rPr>
      <w:vertAlign w:val="superscript"/>
    </w:rPr>
  </w:style>
  <w:style w:type="character" w:customStyle="1" w:styleId="Char0">
    <w:name w:val="批注文字 Char"/>
    <w:link w:val="a6"/>
    <w:uiPriority w:val="99"/>
    <w:qFormat/>
    <w:rPr>
      <w:rFonts w:eastAsia="宋体"/>
      <w:kern w:val="2"/>
      <w:sz w:val="21"/>
      <w:szCs w:val="24"/>
      <w:lang w:val="en-US" w:eastAsia="zh-CN" w:bidi="ar-SA"/>
    </w:rPr>
  </w:style>
  <w:style w:type="paragraph" w:customStyle="1" w:styleId="11111">
    <w:name w:val="样式 样式 样式 第一级标题 + 段前: 1 行 段后: 1 行 + 段前: 1 行 段后: 1 行 + 段前: 1 行 段后..."/>
    <w:basedOn w:val="a"/>
    <w:qFormat/>
    <w:pPr>
      <w:keepNext/>
      <w:spacing w:beforeLines="100" w:before="100" w:afterLines="100" w:after="100" w:line="360" w:lineRule="auto"/>
      <w:ind w:firstLineChars="200" w:firstLine="200"/>
      <w:outlineLvl w:val="0"/>
    </w:pPr>
    <w:rPr>
      <w:rFonts w:cs="宋体"/>
      <w:b/>
      <w:bCs/>
      <w:sz w:val="30"/>
      <w:szCs w:val="20"/>
    </w:rPr>
  </w:style>
  <w:style w:type="paragraph" w:customStyle="1" w:styleId="af9">
    <w:name w:val="正文正文"/>
    <w:basedOn w:val="a"/>
    <w:qFormat/>
    <w:pPr>
      <w:spacing w:afterLines="25" w:after="25" w:line="360" w:lineRule="auto"/>
      <w:ind w:firstLineChars="200" w:firstLine="200"/>
    </w:pPr>
    <w:rPr>
      <w:sz w:val="24"/>
    </w:rPr>
  </w:style>
  <w:style w:type="paragraph" w:customStyle="1" w:styleId="afa">
    <w:name w:val="第三级标题"/>
    <w:basedOn w:val="af9"/>
    <w:next w:val="af9"/>
    <w:qFormat/>
    <w:pPr>
      <w:keepNext/>
      <w:outlineLvl w:val="2"/>
    </w:pPr>
    <w:rPr>
      <w:b/>
    </w:rPr>
  </w:style>
  <w:style w:type="character" w:customStyle="1" w:styleId="Char7">
    <w:name w:val="批注主题 Char"/>
    <w:link w:val="af1"/>
    <w:qFormat/>
    <w:rPr>
      <w:rFonts w:eastAsia="宋体"/>
      <w:b/>
      <w:bCs/>
      <w:kern w:val="2"/>
      <w:sz w:val="21"/>
      <w:szCs w:val="24"/>
      <w:lang w:val="en-US" w:eastAsia="zh-CN" w:bidi="ar-SA"/>
    </w:rPr>
  </w:style>
  <w:style w:type="character" w:customStyle="1" w:styleId="Char">
    <w:name w:val="文档结构图 Char"/>
    <w:link w:val="a5"/>
    <w:qFormat/>
    <w:rPr>
      <w:rFonts w:eastAsia="宋体"/>
      <w:kern w:val="2"/>
      <w:sz w:val="21"/>
      <w:szCs w:val="24"/>
      <w:lang w:val="en-US" w:eastAsia="zh-CN" w:bidi="ar-SA"/>
    </w:rPr>
  </w:style>
  <w:style w:type="paragraph" w:customStyle="1" w:styleId="Default">
    <w:name w:val="Default"/>
    <w:qFormat/>
    <w:pPr>
      <w:widowControl w:val="0"/>
      <w:autoSpaceDE w:val="0"/>
      <w:autoSpaceDN w:val="0"/>
      <w:adjustRightInd w:val="0"/>
    </w:pPr>
    <w:rPr>
      <w:rFonts w:ascii="宋体" w:cs="宋体"/>
      <w:color w:val="000000"/>
      <w:sz w:val="24"/>
      <w:szCs w:val="24"/>
      <w:lang w:eastAsia="zh-CN"/>
    </w:rPr>
  </w:style>
  <w:style w:type="paragraph" w:customStyle="1" w:styleId="0505205">
    <w:name w:val="样式 样式 样式 第二级标题 + 段前: 0.5 行 段后: 0.5 行 + 首行缩进:  2 字符 段前: 0.5 行 段后:..."/>
    <w:basedOn w:val="a"/>
    <w:qFormat/>
    <w:pPr>
      <w:keepNext/>
      <w:spacing w:beforeLines="50" w:before="50" w:afterLines="50" w:after="50" w:line="360" w:lineRule="auto"/>
      <w:ind w:firstLineChars="200" w:firstLine="200"/>
      <w:outlineLvl w:val="1"/>
    </w:pPr>
    <w:rPr>
      <w:rFonts w:cs="宋体"/>
      <w:b/>
      <w:bCs/>
      <w:sz w:val="28"/>
      <w:szCs w:val="20"/>
    </w:rPr>
  </w:style>
  <w:style w:type="character" w:customStyle="1" w:styleId="read">
    <w:name w:val="read"/>
    <w:basedOn w:val="a0"/>
    <w:qFormat/>
  </w:style>
  <w:style w:type="paragraph" w:customStyle="1" w:styleId="Char8">
    <w:name w:val="Char"/>
    <w:basedOn w:val="a"/>
    <w:qFormat/>
  </w:style>
  <w:style w:type="paragraph" w:customStyle="1" w:styleId="afb">
    <w:name w:val="正文所"/>
    <w:basedOn w:val="a"/>
    <w:qFormat/>
    <w:pPr>
      <w:spacing w:line="360" w:lineRule="auto"/>
      <w:ind w:firstLineChars="200" w:firstLine="420"/>
    </w:pPr>
  </w:style>
  <w:style w:type="character" w:customStyle="1" w:styleId="CharChar3">
    <w:name w:val="Char Char3"/>
    <w:qFormat/>
    <w:rPr>
      <w:rFonts w:eastAsia="宋体"/>
      <w:kern w:val="2"/>
      <w:sz w:val="21"/>
      <w:szCs w:val="24"/>
      <w:lang w:val="en-US" w:eastAsia="zh-CN" w:bidi="ar-SA"/>
    </w:rPr>
  </w:style>
  <w:style w:type="character" w:customStyle="1" w:styleId="CharChar7">
    <w:name w:val="Char Char7"/>
    <w:qFormat/>
    <w:rPr>
      <w:rFonts w:eastAsia="宋体"/>
      <w:kern w:val="2"/>
      <w:sz w:val="21"/>
      <w:lang w:val="en-US" w:eastAsia="zh-CN" w:bidi="ar-SA"/>
    </w:r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宋体"/>
      <w:kern w:val="0"/>
      <w:sz w:val="34"/>
      <w:szCs w:val="20"/>
    </w:rPr>
  </w:style>
  <w:style w:type="character" w:customStyle="1" w:styleId="Char1">
    <w:name w:val="正文文本 Char"/>
    <w:link w:val="a7"/>
    <w:qFormat/>
    <w:rPr>
      <w:rFonts w:ascii="宋体" w:hAnsi="宋体"/>
      <w:kern w:val="2"/>
      <w:sz w:val="18"/>
      <w:szCs w:val="24"/>
    </w:rPr>
  </w:style>
  <w:style w:type="paragraph" w:customStyle="1" w:styleId="11">
    <w:name w:val="修订1"/>
    <w:hidden/>
    <w:uiPriority w:val="99"/>
    <w:semiHidden/>
    <w:qFormat/>
    <w:rPr>
      <w:kern w:val="2"/>
      <w:sz w:val="21"/>
      <w:szCs w:val="24"/>
      <w:lang w:eastAsia="zh-CN"/>
    </w:rPr>
  </w:style>
  <w:style w:type="paragraph" w:styleId="afc">
    <w:name w:val="List Paragraph"/>
    <w:basedOn w:val="a"/>
    <w:uiPriority w:val="34"/>
    <w:qFormat/>
    <w:pPr>
      <w:ind w:firstLineChars="200" w:firstLine="420"/>
    </w:pPr>
    <w:rPr>
      <w:szCs w:val="20"/>
    </w:rPr>
  </w:style>
  <w:style w:type="paragraph" w:customStyle="1" w:styleId="CharChar">
    <w:name w:val="Char Char"/>
    <w:basedOn w:val="a"/>
    <w:qFormat/>
    <w:rPr>
      <w:szCs w:val="20"/>
    </w:rPr>
  </w:style>
  <w:style w:type="character" w:customStyle="1" w:styleId="1Char">
    <w:name w:val="标题 1 Char"/>
    <w:basedOn w:val="a0"/>
    <w:link w:val="1"/>
    <w:uiPriority w:val="9"/>
    <w:qFormat/>
    <w:rPr>
      <w:rFonts w:asciiTheme="minorHAnsi" w:eastAsiaTheme="minorEastAsia" w:hAnsiTheme="minorHAnsi" w:cstheme="minorBidi"/>
      <w:b/>
      <w:bCs/>
      <w:kern w:val="44"/>
      <w:sz w:val="44"/>
      <w:szCs w:val="44"/>
    </w:rPr>
  </w:style>
  <w:style w:type="character" w:customStyle="1" w:styleId="2Char">
    <w:name w:val="标题 2 Char"/>
    <w:basedOn w:val="a0"/>
    <w:link w:val="2"/>
    <w:qFormat/>
    <w:rPr>
      <w:rFonts w:ascii="Arial" w:hAnsi="Arial" w:cs="Arial"/>
      <w:b/>
      <w:bCs/>
      <w:i/>
      <w:iCs/>
      <w:kern w:val="2"/>
      <w:sz w:val="28"/>
      <w:szCs w:val="28"/>
    </w:rPr>
  </w:style>
  <w:style w:type="character" w:customStyle="1" w:styleId="md2">
    <w:name w:val="md2"/>
    <w:qFormat/>
    <w:rPr>
      <w:spacing w:val="300"/>
      <w:sz w:val="21"/>
      <w:szCs w:val="21"/>
    </w:rPr>
  </w:style>
  <w:style w:type="character" w:customStyle="1" w:styleId="dib">
    <w:name w:val="dib"/>
    <w:basedOn w:val="a0"/>
    <w:qFormat/>
  </w:style>
  <w:style w:type="character" w:customStyle="1" w:styleId="tel1">
    <w:name w:val="tel1"/>
    <w:basedOn w:val="a0"/>
    <w:qFormat/>
    <w:rPr>
      <w:sz w:val="21"/>
      <w:szCs w:val="21"/>
    </w:rPr>
  </w:style>
  <w:style w:type="character" w:customStyle="1" w:styleId="num2">
    <w:name w:val="num2"/>
    <w:basedOn w:val="a0"/>
    <w:qFormat/>
  </w:style>
  <w:style w:type="character" w:customStyle="1" w:styleId="iphone3">
    <w:name w:val="iphone3"/>
    <w:basedOn w:val="a0"/>
    <w:qFormat/>
  </w:style>
  <w:style w:type="character" w:customStyle="1" w:styleId="h31">
    <w:name w:val="h31"/>
    <w:basedOn w:val="a0"/>
    <w:qFormat/>
    <w:rPr>
      <w:rFonts w:ascii="inherit" w:hAnsi="inherit" w:hint="default"/>
      <w:sz w:val="32"/>
      <w:szCs w:val="32"/>
    </w:rPr>
  </w:style>
  <w:style w:type="character" w:customStyle="1" w:styleId="text-pur1">
    <w:name w:val="text-pur1"/>
    <w:basedOn w:val="a0"/>
    <w:qFormat/>
    <w:rPr>
      <w:color w:val="7D7D7D"/>
    </w:rPr>
  </w:style>
  <w:style w:type="character" w:customStyle="1" w:styleId="Char2">
    <w:name w:val="纯文本 Char"/>
    <w:link w:val="a9"/>
    <w:uiPriority w:val="99"/>
    <w:qFormat/>
    <w:rPr>
      <w:rFonts w:ascii="宋体" w:hAnsi="Courier New"/>
      <w:kern w:val="2"/>
      <w:sz w:val="21"/>
    </w:rPr>
  </w:style>
  <w:style w:type="character" w:customStyle="1" w:styleId="Char10">
    <w:name w:val="纯文本 Char1"/>
    <w:basedOn w:val="a0"/>
    <w:uiPriority w:val="99"/>
    <w:semiHidden/>
    <w:qFormat/>
    <w:rPr>
      <w:rFonts w:ascii="宋体" w:eastAsia="宋体" w:hAnsi="Courier New" w:cs="Courier New"/>
      <w:szCs w:val="21"/>
    </w:rPr>
  </w:style>
  <w:style w:type="character" w:customStyle="1" w:styleId="Char3">
    <w:name w:val="页脚 Char"/>
    <w:link w:val="ac"/>
    <w:uiPriority w:val="99"/>
    <w:qFormat/>
    <w:rPr>
      <w:kern w:val="2"/>
      <w:sz w:val="18"/>
      <w:szCs w:val="18"/>
    </w:rPr>
  </w:style>
  <w:style w:type="character" w:customStyle="1" w:styleId="Char11">
    <w:name w:val="页脚 Char1"/>
    <w:basedOn w:val="a0"/>
    <w:uiPriority w:val="99"/>
    <w:semiHidden/>
    <w:qFormat/>
    <w:rPr>
      <w:sz w:val="18"/>
      <w:szCs w:val="18"/>
    </w:rPr>
  </w:style>
  <w:style w:type="character" w:customStyle="1" w:styleId="Char4">
    <w:name w:val="页眉 Char"/>
    <w:basedOn w:val="a0"/>
    <w:link w:val="ad"/>
    <w:uiPriority w:val="99"/>
    <w:qFormat/>
    <w:rPr>
      <w:kern w:val="2"/>
      <w:sz w:val="18"/>
      <w:szCs w:val="18"/>
    </w:rPr>
  </w:style>
  <w:style w:type="character" w:customStyle="1" w:styleId="border">
    <w:name w:val="border"/>
    <w:basedOn w:val="a0"/>
    <w:qFormat/>
  </w:style>
  <w:style w:type="character" w:customStyle="1" w:styleId="fontstyle0">
    <w:name w:val="fontstyle0"/>
    <w:basedOn w:val="a0"/>
    <w:qFormat/>
  </w:style>
  <w:style w:type="character" w:customStyle="1" w:styleId="fontstyle1">
    <w:name w:val="fontstyle1"/>
    <w:basedOn w:val="a0"/>
    <w:qFormat/>
  </w:style>
  <w:style w:type="character" w:customStyle="1" w:styleId="apple-converted-space">
    <w:name w:val="apple-converted-space"/>
    <w:basedOn w:val="a0"/>
    <w:qFormat/>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hAnsi="宋体" w:cs="宋体"/>
      <w:kern w:val="0"/>
      <w:sz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hAnsi="宋体" w:cs="宋体"/>
      <w:kern w:val="0"/>
      <w:sz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hAnsi="宋体" w:cs="宋体"/>
      <w:kern w:val="0"/>
      <w:sz w:val="24"/>
    </w:rPr>
  </w:style>
  <w:style w:type="character" w:customStyle="1" w:styleId="Char6">
    <w:name w:val="标题 Char"/>
    <w:basedOn w:val="a0"/>
    <w:link w:val="af0"/>
    <w:qFormat/>
    <w:rPr>
      <w:rFonts w:asciiTheme="majorHAnsi" w:hAnsiTheme="majorHAnsi" w:cstheme="majorBidi"/>
      <w:b/>
      <w:bCs/>
      <w:kern w:val="2"/>
      <w:sz w:val="32"/>
      <w:szCs w:val="32"/>
    </w:rPr>
  </w:style>
  <w:style w:type="character" w:customStyle="1" w:styleId="Char5">
    <w:name w:val="副标题 Char"/>
    <w:basedOn w:val="a0"/>
    <w:link w:val="ae"/>
    <w:qFormat/>
    <w:rPr>
      <w:rFonts w:asciiTheme="minorHAnsi" w:eastAsiaTheme="minorEastAsia" w:hAnsiTheme="minorHAnsi" w:cstheme="minorBidi"/>
      <w:b/>
      <w:bCs/>
      <w:kern w:val="28"/>
      <w:sz w:val="32"/>
      <w:szCs w:val="32"/>
    </w:rPr>
  </w:style>
  <w:style w:type="paragraph" w:customStyle="1" w:styleId="div">
    <w:name w:val="div"/>
    <w:basedOn w:val="a"/>
  </w:style>
  <w:style w:type="paragraph" w:customStyle="1" w:styleId="p">
    <w:name w:val="p"/>
    <w:basedOn w:val="a"/>
  </w:style>
  <w:style w:type="table" w:customStyle="1" w:styleId="table">
    <w:name w:val="table"/>
    <w:basedOn w:val="a1"/>
    <w:tblPr/>
  </w:style>
  <w:style w:type="paragraph" w:styleId="22">
    <w:name w:val="toc 2"/>
    <w:basedOn w:val="a"/>
    <w:next w:val="a"/>
    <w:autoRedefine/>
    <w:uiPriority w:val="39"/>
    <w:rsid w:val="000F3DF7"/>
    <w:pPr>
      <w:spacing w:after="100" w:line="360" w:lineRule="auto"/>
      <w:ind w:left="220"/>
    </w:pPr>
  </w:style>
  <w:style w:type="paragraph" w:styleId="30">
    <w:name w:val="toc 3"/>
    <w:basedOn w:val="a"/>
    <w:next w:val="a"/>
    <w:autoRedefine/>
    <w:uiPriority w:val="39"/>
    <w:rsid w:val="000F3DF7"/>
    <w:pPr>
      <w:spacing w:after="100" w:line="360"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ns10="http://schemas.openxmlformats.org/schemaLibrary/2006/main"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8="urn:schemas-microsoft-com:office:excel" xmlns:o="urn:schemas-microsoft-com:office:office" xmlns:v="urn:schemas-microsoft-com:vm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XSL" StyleName="APA"/>
</file>

<file path=customXml/itemProps1.xml><?xml version="1.0" encoding="utf-8"?>
<ds:datastoreItem xmlns:ds="http://schemas.openxmlformats.org/officeDocument/2006/customXml" ds:itemID="{6EF322B6-18A5-4D3A-BCE6-96BDB141F06E}">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14735</Words>
  <Characters>83995</Characters>
  <Application>Microsoft Office Word</Application>
  <DocSecurity>0</DocSecurity>
  <Lines>699</Lines>
  <Paragraphs>197</Paragraphs>
  <ScaleCrop>false</ScaleCrop>
  <Company/>
  <LinksUpToDate>false</LinksUpToDate>
  <CharactersWithSpaces>98533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赵昌林</cp:lastModifiedBy>
  <cp:revision>1</cp:revision>
  <cp:lastPrinted>2021-03-29T05:52:00Z</cp:lastPrinted>
  <dcterms:created xsi:type="dcterms:W3CDTF">2021-01-04T02:43:00Z</dcterms:created>
  <dcterms:modified xsi:type="dcterms:W3CDTF">2026-10-12T06:41:00Z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
  </property>
  <property fmtid="{D5CDD505-2E9C-101B-9397-08002B2CF9AE}" pid="3" name="KSOProductBuildVer">
    <vt:lpwstr/>
  </property>
  <property fmtid="{D5CDD505-2E9C-101B-9397-08002B2CF9AE}" pid="4" name="KSOTemplateDocerSaveRecord">
    <vt:lpwstr/>
  </property>
</Properties>
</file>