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23F638" w14:textId="77777777" w:rsidR="008B1E3F" w:rsidRDefault="008B1E3F">
      <w:pPr>
        <w:spacing w:line="360" w:lineRule="auto"/>
        <w:ind w:firstLine="723"/>
        <w:rPr>
          <w:b/>
          <w:sz w:val="36"/>
          <w:szCs w:val="36"/>
        </w:rPr>
      </w:pPr>
      <w:bookmarkStart w:id="0" w:name="_GoBack"/>
      <w:bookmarkEnd w:id="0"/>
    </w:p>
    <w:p w14:paraId="2CA96BDB" w14:textId="77777777" w:rsidR="008B1E3F" w:rsidRDefault="008B1E3F">
      <w:pPr>
        <w:spacing w:line="360" w:lineRule="auto"/>
        <w:ind w:firstLine="723"/>
        <w:jc w:val="center"/>
        <w:rPr>
          <w:b/>
          <w:sz w:val="36"/>
          <w:szCs w:val="36"/>
        </w:rPr>
      </w:pPr>
    </w:p>
    <w:p w14:paraId="7A9B7C28" w14:textId="77777777" w:rsidR="008B1E3F" w:rsidRDefault="008B1E3F">
      <w:pPr>
        <w:spacing w:line="360" w:lineRule="auto"/>
        <w:ind w:firstLine="723"/>
        <w:jc w:val="center"/>
        <w:rPr>
          <w:b/>
          <w:sz w:val="36"/>
          <w:szCs w:val="36"/>
        </w:rPr>
      </w:pPr>
    </w:p>
    <w:p w14:paraId="39F7154D" w14:textId="77777777" w:rsidR="008B1E3F" w:rsidRDefault="008B1E3F">
      <w:pPr>
        <w:spacing w:line="360" w:lineRule="auto"/>
        <w:ind w:firstLine="723"/>
        <w:rPr>
          <w:b/>
          <w:sz w:val="36"/>
          <w:szCs w:val="36"/>
        </w:rPr>
      </w:pPr>
    </w:p>
    <w:p w14:paraId="56F8EDBC" w14:textId="77777777" w:rsidR="008B1E3F" w:rsidRDefault="008B1E3F">
      <w:pPr>
        <w:spacing w:line="360" w:lineRule="auto"/>
        <w:ind w:firstLine="723"/>
        <w:rPr>
          <w:b/>
          <w:sz w:val="36"/>
          <w:szCs w:val="36"/>
        </w:rPr>
      </w:pPr>
    </w:p>
    <w:p w14:paraId="26C51912" w14:textId="77777777" w:rsidR="008B1E3F" w:rsidRDefault="008B1E3F">
      <w:pPr>
        <w:spacing w:line="360" w:lineRule="auto"/>
        <w:ind w:firstLine="723"/>
        <w:rPr>
          <w:b/>
          <w:sz w:val="36"/>
          <w:szCs w:val="36"/>
        </w:rPr>
      </w:pPr>
    </w:p>
    <w:p w14:paraId="271A69A8" w14:textId="77777777" w:rsidR="008B1E3F" w:rsidRDefault="005B0A08">
      <w:pPr>
        <w:jc w:val="center"/>
        <w:rPr>
          <w:rFonts w:eastAsia="黑体"/>
          <w:b/>
          <w:bCs/>
          <w:sz w:val="52"/>
          <w:szCs w:val="52"/>
        </w:rPr>
      </w:pPr>
      <w:r>
        <w:rPr>
          <w:rFonts w:eastAsia="黑体" w:hint="eastAsia"/>
          <w:b/>
          <w:bCs/>
          <w:sz w:val="52"/>
          <w:szCs w:val="52"/>
        </w:rPr>
        <w:t>华商竞争优势混合型证券投资基金</w:t>
      </w:r>
    </w:p>
    <w:p w14:paraId="546C5536" w14:textId="77777777" w:rsidR="008B1E3F" w:rsidRDefault="005B0A08">
      <w:pPr>
        <w:jc w:val="center"/>
        <w:rPr>
          <w:rFonts w:eastAsia="黑体"/>
          <w:b/>
          <w:bCs/>
          <w:sz w:val="52"/>
          <w:szCs w:val="52"/>
        </w:rPr>
      </w:pPr>
      <w:r>
        <w:rPr>
          <w:rFonts w:eastAsia="黑体" w:hint="eastAsia"/>
          <w:b/>
          <w:bCs/>
          <w:sz w:val="52"/>
          <w:szCs w:val="52"/>
        </w:rPr>
        <w:t>基金</w:t>
      </w:r>
      <w:r>
        <w:rPr>
          <w:rFonts w:eastAsia="黑体"/>
          <w:b/>
          <w:bCs/>
          <w:sz w:val="52"/>
          <w:szCs w:val="52"/>
        </w:rPr>
        <w:t>份额发售公告</w:t>
      </w:r>
    </w:p>
    <w:p w14:paraId="5B0DCEDC" w14:textId="77777777" w:rsidR="008B1E3F" w:rsidRDefault="008B1E3F">
      <w:pPr>
        <w:ind w:firstLine="883"/>
        <w:rPr>
          <w:rFonts w:eastAsia="黑体"/>
          <w:b/>
          <w:bCs/>
          <w:sz w:val="44"/>
          <w:szCs w:val="44"/>
        </w:rPr>
      </w:pPr>
    </w:p>
    <w:p w14:paraId="3BC5AA62" w14:textId="77777777" w:rsidR="008B1E3F" w:rsidRDefault="008B1E3F">
      <w:pPr>
        <w:ind w:firstLine="883"/>
        <w:rPr>
          <w:rFonts w:eastAsia="黑体"/>
          <w:b/>
          <w:bCs/>
          <w:sz w:val="44"/>
          <w:szCs w:val="44"/>
        </w:rPr>
      </w:pPr>
    </w:p>
    <w:p w14:paraId="292650FD" w14:textId="77777777" w:rsidR="008B1E3F" w:rsidRDefault="008B1E3F">
      <w:pPr>
        <w:ind w:firstLine="883"/>
        <w:rPr>
          <w:rFonts w:eastAsia="黑体"/>
          <w:b/>
          <w:bCs/>
          <w:sz w:val="44"/>
          <w:szCs w:val="44"/>
        </w:rPr>
      </w:pPr>
    </w:p>
    <w:p w14:paraId="3DFDB627" w14:textId="77777777" w:rsidR="008B1E3F" w:rsidRDefault="008B1E3F">
      <w:pPr>
        <w:ind w:firstLine="883"/>
        <w:jc w:val="center"/>
        <w:rPr>
          <w:rFonts w:eastAsia="黑体"/>
          <w:b/>
          <w:bCs/>
          <w:sz w:val="44"/>
          <w:szCs w:val="44"/>
        </w:rPr>
      </w:pPr>
    </w:p>
    <w:p w14:paraId="4941D181" w14:textId="77777777" w:rsidR="008B1E3F" w:rsidRDefault="008B1E3F">
      <w:pPr>
        <w:ind w:firstLine="883"/>
        <w:rPr>
          <w:rFonts w:eastAsia="黑体"/>
          <w:b/>
          <w:bCs/>
          <w:sz w:val="44"/>
          <w:szCs w:val="44"/>
        </w:rPr>
      </w:pPr>
    </w:p>
    <w:p w14:paraId="7D0F2BCF" w14:textId="77777777" w:rsidR="008B1E3F" w:rsidRDefault="008B1E3F">
      <w:pPr>
        <w:ind w:firstLine="883"/>
        <w:rPr>
          <w:rFonts w:eastAsia="黑体"/>
          <w:b/>
          <w:bCs/>
          <w:sz w:val="44"/>
          <w:szCs w:val="44"/>
        </w:rPr>
      </w:pPr>
    </w:p>
    <w:p w14:paraId="4A109E42" w14:textId="77777777" w:rsidR="008B1E3F" w:rsidRDefault="005B0A08">
      <w:pPr>
        <w:spacing w:line="360" w:lineRule="auto"/>
        <w:ind w:firstLineChars="800" w:firstLine="1928"/>
        <w:rPr>
          <w:b/>
          <w:sz w:val="24"/>
        </w:rPr>
      </w:pPr>
      <w:r>
        <w:rPr>
          <w:b/>
          <w:sz w:val="24"/>
        </w:rPr>
        <w:t>基金管理人：华商基金管理有限公司</w:t>
      </w:r>
    </w:p>
    <w:p w14:paraId="7A941FC4" w14:textId="77777777" w:rsidR="008B1E3F" w:rsidRDefault="005B0A08">
      <w:pPr>
        <w:spacing w:line="360" w:lineRule="auto"/>
        <w:ind w:firstLineChars="800" w:firstLine="1928"/>
        <w:rPr>
          <w:b/>
          <w:sz w:val="24"/>
        </w:rPr>
      </w:pPr>
      <w:r>
        <w:rPr>
          <w:b/>
          <w:sz w:val="24"/>
        </w:rPr>
        <w:t>基金托管人：</w:t>
      </w:r>
      <w:r>
        <w:rPr>
          <w:rFonts w:hint="eastAsia"/>
          <w:b/>
          <w:sz w:val="24"/>
        </w:rPr>
        <w:t>中国工商银行股份有限公司</w:t>
      </w:r>
    </w:p>
    <w:p w14:paraId="1F93A195" w14:textId="77777777" w:rsidR="008B1E3F" w:rsidRDefault="005B0A08">
      <w:pPr>
        <w:spacing w:line="360" w:lineRule="auto"/>
        <w:ind w:firstLineChars="800" w:firstLine="1928"/>
        <w:rPr>
          <w:b/>
          <w:sz w:val="24"/>
        </w:rPr>
        <w:sectPr w:rsidR="008B1E3F">
          <w:footerReference w:type="even" r:id="rId8"/>
          <w:footerReference w:type="default" r:id="rId9"/>
          <w:pgSz w:w="11906" w:h="16838"/>
          <w:pgMar w:top="1440" w:right="1800" w:bottom="1440" w:left="1800" w:header="851" w:footer="992" w:gutter="0"/>
          <w:cols w:space="425"/>
          <w:docGrid w:type="lines" w:linePitch="312"/>
        </w:sectPr>
      </w:pPr>
      <w:r>
        <w:rPr>
          <w:rFonts w:hint="eastAsia"/>
          <w:b/>
          <w:sz w:val="24"/>
        </w:rPr>
        <w:t>发售时间：</w:t>
      </w:r>
      <w:r>
        <w:rPr>
          <w:b/>
          <w:sz w:val="24"/>
        </w:rPr>
        <w:t>2026</w:t>
      </w:r>
      <w:r>
        <w:rPr>
          <w:b/>
          <w:sz w:val="24"/>
        </w:rPr>
        <w:t>年</w:t>
      </w:r>
      <w:r>
        <w:rPr>
          <w:b/>
          <w:sz w:val="24"/>
        </w:rPr>
        <w:t>10</w:t>
      </w:r>
      <w:r>
        <w:rPr>
          <w:b/>
          <w:sz w:val="24"/>
        </w:rPr>
        <w:t>月</w:t>
      </w:r>
      <w:r>
        <w:rPr>
          <w:b/>
          <w:sz w:val="24"/>
        </w:rPr>
        <w:t>19</w:t>
      </w:r>
      <w:r>
        <w:rPr>
          <w:b/>
          <w:sz w:val="24"/>
        </w:rPr>
        <w:t>日至</w:t>
      </w:r>
      <w:r>
        <w:rPr>
          <w:b/>
          <w:sz w:val="24"/>
        </w:rPr>
        <w:t>2026</w:t>
      </w:r>
      <w:r>
        <w:rPr>
          <w:b/>
          <w:sz w:val="24"/>
        </w:rPr>
        <w:t>年</w:t>
      </w:r>
      <w:r>
        <w:rPr>
          <w:b/>
          <w:sz w:val="24"/>
        </w:rPr>
        <w:t>10</w:t>
      </w:r>
      <w:r>
        <w:rPr>
          <w:b/>
          <w:sz w:val="24"/>
        </w:rPr>
        <w:t>月</w:t>
      </w:r>
      <w:r>
        <w:rPr>
          <w:b/>
          <w:sz w:val="24"/>
        </w:rPr>
        <w:t>30</w:t>
      </w:r>
      <w:r>
        <w:rPr>
          <w:b/>
          <w:sz w:val="24"/>
        </w:rPr>
        <w:t>日</w:t>
      </w:r>
    </w:p>
    <w:p w14:paraId="7DAAA2DF" w14:textId="77777777" w:rsidR="008B1E3F" w:rsidRDefault="005B0A08">
      <w:pPr>
        <w:tabs>
          <w:tab w:val="left" w:pos="7350"/>
        </w:tabs>
        <w:autoSpaceDE w:val="0"/>
        <w:autoSpaceDN w:val="0"/>
        <w:adjustRightInd w:val="0"/>
        <w:spacing w:line="360" w:lineRule="auto"/>
        <w:ind w:firstLine="562"/>
        <w:jc w:val="center"/>
        <w:rPr>
          <w:b/>
          <w:sz w:val="28"/>
          <w:szCs w:val="28"/>
        </w:rPr>
      </w:pPr>
      <w:r>
        <w:rPr>
          <w:rFonts w:hint="eastAsia"/>
          <w:b/>
          <w:sz w:val="28"/>
          <w:szCs w:val="28"/>
        </w:rPr>
        <w:lastRenderedPageBreak/>
        <w:t>【</w:t>
      </w:r>
      <w:r>
        <w:rPr>
          <w:b/>
          <w:sz w:val="28"/>
          <w:szCs w:val="28"/>
        </w:rPr>
        <w:t>重要提示</w:t>
      </w:r>
      <w:r>
        <w:rPr>
          <w:rFonts w:hint="eastAsia"/>
          <w:b/>
          <w:sz w:val="28"/>
          <w:szCs w:val="28"/>
        </w:rPr>
        <w:t>】</w:t>
      </w:r>
    </w:p>
    <w:p w14:paraId="16374BBC" w14:textId="77777777" w:rsidR="008B1E3F" w:rsidRDefault="005B0A08">
      <w:pPr>
        <w:spacing w:line="360" w:lineRule="auto"/>
        <w:ind w:firstLineChars="200" w:firstLine="480"/>
        <w:rPr>
          <w:bCs/>
          <w:sz w:val="24"/>
        </w:rPr>
      </w:pPr>
      <w:r>
        <w:rPr>
          <w:bCs/>
          <w:sz w:val="24"/>
        </w:rPr>
        <w:t>1.</w:t>
      </w:r>
      <w:r>
        <w:rPr>
          <w:rFonts w:hint="eastAsia"/>
          <w:bCs/>
          <w:sz w:val="24"/>
        </w:rPr>
        <w:t>华商竞争优势混合型证券投资基金（以下简称</w:t>
      </w:r>
      <w:r>
        <w:rPr>
          <w:bCs/>
          <w:sz w:val="24"/>
        </w:rPr>
        <w:t>“</w:t>
      </w:r>
      <w:r>
        <w:rPr>
          <w:rFonts w:hint="eastAsia"/>
          <w:bCs/>
          <w:sz w:val="24"/>
        </w:rPr>
        <w:t>本基金</w:t>
      </w:r>
      <w:r>
        <w:rPr>
          <w:bCs/>
          <w:sz w:val="24"/>
        </w:rPr>
        <w:t>”</w:t>
      </w:r>
      <w:r>
        <w:rPr>
          <w:rFonts w:hint="eastAsia"/>
          <w:bCs/>
          <w:sz w:val="24"/>
        </w:rPr>
        <w:t>）经中国证监会</w:t>
      </w:r>
      <w:r>
        <w:rPr>
          <w:bCs/>
          <w:sz w:val="24"/>
        </w:rPr>
        <w:t>2026</w:t>
      </w:r>
      <w:r>
        <w:rPr>
          <w:bCs/>
          <w:sz w:val="24"/>
        </w:rPr>
        <w:t>年</w:t>
      </w:r>
      <w:r>
        <w:rPr>
          <w:bCs/>
          <w:sz w:val="24"/>
        </w:rPr>
        <w:t>7</w:t>
      </w:r>
      <w:r>
        <w:rPr>
          <w:bCs/>
          <w:sz w:val="24"/>
        </w:rPr>
        <w:t>月</w:t>
      </w:r>
      <w:r>
        <w:rPr>
          <w:bCs/>
          <w:sz w:val="24"/>
        </w:rPr>
        <w:t>31</w:t>
      </w:r>
      <w:r>
        <w:rPr>
          <w:bCs/>
          <w:sz w:val="24"/>
        </w:rPr>
        <w:t>日证监许可</w:t>
      </w:r>
      <w:r>
        <w:rPr>
          <w:bCs/>
          <w:sz w:val="24"/>
        </w:rPr>
        <w:t>[2026]1998</w:t>
      </w:r>
      <w:r>
        <w:rPr>
          <w:bCs/>
          <w:sz w:val="24"/>
        </w:rPr>
        <w:t>号文注册</w:t>
      </w:r>
      <w:r>
        <w:rPr>
          <w:rFonts w:hint="eastAsia"/>
          <w:bCs/>
          <w:sz w:val="24"/>
        </w:rPr>
        <w:t>。但中国证监会对本基金募集的注册，</w:t>
      </w:r>
      <w:r>
        <w:rPr>
          <w:sz w:val="24"/>
        </w:rPr>
        <w:t>并不表明其对本基金的</w:t>
      </w:r>
      <w:r>
        <w:rPr>
          <w:rFonts w:hint="eastAsia"/>
          <w:sz w:val="24"/>
        </w:rPr>
        <w:t>投资</w:t>
      </w:r>
      <w:r>
        <w:rPr>
          <w:sz w:val="24"/>
        </w:rPr>
        <w:t>价值</w:t>
      </w:r>
      <w:r>
        <w:rPr>
          <w:rFonts w:hint="eastAsia"/>
          <w:sz w:val="24"/>
        </w:rPr>
        <w:t>、市场前景、风险和收益</w:t>
      </w:r>
      <w:r>
        <w:rPr>
          <w:sz w:val="24"/>
        </w:rPr>
        <w:t>作出实质性判断</w:t>
      </w:r>
      <w:r>
        <w:rPr>
          <w:rFonts w:hint="eastAsia"/>
          <w:sz w:val="24"/>
        </w:rPr>
        <w:t>、推荐</w:t>
      </w:r>
      <w:r>
        <w:rPr>
          <w:sz w:val="24"/>
        </w:rPr>
        <w:t>或保证，也不表明投资于本基金没有风险</w:t>
      </w:r>
      <w:r>
        <w:rPr>
          <w:rFonts w:hint="eastAsia"/>
          <w:bCs/>
          <w:sz w:val="24"/>
        </w:rPr>
        <w:t>。</w:t>
      </w:r>
    </w:p>
    <w:p w14:paraId="4DB82F65" w14:textId="77777777" w:rsidR="008B1E3F" w:rsidRDefault="005B0A08">
      <w:pPr>
        <w:autoSpaceDE w:val="0"/>
        <w:autoSpaceDN w:val="0"/>
        <w:adjustRightInd w:val="0"/>
        <w:spacing w:line="360" w:lineRule="auto"/>
        <w:ind w:firstLineChars="200" w:firstLine="480"/>
        <w:rPr>
          <w:color w:val="000000"/>
          <w:kern w:val="0"/>
          <w:sz w:val="24"/>
        </w:rPr>
      </w:pPr>
      <w:r>
        <w:rPr>
          <w:bCs/>
          <w:sz w:val="24"/>
        </w:rPr>
        <w:t>2.</w:t>
      </w:r>
      <w:r>
        <w:rPr>
          <w:rFonts w:hint="eastAsia"/>
          <w:bCs/>
          <w:sz w:val="24"/>
        </w:rPr>
        <w:t>本基金为混合型基金，其预期收益和风险高于货币市场基金和债券型基金。本基金除了投资</w:t>
      </w:r>
      <w:r>
        <w:rPr>
          <w:rFonts w:hint="eastAsia"/>
          <w:bCs/>
          <w:sz w:val="24"/>
        </w:rPr>
        <w:t>A</w:t>
      </w:r>
      <w:r>
        <w:rPr>
          <w:rFonts w:hint="eastAsia"/>
          <w:bCs/>
          <w:sz w:val="24"/>
        </w:rPr>
        <w:t>股以外，还可以根据法律法规规定投资港股通标的股票。本基金若投资港股通标的股票，将面临港股通机制下因投资环境、投资标的、市场制度以及交易规则等差异带来的特有风险</w:t>
      </w:r>
      <w:r>
        <w:rPr>
          <w:rFonts w:hint="eastAsia"/>
          <w:color w:val="000000"/>
          <w:kern w:val="0"/>
          <w:sz w:val="24"/>
        </w:rPr>
        <w:t>。</w:t>
      </w:r>
    </w:p>
    <w:p w14:paraId="358B984E" w14:textId="77777777" w:rsidR="008B1E3F" w:rsidRDefault="005B0A08">
      <w:pPr>
        <w:autoSpaceDE w:val="0"/>
        <w:autoSpaceDN w:val="0"/>
        <w:adjustRightInd w:val="0"/>
        <w:spacing w:line="360" w:lineRule="auto"/>
        <w:ind w:firstLineChars="200" w:firstLine="480"/>
        <w:rPr>
          <w:color w:val="000000"/>
          <w:kern w:val="0"/>
          <w:sz w:val="24"/>
        </w:rPr>
      </w:pPr>
      <w:r>
        <w:rPr>
          <w:sz w:val="24"/>
        </w:rPr>
        <w:t>本基金投资于证券市场，基金净值会因为证券市场波动等因素产生波动，投资者</w:t>
      </w:r>
      <w:r>
        <w:rPr>
          <w:rFonts w:hint="eastAsia"/>
          <w:sz w:val="24"/>
        </w:rPr>
        <w:t>在投资本基金前，应全面了解本基金的产品特性，理性判断市场，</w:t>
      </w:r>
      <w:r>
        <w:rPr>
          <w:sz w:val="24"/>
        </w:rPr>
        <w:t>根据所持有的基金份额享受基金收益，同时承担相应的投资风险。本基金投资中的风险包括：因整体政治、经济、社会等环境因素对证券市场价格产生影响而形成的系统性风险，个别证券特有的非系统性风险，由于基金份额持有人连续大量赎回基金产生的流动性风险</w:t>
      </w:r>
      <w:r>
        <w:rPr>
          <w:rFonts w:hint="eastAsia"/>
          <w:sz w:val="24"/>
        </w:rPr>
        <w:t>、特定投资标的流动性较差风险、启用摆动定价或侧袋机制等流动性风险管理工具带来的风险等</w:t>
      </w:r>
      <w:r>
        <w:rPr>
          <w:sz w:val="24"/>
        </w:rPr>
        <w:t>，基金管理人在基金管理实施过程中产生的</w:t>
      </w:r>
      <w:r>
        <w:rPr>
          <w:rFonts w:hint="eastAsia"/>
          <w:sz w:val="24"/>
        </w:rPr>
        <w:t>基金</w:t>
      </w:r>
      <w:r>
        <w:rPr>
          <w:sz w:val="24"/>
        </w:rPr>
        <w:t>管理风险，本基金的特定风</w:t>
      </w:r>
      <w:r>
        <w:rPr>
          <w:sz w:val="24"/>
        </w:rPr>
        <w:t>险等</w:t>
      </w:r>
      <w:r>
        <w:rPr>
          <w:rFonts w:hint="eastAsia"/>
          <w:color w:val="000000"/>
          <w:kern w:val="0"/>
          <w:sz w:val="24"/>
        </w:rPr>
        <w:t>。</w:t>
      </w:r>
    </w:p>
    <w:p w14:paraId="4B9C9849" w14:textId="77777777" w:rsidR="008B1E3F" w:rsidRDefault="005B0A08">
      <w:pPr>
        <w:autoSpaceDE w:val="0"/>
        <w:autoSpaceDN w:val="0"/>
        <w:adjustRightInd w:val="0"/>
        <w:spacing w:line="360" w:lineRule="auto"/>
        <w:ind w:firstLineChars="200" w:firstLine="480"/>
        <w:rPr>
          <w:bCs/>
          <w:sz w:val="24"/>
        </w:rPr>
      </w:pPr>
      <w:r>
        <w:rPr>
          <w:rFonts w:hint="eastAsia"/>
          <w:bCs/>
          <w:sz w:val="24"/>
        </w:rPr>
        <w:t>本基金若投资内地与</w:t>
      </w:r>
      <w:r>
        <w:rPr>
          <w:bCs/>
          <w:sz w:val="24"/>
        </w:rPr>
        <w:t>香港</w:t>
      </w:r>
      <w:r>
        <w:rPr>
          <w:rFonts w:hint="eastAsia"/>
          <w:bCs/>
          <w:sz w:val="24"/>
        </w:rPr>
        <w:t>股票市场交易互联互通机制（以下简称“港股通机制”）允许买卖的规定范围内的香港联合交易所上市的股票的，会面临港股通机制下因投资环境、投资标的、市场制度以及交易规则等差异带来的特有风险，包括港股市场股价波动较大的风险（港股市场实行</w:t>
      </w:r>
      <w:r>
        <w:rPr>
          <w:rFonts w:hint="eastAsia"/>
          <w:bCs/>
          <w:sz w:val="24"/>
        </w:rPr>
        <w:t>T+0</w:t>
      </w:r>
      <w:r>
        <w:rPr>
          <w:rFonts w:hint="eastAsia"/>
          <w:bCs/>
          <w:sz w:val="24"/>
        </w:rPr>
        <w:t>回转交易，且对个股不设涨跌幅限制，港股股价可能表现出比</w:t>
      </w:r>
      <w:r>
        <w:rPr>
          <w:rFonts w:hint="eastAsia"/>
          <w:bCs/>
          <w:sz w:val="24"/>
        </w:rPr>
        <w:t>A</w:t>
      </w:r>
      <w:r>
        <w:rPr>
          <w:rFonts w:hint="eastAsia"/>
          <w:bCs/>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w:t>
      </w:r>
      <w:r>
        <w:rPr>
          <w:rFonts w:hint="eastAsia"/>
          <w:bCs/>
          <w:sz w:val="24"/>
        </w:rPr>
        <w:t>流动性风险）等。</w:t>
      </w:r>
    </w:p>
    <w:p w14:paraId="3271E3BD" w14:textId="77777777" w:rsidR="008B1E3F" w:rsidRDefault="005B0A08">
      <w:pPr>
        <w:autoSpaceDE w:val="0"/>
        <w:autoSpaceDN w:val="0"/>
        <w:adjustRightInd w:val="0"/>
        <w:spacing w:line="360" w:lineRule="auto"/>
        <w:ind w:firstLineChars="200" w:firstLine="480"/>
        <w:rPr>
          <w:sz w:val="24"/>
        </w:rPr>
      </w:pPr>
      <w:r>
        <w:rPr>
          <w:rFonts w:hint="eastAsia"/>
          <w:sz w:val="24"/>
        </w:rPr>
        <w:t>本基金投资于资产支持证券，基金管理人虽然已制定了投资决策流程和风险控制制度，但本基金仍将面临资产支持证券所特有的信用风险、利率风险、流动性风险、提前偿付风险、操作风险和法律风险等各种风险。</w:t>
      </w:r>
    </w:p>
    <w:p w14:paraId="37F089F1" w14:textId="77777777" w:rsidR="008B1E3F" w:rsidRDefault="005B0A08">
      <w:pPr>
        <w:autoSpaceDE w:val="0"/>
        <w:autoSpaceDN w:val="0"/>
        <w:adjustRightInd w:val="0"/>
        <w:spacing w:line="360" w:lineRule="auto"/>
        <w:ind w:firstLineChars="200" w:firstLine="480"/>
        <w:rPr>
          <w:sz w:val="24"/>
        </w:rPr>
      </w:pPr>
      <w:r>
        <w:rPr>
          <w:rFonts w:hint="eastAsia"/>
          <w:sz w:val="24"/>
        </w:rPr>
        <w:t>本基金可投资股指期货、国债期货等金融衍生品，金融衍生品是一种金融合</w:t>
      </w:r>
      <w:r>
        <w:rPr>
          <w:rFonts w:hint="eastAsia"/>
          <w:sz w:val="24"/>
        </w:rPr>
        <w:lastRenderedPageBreak/>
        <w:t>约，其价值取决于一种或多种基础资产或指数，其评价主要源自于对挂钩资产的价格与价格波动的预期。本基金投资于金融衍生品需承受市场风险、信用风险、流动性风险、操作风险和法律风险等。</w:t>
      </w:r>
    </w:p>
    <w:p w14:paraId="48D7EB72" w14:textId="77777777" w:rsidR="008B1E3F" w:rsidRDefault="005B0A08">
      <w:pPr>
        <w:autoSpaceDE w:val="0"/>
        <w:autoSpaceDN w:val="0"/>
        <w:adjustRightInd w:val="0"/>
        <w:spacing w:line="360" w:lineRule="auto"/>
        <w:ind w:firstLineChars="200" w:firstLine="480"/>
        <w:rPr>
          <w:sz w:val="24"/>
        </w:rPr>
      </w:pPr>
      <w:r>
        <w:rPr>
          <w:rFonts w:hint="eastAsia"/>
          <w:sz w:val="24"/>
        </w:rPr>
        <w:t>本基金可投资股票期权，可能给本基金带来额外风险，包括杠杆风险、</w:t>
      </w:r>
      <w:r>
        <w:rPr>
          <w:rFonts w:hint="eastAsia"/>
          <w:sz w:val="24"/>
        </w:rPr>
        <w:t>期权价格与基金投资品种价格的相关度降低带来的风险等，由此可能增加本基金净值的波动性</w:t>
      </w:r>
      <w:r>
        <w:rPr>
          <w:rFonts w:ascii="宋体" w:hAnsi="宋体" w:hint="eastAsia"/>
          <w:sz w:val="24"/>
        </w:rPr>
        <w:t>。</w:t>
      </w:r>
    </w:p>
    <w:p w14:paraId="5DFD5689" w14:textId="77777777" w:rsidR="008B1E3F" w:rsidRDefault="005B0A08">
      <w:pPr>
        <w:autoSpaceDE w:val="0"/>
        <w:autoSpaceDN w:val="0"/>
        <w:adjustRightInd w:val="0"/>
        <w:spacing w:line="360" w:lineRule="auto"/>
        <w:ind w:firstLineChars="200" w:firstLine="480"/>
        <w:rPr>
          <w:sz w:val="24"/>
        </w:rPr>
      </w:pPr>
      <w:r>
        <w:rPr>
          <w:rFonts w:hint="eastAsia"/>
          <w:sz w:val="24"/>
        </w:rPr>
        <w:t>本基金的投资范围包括存托凭证。本基金投资存托凭证除承担在境内上市交易股票投资的共同风险外，还将承担与存托凭证、创新企业发行、境外发行人以及交易机制相关的特有风险。</w:t>
      </w:r>
    </w:p>
    <w:p w14:paraId="7B3792B4" w14:textId="77777777" w:rsidR="008B1E3F" w:rsidRDefault="005B0A08">
      <w:pPr>
        <w:autoSpaceDE w:val="0"/>
        <w:autoSpaceDN w:val="0"/>
        <w:adjustRightInd w:val="0"/>
        <w:spacing w:line="360" w:lineRule="auto"/>
        <w:ind w:firstLineChars="200" w:firstLine="480"/>
        <w:rPr>
          <w:rFonts w:ascii="宋体" w:hAnsi="宋体"/>
          <w:sz w:val="24"/>
        </w:rPr>
      </w:pPr>
      <w:r>
        <w:rPr>
          <w:rFonts w:hint="eastAsia"/>
          <w:sz w:val="24"/>
        </w:rPr>
        <w:t>本基金可根据法律法规的规定参与融资业务，参与融资交易的风险主要包括流动性风险、信用风险等，这些风险可能会给基金净值带来一定的负面影响和损失</w:t>
      </w:r>
      <w:r>
        <w:rPr>
          <w:rFonts w:ascii="宋体" w:hAnsi="宋体" w:hint="eastAsia"/>
          <w:sz w:val="24"/>
        </w:rPr>
        <w:t>。</w:t>
      </w:r>
    </w:p>
    <w:p w14:paraId="71C9B3B0" w14:textId="77777777" w:rsidR="008B1E3F" w:rsidRDefault="005B0A08">
      <w:pPr>
        <w:autoSpaceDE w:val="0"/>
        <w:autoSpaceDN w:val="0"/>
        <w:adjustRightInd w:val="0"/>
        <w:spacing w:line="360" w:lineRule="auto"/>
        <w:ind w:firstLineChars="200" w:firstLine="480"/>
        <w:rPr>
          <w:sz w:val="24"/>
        </w:rPr>
      </w:pPr>
      <w:r>
        <w:rPr>
          <w:rFonts w:hint="eastAsia"/>
          <w:bCs/>
          <w:sz w:val="24"/>
        </w:rPr>
        <w:t>本基金可根据投资策略需要或不同配置地市场环境的变化，选择将部分基金资产投资于港股或选择不将基金资产投资于港股，基金资产并</w:t>
      </w:r>
      <w:r>
        <w:rPr>
          <w:rFonts w:hint="eastAsia"/>
          <w:bCs/>
          <w:sz w:val="24"/>
        </w:rPr>
        <w:t>非必然投资港股。</w:t>
      </w:r>
    </w:p>
    <w:p w14:paraId="38410003" w14:textId="77777777" w:rsidR="008B1E3F" w:rsidRDefault="005B0A08">
      <w:pPr>
        <w:autoSpaceDE w:val="0"/>
        <w:autoSpaceDN w:val="0"/>
        <w:adjustRightInd w:val="0"/>
        <w:spacing w:line="360" w:lineRule="auto"/>
        <w:ind w:firstLineChars="200" w:firstLine="480"/>
        <w:rPr>
          <w:bCs/>
          <w:sz w:val="24"/>
        </w:rPr>
      </w:pPr>
      <w:r>
        <w:rPr>
          <w:rFonts w:hint="eastAsia"/>
          <w:bCs/>
          <w:sz w:val="24"/>
        </w:rPr>
        <w:t>当本基金持有特定资产且存在或潜在大额赎回申请时，基金管理人履行约定的程序后，可以依照约定启用侧袋机制，详见基金合同和招募说明书“侧袋机制”等有关章节。侧袋机制实施期间，基金管理人将对基金简称进行特殊标识，并不得办理侧袋账户的申购赎回。请投资者仔细阅读相关内容并关注本基金启用侧袋机制时的特定风险。</w:t>
      </w:r>
    </w:p>
    <w:p w14:paraId="1DD2188A" w14:textId="77777777" w:rsidR="008B1E3F" w:rsidRDefault="005B0A08">
      <w:pPr>
        <w:autoSpaceDE w:val="0"/>
        <w:autoSpaceDN w:val="0"/>
        <w:adjustRightInd w:val="0"/>
        <w:spacing w:line="360" w:lineRule="auto"/>
        <w:ind w:firstLineChars="200" w:firstLine="480"/>
        <w:rPr>
          <w:bCs/>
          <w:sz w:val="24"/>
        </w:rPr>
      </w:pPr>
      <w:r>
        <w:rPr>
          <w:rFonts w:hint="eastAsia"/>
          <w:bCs/>
          <w:sz w:val="24"/>
        </w:rPr>
        <w:t>基金合同生效后，</w:t>
      </w:r>
      <w:r>
        <w:rPr>
          <w:bCs/>
          <w:sz w:val="24"/>
        </w:rPr>
        <w:t>连续</w:t>
      </w:r>
      <w:r>
        <w:rPr>
          <w:bCs/>
          <w:sz w:val="24"/>
        </w:rPr>
        <w:t>50</w:t>
      </w:r>
      <w:r>
        <w:rPr>
          <w:bCs/>
          <w:sz w:val="24"/>
        </w:rPr>
        <w:t>个工作日出现基金份额持有人数量不满</w:t>
      </w:r>
      <w:r>
        <w:rPr>
          <w:bCs/>
          <w:sz w:val="24"/>
        </w:rPr>
        <w:t>200</w:t>
      </w:r>
      <w:r>
        <w:rPr>
          <w:bCs/>
          <w:sz w:val="24"/>
        </w:rPr>
        <w:t>人或者基金资产净值低于</w:t>
      </w:r>
      <w:r>
        <w:rPr>
          <w:bCs/>
          <w:sz w:val="24"/>
        </w:rPr>
        <w:t>5000</w:t>
      </w:r>
      <w:r>
        <w:rPr>
          <w:bCs/>
          <w:sz w:val="24"/>
        </w:rPr>
        <w:t>万元情形的，基金管理人应及时通知基金托管人，</w:t>
      </w:r>
      <w:r>
        <w:rPr>
          <w:rFonts w:hint="eastAsia"/>
          <w:bCs/>
          <w:sz w:val="24"/>
        </w:rPr>
        <w:t>本基金基金合同自动终止，无需召开基金份额持有人大会，因此投</w:t>
      </w:r>
      <w:r>
        <w:rPr>
          <w:rFonts w:hint="eastAsia"/>
          <w:bCs/>
          <w:sz w:val="24"/>
        </w:rPr>
        <w:t>资者将面临基金合同可能提前终止的不确定性风险。</w:t>
      </w:r>
    </w:p>
    <w:p w14:paraId="3910BBDB" w14:textId="77777777" w:rsidR="008B1E3F" w:rsidRDefault="005B0A08">
      <w:pPr>
        <w:autoSpaceDE w:val="0"/>
        <w:autoSpaceDN w:val="0"/>
        <w:adjustRightInd w:val="0"/>
        <w:spacing w:line="360" w:lineRule="auto"/>
        <w:ind w:firstLineChars="200" w:firstLine="480"/>
        <w:rPr>
          <w:bCs/>
          <w:sz w:val="24"/>
        </w:rPr>
      </w:pPr>
      <w:r>
        <w:rPr>
          <w:rFonts w:hint="eastAsia"/>
          <w:bCs/>
          <w:sz w:val="24"/>
        </w:rPr>
        <w:t>本基金单一投资者持有基金份额数不得达到或超过基金份额总数的</w:t>
      </w:r>
      <w:r>
        <w:rPr>
          <w:rFonts w:hint="eastAsia"/>
          <w:bCs/>
          <w:sz w:val="24"/>
        </w:rPr>
        <w:t>50%</w:t>
      </w:r>
      <w:r>
        <w:rPr>
          <w:rFonts w:hint="eastAsia"/>
          <w:bCs/>
          <w:sz w:val="24"/>
        </w:rPr>
        <w:t>，但在基金运作过程中因基金份额赎回等情形导致被动达到或者超过</w:t>
      </w:r>
      <w:r>
        <w:rPr>
          <w:rFonts w:hint="eastAsia"/>
          <w:bCs/>
          <w:sz w:val="24"/>
        </w:rPr>
        <w:t>50%</w:t>
      </w:r>
      <w:r>
        <w:rPr>
          <w:rFonts w:hint="eastAsia"/>
          <w:bCs/>
          <w:sz w:val="24"/>
        </w:rPr>
        <w:t>的除外。法律法规或监管机构另有规定的，从其规定。</w:t>
      </w:r>
    </w:p>
    <w:p w14:paraId="2F29230E" w14:textId="77777777" w:rsidR="008B1E3F" w:rsidRDefault="005B0A08">
      <w:pPr>
        <w:spacing w:line="360" w:lineRule="auto"/>
        <w:ind w:firstLineChars="200" w:firstLine="480"/>
        <w:rPr>
          <w:rFonts w:ascii="宋体" w:hAnsi="宋体"/>
          <w:bCs/>
          <w:sz w:val="24"/>
        </w:rPr>
      </w:pPr>
      <w:r>
        <w:rPr>
          <w:rFonts w:ascii="宋体" w:hAnsi="宋体" w:hint="eastAsia"/>
          <w:bCs/>
          <w:sz w:val="24"/>
        </w:rPr>
        <w:t>本基金采用证券经纪商交易结算模式，即本基金将通过基金管理人选定的证券经纪机构进行场内交易和结算，该种交易结算模式可能存在操作风险、资金使用效率降低的风险、交易结算风险、投资信息安全保密风险、信息系统风险等风</w:t>
      </w:r>
      <w:r>
        <w:rPr>
          <w:rFonts w:ascii="宋体" w:hAnsi="宋体" w:hint="eastAsia"/>
          <w:bCs/>
          <w:sz w:val="24"/>
        </w:rPr>
        <w:lastRenderedPageBreak/>
        <w:t>险。</w:t>
      </w:r>
    </w:p>
    <w:p w14:paraId="5A3FF15B" w14:textId="77777777" w:rsidR="008B1E3F" w:rsidRDefault="005B0A08">
      <w:pPr>
        <w:autoSpaceDE w:val="0"/>
        <w:autoSpaceDN w:val="0"/>
        <w:adjustRightInd w:val="0"/>
        <w:spacing w:line="360" w:lineRule="auto"/>
        <w:ind w:firstLineChars="200" w:firstLine="480"/>
        <w:rPr>
          <w:rFonts w:ascii="宋体" w:hAnsi="宋体"/>
          <w:sz w:val="24"/>
        </w:rPr>
      </w:pPr>
      <w:r>
        <w:rPr>
          <w:rFonts w:ascii="宋体" w:hAnsi="宋体" w:hint="eastAsia"/>
          <w:sz w:val="24"/>
        </w:rPr>
        <w:t>投资者应当认真阅读《基金合同》、《招募说明书》、《基金产品资料概要》等基</w:t>
      </w:r>
      <w:r>
        <w:rPr>
          <w:rFonts w:ascii="宋体" w:hAnsi="宋体" w:hint="eastAsia"/>
          <w:sz w:val="24"/>
        </w:rPr>
        <w:t>金法律文件，了解基金的风险收益特征，并根据自身的投资目的、投资期限、投资经验、资产状况等判断基金是否和投资者的风险承受能力相适应。基金管理人提醒投资者基金投资的“买者自负”原则，在</w:t>
      </w:r>
      <w:r>
        <w:rPr>
          <w:rFonts w:hint="eastAsia"/>
          <w:sz w:val="24"/>
        </w:rPr>
        <w:t>做出</w:t>
      </w:r>
      <w:r>
        <w:rPr>
          <w:rFonts w:ascii="宋体" w:hAnsi="宋体" w:hint="eastAsia"/>
          <w:sz w:val="24"/>
        </w:rPr>
        <w:t>投资决策后，基金运营状况与基金净值变化引致的投资风险，由投资者自行负</w:t>
      </w:r>
      <w:r>
        <w:rPr>
          <w:rFonts w:hint="eastAsia"/>
          <w:sz w:val="24"/>
        </w:rPr>
        <w:t>担</w:t>
      </w:r>
      <w:r>
        <w:rPr>
          <w:rFonts w:ascii="宋体" w:hAnsi="宋体" w:hint="eastAsia"/>
          <w:sz w:val="24"/>
        </w:rPr>
        <w:t>。</w:t>
      </w:r>
    </w:p>
    <w:p w14:paraId="621B25C5" w14:textId="77777777" w:rsidR="008B1E3F" w:rsidRDefault="005B0A08">
      <w:pPr>
        <w:autoSpaceDE w:val="0"/>
        <w:autoSpaceDN w:val="0"/>
        <w:adjustRightInd w:val="0"/>
        <w:spacing w:line="360" w:lineRule="auto"/>
        <w:ind w:firstLineChars="200" w:firstLine="480"/>
        <w:rPr>
          <w:rFonts w:ascii="宋体" w:hAnsi="宋体"/>
          <w:sz w:val="24"/>
        </w:rPr>
      </w:pPr>
      <w:r>
        <w:rPr>
          <w:rFonts w:ascii="宋体" w:hAnsi="宋体" w:hint="eastAsia"/>
          <w:sz w:val="24"/>
        </w:rPr>
        <w:t>基金的过往业绩并不预示其未来表现。基金管理人管理的其他基金的业绩也不构成对本基金业绩表现的保证。</w:t>
      </w:r>
    </w:p>
    <w:p w14:paraId="4684DE1E" w14:textId="77777777" w:rsidR="008B1E3F" w:rsidRDefault="005B0A08">
      <w:pPr>
        <w:autoSpaceDE w:val="0"/>
        <w:autoSpaceDN w:val="0"/>
        <w:adjustRightInd w:val="0"/>
        <w:spacing w:line="360" w:lineRule="auto"/>
        <w:ind w:firstLineChars="200" w:firstLine="480"/>
        <w:rPr>
          <w:rFonts w:ascii="宋体" w:hAnsi="宋体"/>
          <w:sz w:val="24"/>
        </w:rPr>
      </w:pPr>
      <w:r>
        <w:rPr>
          <w:rFonts w:ascii="宋体" w:hAnsi="宋体" w:hint="eastAsia"/>
          <w:sz w:val="24"/>
        </w:rPr>
        <w:t>基金管理人依照恪尽职守、诚实信用、谨慎勤勉的原则管理和运用基金财产，但不保证基金一定盈利，也不保证最低收益。</w:t>
      </w:r>
    </w:p>
    <w:p w14:paraId="7249FFC9" w14:textId="77777777" w:rsidR="008B1E3F" w:rsidRDefault="005B0A08">
      <w:pPr>
        <w:spacing w:line="360" w:lineRule="auto"/>
        <w:ind w:firstLineChars="200" w:firstLine="480"/>
        <w:rPr>
          <w:bCs/>
          <w:sz w:val="24"/>
        </w:rPr>
      </w:pPr>
      <w:r>
        <w:rPr>
          <w:rFonts w:hint="eastAsia"/>
          <w:bCs/>
          <w:sz w:val="24"/>
        </w:rPr>
        <w:t>3</w:t>
      </w:r>
      <w:r>
        <w:rPr>
          <w:bCs/>
          <w:sz w:val="24"/>
        </w:rPr>
        <w:t>.</w:t>
      </w:r>
      <w:r>
        <w:rPr>
          <w:rFonts w:hint="eastAsia"/>
          <w:bCs/>
          <w:sz w:val="24"/>
        </w:rPr>
        <w:t>本基金的基金管理人和登记机构为华商基金管理有限公司（以下简称“本公司”或</w:t>
      </w:r>
      <w:r>
        <w:rPr>
          <w:bCs/>
          <w:sz w:val="24"/>
        </w:rPr>
        <w:t>“</w:t>
      </w:r>
      <w:r>
        <w:rPr>
          <w:rFonts w:hint="eastAsia"/>
          <w:bCs/>
          <w:sz w:val="24"/>
        </w:rPr>
        <w:t>华商基金”），基金托管人为</w:t>
      </w:r>
      <w:r>
        <w:rPr>
          <w:rFonts w:ascii="宋体" w:hAnsi="宋体" w:hint="eastAsia"/>
          <w:sz w:val="24"/>
        </w:rPr>
        <w:t>中国工商银行股份有限公司</w:t>
      </w:r>
      <w:r>
        <w:rPr>
          <w:rFonts w:hint="eastAsia"/>
          <w:bCs/>
          <w:sz w:val="24"/>
        </w:rPr>
        <w:t>。</w:t>
      </w:r>
    </w:p>
    <w:p w14:paraId="1BE6A886" w14:textId="77777777" w:rsidR="008B1E3F" w:rsidRDefault="005B0A08">
      <w:pPr>
        <w:autoSpaceDE w:val="0"/>
        <w:autoSpaceDN w:val="0"/>
        <w:adjustRightInd w:val="0"/>
        <w:spacing w:line="360" w:lineRule="auto"/>
        <w:ind w:firstLineChars="200" w:firstLine="480"/>
        <w:rPr>
          <w:rFonts w:ascii="宋体" w:hAnsi="宋体"/>
          <w:sz w:val="24"/>
        </w:rPr>
      </w:pPr>
      <w:r>
        <w:rPr>
          <w:rFonts w:hint="eastAsia"/>
          <w:bCs/>
          <w:sz w:val="24"/>
        </w:rPr>
        <w:t>4</w:t>
      </w:r>
      <w:r>
        <w:rPr>
          <w:bCs/>
          <w:sz w:val="24"/>
        </w:rPr>
        <w:t>.</w:t>
      </w:r>
      <w:r>
        <w:rPr>
          <w:rFonts w:ascii="宋体" w:hAnsi="宋体" w:hint="eastAsia"/>
          <w:sz w:val="24"/>
        </w:rPr>
        <w:t>基金募集期</w:t>
      </w:r>
    </w:p>
    <w:p w14:paraId="7ADBE2BC" w14:textId="77777777" w:rsidR="008B1E3F" w:rsidRDefault="005B0A08">
      <w:pPr>
        <w:spacing w:line="360" w:lineRule="auto"/>
        <w:ind w:firstLineChars="200" w:firstLine="480"/>
        <w:rPr>
          <w:rFonts w:ascii="宋体" w:hAnsi="宋体"/>
          <w:sz w:val="24"/>
        </w:rPr>
      </w:pPr>
      <w:r>
        <w:rPr>
          <w:rFonts w:ascii="宋体" w:hAnsi="宋体" w:hint="eastAsia"/>
          <w:sz w:val="24"/>
        </w:rPr>
        <w:t>本基金</w:t>
      </w:r>
      <w:r>
        <w:rPr>
          <w:rFonts w:hint="eastAsia"/>
          <w:bCs/>
          <w:sz w:val="24"/>
        </w:rPr>
        <w:t>自</w:t>
      </w:r>
      <w:r>
        <w:rPr>
          <w:bCs/>
          <w:sz w:val="24"/>
        </w:rPr>
        <w:t>2026</w:t>
      </w:r>
      <w:r>
        <w:rPr>
          <w:bCs/>
          <w:sz w:val="24"/>
        </w:rPr>
        <w:t>年</w:t>
      </w:r>
      <w:r>
        <w:rPr>
          <w:bCs/>
          <w:sz w:val="24"/>
        </w:rPr>
        <w:t>10</w:t>
      </w:r>
      <w:r>
        <w:rPr>
          <w:bCs/>
          <w:sz w:val="24"/>
        </w:rPr>
        <w:t>月</w:t>
      </w:r>
      <w:r>
        <w:rPr>
          <w:bCs/>
          <w:sz w:val="24"/>
        </w:rPr>
        <w:t>19</w:t>
      </w:r>
      <w:r>
        <w:rPr>
          <w:bCs/>
          <w:sz w:val="24"/>
        </w:rPr>
        <w:t>日至</w:t>
      </w:r>
      <w:r>
        <w:rPr>
          <w:bCs/>
          <w:sz w:val="24"/>
        </w:rPr>
        <w:t>2026</w:t>
      </w:r>
      <w:r>
        <w:rPr>
          <w:bCs/>
          <w:sz w:val="24"/>
        </w:rPr>
        <w:t>年</w:t>
      </w:r>
      <w:r>
        <w:rPr>
          <w:bCs/>
          <w:sz w:val="24"/>
        </w:rPr>
        <w:t>10</w:t>
      </w:r>
      <w:r>
        <w:rPr>
          <w:bCs/>
          <w:sz w:val="24"/>
        </w:rPr>
        <w:t>月</w:t>
      </w:r>
      <w:r>
        <w:rPr>
          <w:bCs/>
          <w:sz w:val="24"/>
        </w:rPr>
        <w:t>30</w:t>
      </w:r>
      <w:r>
        <w:rPr>
          <w:bCs/>
          <w:sz w:val="24"/>
        </w:rPr>
        <w:t>日</w:t>
      </w:r>
      <w:r>
        <w:rPr>
          <w:rFonts w:hint="eastAsia"/>
          <w:bCs/>
          <w:sz w:val="24"/>
        </w:rPr>
        <w:t>通</w:t>
      </w:r>
      <w:r>
        <w:rPr>
          <w:rFonts w:ascii="宋体" w:hAnsi="宋体" w:hint="eastAsia"/>
          <w:sz w:val="24"/>
        </w:rPr>
        <w:t>过各销售机构的基金销售网点或按基金管理人、销售机构提供的其他方式公开发售。</w:t>
      </w:r>
    </w:p>
    <w:p w14:paraId="60964021" w14:textId="77777777" w:rsidR="008B1E3F" w:rsidRDefault="005B0A08">
      <w:pPr>
        <w:spacing w:line="360" w:lineRule="auto"/>
        <w:ind w:firstLineChars="200" w:firstLine="480"/>
        <w:rPr>
          <w:rFonts w:ascii="宋体" w:hAnsi="宋体"/>
          <w:sz w:val="24"/>
        </w:rPr>
      </w:pPr>
      <w:r>
        <w:rPr>
          <w:bCs/>
          <w:sz w:val="24"/>
        </w:rPr>
        <w:t>5.</w:t>
      </w:r>
      <w:r>
        <w:rPr>
          <w:rFonts w:ascii="宋体" w:hAnsi="宋体" w:hint="eastAsia"/>
          <w:sz w:val="24"/>
        </w:rPr>
        <w:t>募集规模上限</w:t>
      </w:r>
    </w:p>
    <w:p w14:paraId="7F271950" w14:textId="77777777" w:rsidR="008B1E3F" w:rsidRDefault="005B0A08">
      <w:pPr>
        <w:spacing w:line="360" w:lineRule="auto"/>
        <w:ind w:firstLineChars="200" w:firstLine="480"/>
        <w:rPr>
          <w:rFonts w:ascii="宋体" w:hAnsi="宋体"/>
          <w:sz w:val="24"/>
        </w:rPr>
      </w:pPr>
      <w:r>
        <w:rPr>
          <w:rFonts w:hint="eastAsia"/>
          <w:bCs/>
          <w:sz w:val="24"/>
        </w:rPr>
        <w:t>本基金首次募集规模上限为</w:t>
      </w:r>
      <w:r>
        <w:rPr>
          <w:bCs/>
          <w:sz w:val="24"/>
        </w:rPr>
        <w:t>50</w:t>
      </w:r>
      <w:r>
        <w:rPr>
          <w:bCs/>
          <w:sz w:val="24"/>
        </w:rPr>
        <w:t>亿</w:t>
      </w:r>
      <w:r>
        <w:rPr>
          <w:rFonts w:hint="eastAsia"/>
          <w:bCs/>
          <w:sz w:val="24"/>
        </w:rPr>
        <w:t>元人民币（不含募集期利息，下同）。基金募集过程中，募集规模接近、达到或超过</w:t>
      </w:r>
      <w:r>
        <w:rPr>
          <w:bCs/>
          <w:sz w:val="24"/>
        </w:rPr>
        <w:t>50</w:t>
      </w:r>
      <w:r>
        <w:rPr>
          <w:bCs/>
          <w:sz w:val="24"/>
        </w:rPr>
        <w:t>亿</w:t>
      </w:r>
      <w:r>
        <w:rPr>
          <w:rFonts w:hint="eastAsia"/>
          <w:bCs/>
          <w:sz w:val="24"/>
        </w:rPr>
        <w:t>元的，基金可提前结束募集。</w:t>
      </w:r>
    </w:p>
    <w:p w14:paraId="1A02FE69" w14:textId="77777777" w:rsidR="008B1E3F" w:rsidRDefault="005B0A08">
      <w:pPr>
        <w:spacing w:line="360" w:lineRule="auto"/>
        <w:ind w:firstLineChars="200" w:firstLine="480"/>
        <w:rPr>
          <w:bCs/>
          <w:sz w:val="24"/>
        </w:rPr>
      </w:pPr>
      <w:r>
        <w:rPr>
          <w:rFonts w:hint="eastAsia"/>
          <w:bCs/>
          <w:sz w:val="24"/>
        </w:rPr>
        <w:t>在募集期内任何一天（含第一天）当日募集截止时间后累计有效认购申请金额（不包括利息，下同）合计超过</w:t>
      </w:r>
      <w:r>
        <w:rPr>
          <w:bCs/>
          <w:sz w:val="24"/>
        </w:rPr>
        <w:t>50</w:t>
      </w:r>
      <w:r>
        <w:rPr>
          <w:bCs/>
          <w:sz w:val="24"/>
        </w:rPr>
        <w:t>亿</w:t>
      </w:r>
      <w:r>
        <w:rPr>
          <w:rFonts w:hint="eastAsia"/>
          <w:bCs/>
          <w:sz w:val="24"/>
        </w:rPr>
        <w:t>元，基金管理人将采取末日比例确认的方式实现规模的有效控制。当发生末日比例确认时，基金管理人将及时公告比例确认情况与结果。未确认部分的认购款项将在募集期结束后退还给投资者，由此产生的损失由投资者自行承担。</w:t>
      </w:r>
    </w:p>
    <w:p w14:paraId="7FE6CECB" w14:textId="77777777" w:rsidR="008B1E3F" w:rsidRDefault="005B0A08">
      <w:pPr>
        <w:spacing w:line="360" w:lineRule="auto"/>
        <w:ind w:firstLineChars="200" w:firstLine="480"/>
        <w:rPr>
          <w:bCs/>
          <w:sz w:val="24"/>
        </w:rPr>
      </w:pPr>
      <w:r>
        <w:rPr>
          <w:rFonts w:hint="eastAsia"/>
          <w:bCs/>
          <w:sz w:val="24"/>
        </w:rPr>
        <w:t>当发生部分确认时，当日投资者认购费率按照认购申请确认金额所对应的费率计算，当日投资者认购申请确认金额不受认购最低限额的限制。最终认购申请确认结果以本基金登记机构的计算并确认的结果为准。</w:t>
      </w:r>
    </w:p>
    <w:p w14:paraId="0DCF0394" w14:textId="77777777" w:rsidR="008B1E3F" w:rsidRDefault="005B0A08">
      <w:pPr>
        <w:spacing w:line="360" w:lineRule="auto"/>
        <w:ind w:firstLineChars="200" w:firstLine="480"/>
        <w:rPr>
          <w:bCs/>
          <w:sz w:val="24"/>
        </w:rPr>
      </w:pPr>
      <w:r>
        <w:rPr>
          <w:bCs/>
          <w:sz w:val="24"/>
        </w:rPr>
        <w:t>6.</w:t>
      </w:r>
      <w:r>
        <w:rPr>
          <w:rFonts w:hint="eastAsia"/>
          <w:sz w:val="24"/>
        </w:rPr>
        <w:t>投资者欲购买本基</w:t>
      </w:r>
      <w:r>
        <w:rPr>
          <w:rFonts w:hint="eastAsia"/>
          <w:sz w:val="24"/>
        </w:rPr>
        <w:t>金，需事先开立本公司</w:t>
      </w:r>
      <w:r>
        <w:rPr>
          <w:sz w:val="24"/>
        </w:rPr>
        <w:t>“</w:t>
      </w:r>
      <w:r>
        <w:rPr>
          <w:rFonts w:hint="eastAsia"/>
          <w:sz w:val="24"/>
        </w:rPr>
        <w:t>基金账户</w:t>
      </w:r>
      <w:r>
        <w:rPr>
          <w:sz w:val="24"/>
        </w:rPr>
        <w:t>”</w:t>
      </w:r>
      <w:r>
        <w:rPr>
          <w:rFonts w:hint="eastAsia"/>
          <w:sz w:val="24"/>
        </w:rPr>
        <w:t>或在各代销机构开立</w:t>
      </w:r>
      <w:r>
        <w:rPr>
          <w:sz w:val="24"/>
        </w:rPr>
        <w:t>“</w:t>
      </w:r>
      <w:r>
        <w:rPr>
          <w:rFonts w:hint="eastAsia"/>
          <w:sz w:val="24"/>
        </w:rPr>
        <w:t>交易账户</w:t>
      </w:r>
      <w:r>
        <w:rPr>
          <w:sz w:val="24"/>
        </w:rPr>
        <w:t>”</w:t>
      </w:r>
      <w:r>
        <w:rPr>
          <w:rFonts w:hint="eastAsia"/>
          <w:sz w:val="24"/>
        </w:rPr>
        <w:t>才能办理本基金的认购手续。募集期内代销机构网点和直销机构均可为投资者办理开立基金账户的手续。投资者可在不同销售机构开户，但每个投资</w:t>
      </w:r>
      <w:r>
        <w:rPr>
          <w:rFonts w:hint="eastAsia"/>
          <w:sz w:val="24"/>
        </w:rPr>
        <w:lastRenderedPageBreak/>
        <w:t>者只允许开立一个基金账户。若投资者在不同的销售机构处重复开立基金账户导致认购失败的，基金管理人和代销机构不承担认购失败责任。如果投资者在开立基金账户的销售机构以外的其他销售机构购买本基金，则需要在新销售机构网点办理增开</w:t>
      </w:r>
      <w:r>
        <w:rPr>
          <w:sz w:val="24"/>
        </w:rPr>
        <w:t>“</w:t>
      </w:r>
      <w:r>
        <w:rPr>
          <w:rFonts w:hint="eastAsia"/>
          <w:sz w:val="24"/>
        </w:rPr>
        <w:t>交易账户</w:t>
      </w:r>
      <w:r>
        <w:rPr>
          <w:sz w:val="24"/>
        </w:rPr>
        <w:t>”</w:t>
      </w:r>
      <w:r>
        <w:rPr>
          <w:rFonts w:hint="eastAsia"/>
          <w:sz w:val="24"/>
        </w:rPr>
        <w:t>，然后再认购本基金。个人投资者必须本人亲自办理开户和认购手续。投资者在办理完开户和认购手续</w:t>
      </w:r>
      <w:r>
        <w:rPr>
          <w:rFonts w:hint="eastAsia"/>
          <w:sz w:val="24"/>
        </w:rPr>
        <w:t>后，应及时到销售网点查询确认结果。</w:t>
      </w:r>
    </w:p>
    <w:p w14:paraId="59C90E6B" w14:textId="77777777" w:rsidR="008B1E3F" w:rsidRDefault="005B0A08">
      <w:pPr>
        <w:spacing w:line="360" w:lineRule="auto"/>
        <w:ind w:firstLineChars="200" w:firstLine="480"/>
        <w:rPr>
          <w:sz w:val="24"/>
        </w:rPr>
      </w:pPr>
      <w:r>
        <w:rPr>
          <w:bCs/>
          <w:sz w:val="24"/>
        </w:rPr>
        <w:t>7.</w:t>
      </w:r>
      <w:r>
        <w:rPr>
          <w:rFonts w:hint="eastAsia"/>
          <w:bCs/>
          <w:sz w:val="24"/>
        </w:rPr>
        <w:t>在</w:t>
      </w:r>
      <w:r>
        <w:rPr>
          <w:rFonts w:hint="eastAsia"/>
          <w:sz w:val="24"/>
        </w:rPr>
        <w:t>办理基金账户开户的当日可以同时办理基金的认购申请及修改分红方式申请手续。</w:t>
      </w:r>
    </w:p>
    <w:p w14:paraId="113B0DEB" w14:textId="77777777" w:rsidR="008B1E3F" w:rsidRDefault="005B0A08">
      <w:pPr>
        <w:spacing w:line="360" w:lineRule="auto"/>
        <w:ind w:firstLineChars="200" w:firstLine="480"/>
        <w:rPr>
          <w:sz w:val="24"/>
        </w:rPr>
      </w:pPr>
      <w:r>
        <w:rPr>
          <w:sz w:val="24"/>
        </w:rPr>
        <w:t>8.</w:t>
      </w:r>
      <w:r>
        <w:rPr>
          <w:rFonts w:hint="eastAsia"/>
          <w:sz w:val="24"/>
        </w:rPr>
        <w:t>投资者应保证用于认购的资金来源合法，投资者应有权自行支配，不存在任何法律上、合约上或其他障碍。</w:t>
      </w:r>
    </w:p>
    <w:p w14:paraId="2191AB31" w14:textId="77777777" w:rsidR="008B1E3F" w:rsidRDefault="005B0A08">
      <w:pPr>
        <w:spacing w:line="360" w:lineRule="auto"/>
        <w:ind w:firstLineChars="200" w:firstLine="480"/>
        <w:rPr>
          <w:sz w:val="24"/>
        </w:rPr>
      </w:pPr>
      <w:r>
        <w:rPr>
          <w:sz w:val="24"/>
        </w:rPr>
        <w:t>9</w:t>
      </w:r>
      <w:r>
        <w:rPr>
          <w:rFonts w:hint="eastAsia"/>
          <w:sz w:val="24"/>
        </w:rPr>
        <w:t>.</w:t>
      </w:r>
      <w:r>
        <w:rPr>
          <w:sz w:val="24"/>
        </w:rPr>
        <w:t>投资者认购基金份额时，需按销售机构规定的方式全额交付认购款项。投资者可以多次认购本基金份额，每次认购金额不得低于</w:t>
      </w:r>
      <w:r>
        <w:rPr>
          <w:sz w:val="24"/>
        </w:rPr>
        <w:t>1.00</w:t>
      </w:r>
      <w:r>
        <w:rPr>
          <w:sz w:val="24"/>
        </w:rPr>
        <w:t>元</w:t>
      </w:r>
      <w:r>
        <w:rPr>
          <w:rFonts w:hint="eastAsia"/>
          <w:sz w:val="24"/>
        </w:rPr>
        <w:t>（含认购费，如有）</w:t>
      </w:r>
      <w:r>
        <w:rPr>
          <w:sz w:val="24"/>
        </w:rPr>
        <w:t>。认购申请受理完成后，投资者不得撤销。</w:t>
      </w:r>
      <w:r>
        <w:rPr>
          <w:rFonts w:hint="eastAsia"/>
          <w:bCs/>
          <w:sz w:val="24"/>
        </w:rPr>
        <w:t>在符合法律法规规定的前提下，各销售机构对认购限额及交易级差有其他规定的，需同时遵循该销售机构的相关规定</w:t>
      </w:r>
      <w:r>
        <w:rPr>
          <w:rFonts w:hint="eastAsia"/>
          <w:sz w:val="24"/>
        </w:rPr>
        <w:t>。</w:t>
      </w:r>
    </w:p>
    <w:p w14:paraId="6C6140D4" w14:textId="77777777" w:rsidR="008B1E3F" w:rsidRDefault="005B0A08">
      <w:pPr>
        <w:tabs>
          <w:tab w:val="left" w:pos="1080"/>
        </w:tabs>
        <w:spacing w:line="360" w:lineRule="auto"/>
        <w:ind w:firstLineChars="200" w:firstLine="480"/>
        <w:rPr>
          <w:sz w:val="24"/>
        </w:rPr>
      </w:pPr>
      <w:r>
        <w:rPr>
          <w:sz w:val="24"/>
        </w:rPr>
        <w:t>10.</w:t>
      </w:r>
      <w:r>
        <w:rPr>
          <w:rFonts w:hint="eastAsia"/>
          <w:sz w:val="24"/>
        </w:rPr>
        <w:t>销</w:t>
      </w:r>
      <w:r>
        <w:rPr>
          <w:rFonts w:hint="eastAsia"/>
          <w:sz w:val="24"/>
        </w:rPr>
        <w:t>售机构对认购申请的受理并不表示对该申请的成功确认，而仅代表销售机构确实接收到认购申请，申请的成功确认应以基金登记机构的确认登记为准。投资者可以在基金成立后到原认购网点打印认购成交确认凭证。</w:t>
      </w:r>
    </w:p>
    <w:p w14:paraId="6A00F089" w14:textId="77777777" w:rsidR="008B1E3F" w:rsidRDefault="005B0A08">
      <w:pPr>
        <w:tabs>
          <w:tab w:val="left" w:pos="1080"/>
        </w:tabs>
        <w:spacing w:line="360" w:lineRule="auto"/>
        <w:ind w:firstLineChars="200" w:firstLine="480"/>
        <w:rPr>
          <w:sz w:val="24"/>
        </w:rPr>
      </w:pPr>
      <w:r>
        <w:rPr>
          <w:sz w:val="24"/>
        </w:rPr>
        <w:t>11.</w:t>
      </w:r>
      <w:r>
        <w:rPr>
          <w:rFonts w:hint="eastAsia"/>
          <w:sz w:val="24"/>
        </w:rPr>
        <w:t>本公告仅对本基金发售的有关事项和规定予以说明。投资者欲了解本基金的详细情况，请详细阅读</w:t>
      </w:r>
      <w:r>
        <w:rPr>
          <w:sz w:val="24"/>
        </w:rPr>
        <w:t>2026</w:t>
      </w:r>
      <w:r>
        <w:rPr>
          <w:rFonts w:hint="eastAsia"/>
          <w:sz w:val="24"/>
        </w:rPr>
        <w:t>年</w:t>
      </w:r>
      <w:r>
        <w:rPr>
          <w:sz w:val="24"/>
        </w:rPr>
        <w:t>9</w:t>
      </w:r>
      <w:r>
        <w:rPr>
          <w:rFonts w:hint="eastAsia"/>
          <w:sz w:val="24"/>
        </w:rPr>
        <w:t>月</w:t>
      </w:r>
      <w:r>
        <w:rPr>
          <w:sz w:val="24"/>
        </w:rPr>
        <w:t>11</w:t>
      </w:r>
      <w:r>
        <w:rPr>
          <w:rFonts w:hint="eastAsia"/>
          <w:sz w:val="24"/>
        </w:rPr>
        <w:t>日登载于中国证监会基金电子信息披露网站（</w:t>
      </w:r>
      <w:r>
        <w:rPr>
          <w:rFonts w:hint="eastAsia"/>
          <w:sz w:val="24"/>
        </w:rPr>
        <w:t>http:</w:t>
      </w:r>
      <w:r>
        <w:rPr>
          <w:sz w:val="24"/>
        </w:rPr>
        <w:t>//eid.csrc.gov.cn/fund</w:t>
      </w:r>
      <w:r>
        <w:rPr>
          <w:rFonts w:hint="eastAsia"/>
          <w:sz w:val="24"/>
        </w:rPr>
        <w:t>）和本公司网址</w:t>
      </w:r>
      <w:r>
        <w:rPr>
          <w:sz w:val="24"/>
        </w:rPr>
        <w:t>(www.hsfund.com)</w:t>
      </w:r>
      <w:r>
        <w:rPr>
          <w:rFonts w:hint="eastAsia"/>
          <w:sz w:val="24"/>
        </w:rPr>
        <w:t>上的《华商竞争优势混合型证券投资基金基金合同》和《华商竞争优势混合型证券</w:t>
      </w:r>
      <w:r>
        <w:rPr>
          <w:rFonts w:hint="eastAsia"/>
          <w:sz w:val="24"/>
        </w:rPr>
        <w:t>投资基金招募说明书》。</w:t>
      </w:r>
    </w:p>
    <w:p w14:paraId="4118AAC9" w14:textId="77777777" w:rsidR="008B1E3F" w:rsidRDefault="005B0A08">
      <w:pPr>
        <w:tabs>
          <w:tab w:val="left" w:pos="1080"/>
        </w:tabs>
        <w:spacing w:line="360" w:lineRule="auto"/>
        <w:ind w:firstLineChars="200" w:firstLine="480"/>
        <w:rPr>
          <w:sz w:val="24"/>
        </w:rPr>
      </w:pPr>
      <w:r>
        <w:rPr>
          <w:sz w:val="24"/>
        </w:rPr>
        <w:t>12</w:t>
      </w:r>
      <w:r>
        <w:rPr>
          <w:rFonts w:hint="eastAsia"/>
          <w:sz w:val="24"/>
        </w:rPr>
        <w:t>.</w:t>
      </w:r>
      <w:r>
        <w:rPr>
          <w:rFonts w:hint="eastAsia"/>
          <w:sz w:val="24"/>
        </w:rPr>
        <w:t>投资者可通过本公司网址（</w:t>
      </w:r>
      <w:r>
        <w:rPr>
          <w:sz w:val="24"/>
        </w:rPr>
        <w:t>www.hsfund.com</w:t>
      </w:r>
      <w:r>
        <w:rPr>
          <w:rFonts w:hint="eastAsia"/>
          <w:sz w:val="24"/>
        </w:rPr>
        <w:t>）下载基金业务申请表格和了解本基金发售的相关事宜。</w:t>
      </w:r>
    </w:p>
    <w:p w14:paraId="6A5CB3E3" w14:textId="77777777" w:rsidR="008B1E3F" w:rsidRDefault="005B0A08">
      <w:pPr>
        <w:tabs>
          <w:tab w:val="left" w:pos="1080"/>
        </w:tabs>
        <w:spacing w:line="360" w:lineRule="auto"/>
        <w:ind w:firstLineChars="200" w:firstLine="480"/>
        <w:rPr>
          <w:sz w:val="24"/>
        </w:rPr>
      </w:pPr>
      <w:r>
        <w:rPr>
          <w:sz w:val="24"/>
        </w:rPr>
        <w:t>13.</w:t>
      </w:r>
      <w:r>
        <w:rPr>
          <w:rFonts w:hint="eastAsia"/>
          <w:sz w:val="24"/>
        </w:rPr>
        <w:t>对未开设销售网点的地方的投资者，请拨打本公司的客户服务电话（</w:t>
      </w:r>
      <w:r>
        <w:rPr>
          <w:sz w:val="24"/>
        </w:rPr>
        <w:t>4007008880</w:t>
      </w:r>
      <w:r>
        <w:rPr>
          <w:rFonts w:hint="eastAsia"/>
          <w:sz w:val="24"/>
        </w:rPr>
        <w:t>，</w:t>
      </w:r>
      <w:r>
        <w:rPr>
          <w:sz w:val="24"/>
        </w:rPr>
        <w:t>010-58573300</w:t>
      </w:r>
      <w:r>
        <w:rPr>
          <w:rFonts w:hint="eastAsia"/>
          <w:sz w:val="24"/>
        </w:rPr>
        <w:t>）及直销专线电话（</w:t>
      </w:r>
      <w:r>
        <w:rPr>
          <w:sz w:val="24"/>
        </w:rPr>
        <w:t>010-58573768</w:t>
      </w:r>
      <w:r>
        <w:rPr>
          <w:rFonts w:hint="eastAsia"/>
          <w:sz w:val="24"/>
        </w:rPr>
        <w:t>）咨询购买事宜。对认购金额在</w:t>
      </w:r>
      <w:r>
        <w:rPr>
          <w:sz w:val="24"/>
        </w:rPr>
        <w:t>1000</w:t>
      </w:r>
      <w:r>
        <w:rPr>
          <w:rFonts w:hint="eastAsia"/>
          <w:sz w:val="24"/>
        </w:rPr>
        <w:t>万元以上的投资者，本公司提供上门服务。</w:t>
      </w:r>
    </w:p>
    <w:p w14:paraId="016E07A0" w14:textId="77777777" w:rsidR="008B1E3F" w:rsidRDefault="005B0A08">
      <w:pPr>
        <w:tabs>
          <w:tab w:val="left" w:pos="1080"/>
        </w:tabs>
        <w:spacing w:line="360" w:lineRule="auto"/>
        <w:ind w:firstLineChars="200" w:firstLine="480"/>
        <w:rPr>
          <w:sz w:val="24"/>
        </w:rPr>
      </w:pPr>
      <w:r>
        <w:rPr>
          <w:sz w:val="24"/>
        </w:rPr>
        <w:t>14.</w:t>
      </w:r>
      <w:r>
        <w:rPr>
          <w:rFonts w:hint="eastAsia"/>
          <w:sz w:val="24"/>
        </w:rPr>
        <w:t>基金管理人可综合各种情况对募集安排做适当调整。</w:t>
      </w:r>
    </w:p>
    <w:p w14:paraId="752737C6" w14:textId="77777777" w:rsidR="008B1E3F" w:rsidRDefault="008B1E3F">
      <w:pPr>
        <w:tabs>
          <w:tab w:val="left" w:pos="1080"/>
        </w:tabs>
        <w:spacing w:line="360" w:lineRule="auto"/>
        <w:jc w:val="left"/>
        <w:rPr>
          <w:sz w:val="24"/>
        </w:rPr>
      </w:pPr>
    </w:p>
    <w:p w14:paraId="7C939F0A" w14:textId="77777777" w:rsidR="008B1E3F" w:rsidRDefault="005B0A08">
      <w:pPr>
        <w:pageBreakBefore/>
        <w:spacing w:line="360" w:lineRule="auto"/>
        <w:ind w:firstLine="561"/>
        <w:rPr>
          <w:b/>
          <w:sz w:val="28"/>
          <w:szCs w:val="28"/>
        </w:rPr>
      </w:pPr>
      <w:r>
        <w:rPr>
          <w:rFonts w:hint="eastAsia"/>
          <w:b/>
          <w:sz w:val="28"/>
          <w:szCs w:val="28"/>
        </w:rPr>
        <w:lastRenderedPageBreak/>
        <w:t>一、本次募集基本情况</w:t>
      </w:r>
    </w:p>
    <w:p w14:paraId="46492E9B" w14:textId="77777777" w:rsidR="008B1E3F" w:rsidRDefault="005B0A08">
      <w:pPr>
        <w:tabs>
          <w:tab w:val="left" w:pos="0"/>
        </w:tabs>
        <w:spacing w:line="360" w:lineRule="auto"/>
        <w:ind w:firstLineChars="200" w:firstLine="480"/>
        <w:rPr>
          <w:sz w:val="24"/>
        </w:rPr>
      </w:pPr>
      <w:r>
        <w:rPr>
          <w:sz w:val="24"/>
        </w:rPr>
        <w:t>1.</w:t>
      </w:r>
      <w:r>
        <w:rPr>
          <w:rFonts w:hint="eastAsia"/>
          <w:sz w:val="24"/>
        </w:rPr>
        <w:t>基金名称：华商竞争优势混合型证券投资基金。</w:t>
      </w:r>
    </w:p>
    <w:p w14:paraId="008DC069" w14:textId="77777777" w:rsidR="008B1E3F" w:rsidRDefault="005B0A08">
      <w:pPr>
        <w:tabs>
          <w:tab w:val="left" w:pos="0"/>
        </w:tabs>
        <w:spacing w:line="360" w:lineRule="auto"/>
        <w:ind w:firstLineChars="200" w:firstLine="480"/>
        <w:rPr>
          <w:sz w:val="24"/>
        </w:rPr>
      </w:pPr>
      <w:r>
        <w:rPr>
          <w:sz w:val="24"/>
        </w:rPr>
        <w:t>2.</w:t>
      </w:r>
      <w:r>
        <w:rPr>
          <w:rFonts w:hint="eastAsia"/>
          <w:sz w:val="24"/>
        </w:rPr>
        <w:t>基金代码：</w:t>
      </w:r>
      <w:r>
        <w:rPr>
          <w:rFonts w:hint="eastAsia"/>
          <w:sz w:val="24"/>
        </w:rPr>
        <w:t>A</w:t>
      </w:r>
      <w:r>
        <w:rPr>
          <w:rFonts w:hint="eastAsia"/>
          <w:sz w:val="24"/>
        </w:rPr>
        <w:t>类代码：</w:t>
      </w:r>
      <w:r>
        <w:rPr>
          <w:sz w:val="24"/>
        </w:rPr>
        <w:t>028883</w:t>
      </w:r>
      <w:r>
        <w:rPr>
          <w:rFonts w:hint="eastAsia"/>
          <w:sz w:val="24"/>
        </w:rPr>
        <w:t>；</w:t>
      </w:r>
      <w:r>
        <w:rPr>
          <w:rFonts w:hint="eastAsia"/>
          <w:sz w:val="24"/>
        </w:rPr>
        <w:t>C</w:t>
      </w:r>
      <w:r>
        <w:rPr>
          <w:rFonts w:hint="eastAsia"/>
          <w:sz w:val="24"/>
        </w:rPr>
        <w:t>类代码：</w:t>
      </w:r>
      <w:r>
        <w:rPr>
          <w:sz w:val="24"/>
        </w:rPr>
        <w:t>028884</w:t>
      </w:r>
      <w:r>
        <w:rPr>
          <w:rFonts w:hint="eastAsia"/>
          <w:sz w:val="24"/>
        </w:rPr>
        <w:t>。</w:t>
      </w:r>
    </w:p>
    <w:p w14:paraId="591B364A" w14:textId="77777777" w:rsidR="008B1E3F" w:rsidRDefault="005B0A08">
      <w:pPr>
        <w:spacing w:line="360" w:lineRule="auto"/>
        <w:ind w:firstLineChars="200" w:firstLine="480"/>
        <w:rPr>
          <w:sz w:val="24"/>
        </w:rPr>
      </w:pPr>
      <w:r>
        <w:rPr>
          <w:sz w:val="24"/>
        </w:rPr>
        <w:t>3.</w:t>
      </w:r>
      <w:r>
        <w:rPr>
          <w:rFonts w:hint="eastAsia"/>
          <w:sz w:val="24"/>
        </w:rPr>
        <w:t>基金的类型：混合</w:t>
      </w:r>
      <w:r>
        <w:rPr>
          <w:rFonts w:hint="eastAsia"/>
          <w:bCs/>
          <w:sz w:val="24"/>
        </w:rPr>
        <w:t>型证券投资基金</w:t>
      </w:r>
      <w:r>
        <w:rPr>
          <w:rFonts w:hint="eastAsia"/>
          <w:sz w:val="24"/>
        </w:rPr>
        <w:t>。</w:t>
      </w:r>
    </w:p>
    <w:p w14:paraId="03FE8CEE" w14:textId="77777777" w:rsidR="008B1E3F" w:rsidRDefault="005B0A08">
      <w:pPr>
        <w:autoSpaceDE w:val="0"/>
        <w:autoSpaceDN w:val="0"/>
        <w:adjustRightInd w:val="0"/>
        <w:spacing w:line="360" w:lineRule="auto"/>
        <w:ind w:firstLineChars="200" w:firstLine="480"/>
        <w:rPr>
          <w:sz w:val="24"/>
        </w:rPr>
      </w:pPr>
      <w:r>
        <w:rPr>
          <w:sz w:val="24"/>
        </w:rPr>
        <w:t>4.</w:t>
      </w:r>
      <w:r>
        <w:rPr>
          <w:rFonts w:hint="eastAsia"/>
          <w:sz w:val="24"/>
        </w:rPr>
        <w:t>基金的运作方式：</w:t>
      </w:r>
      <w:r>
        <w:rPr>
          <w:sz w:val="24"/>
        </w:rPr>
        <w:t>契约型开放式</w:t>
      </w:r>
      <w:r>
        <w:rPr>
          <w:rFonts w:hint="eastAsia"/>
          <w:sz w:val="24"/>
        </w:rPr>
        <w:t>。</w:t>
      </w:r>
    </w:p>
    <w:p w14:paraId="57712F72" w14:textId="77777777" w:rsidR="008B1E3F" w:rsidRDefault="005B0A08">
      <w:pPr>
        <w:autoSpaceDE w:val="0"/>
        <w:autoSpaceDN w:val="0"/>
        <w:adjustRightInd w:val="0"/>
        <w:spacing w:line="360" w:lineRule="auto"/>
        <w:ind w:firstLineChars="200" w:firstLine="480"/>
        <w:rPr>
          <w:sz w:val="24"/>
        </w:rPr>
      </w:pPr>
      <w:r>
        <w:rPr>
          <w:sz w:val="24"/>
        </w:rPr>
        <w:t>5.</w:t>
      </w:r>
      <w:r>
        <w:rPr>
          <w:rFonts w:hint="eastAsia"/>
          <w:sz w:val="24"/>
        </w:rPr>
        <w:t>基金存续期间：不定期。</w:t>
      </w:r>
    </w:p>
    <w:p w14:paraId="48C7658F" w14:textId="77777777" w:rsidR="008B1E3F" w:rsidRDefault="005B0A08">
      <w:pPr>
        <w:spacing w:line="360" w:lineRule="auto"/>
        <w:ind w:firstLineChars="200" w:firstLine="480"/>
        <w:rPr>
          <w:bCs/>
          <w:sz w:val="24"/>
        </w:rPr>
      </w:pPr>
      <w:r>
        <w:rPr>
          <w:sz w:val="24"/>
        </w:rPr>
        <w:t>6.</w:t>
      </w:r>
      <w:r>
        <w:rPr>
          <w:bCs/>
          <w:sz w:val="24"/>
        </w:rPr>
        <w:t>基金份额发售面值</w:t>
      </w:r>
      <w:r>
        <w:rPr>
          <w:rFonts w:hint="eastAsia"/>
          <w:bCs/>
          <w:sz w:val="24"/>
        </w:rPr>
        <w:t>：</w:t>
      </w:r>
      <w:r>
        <w:rPr>
          <w:rFonts w:hint="eastAsia"/>
          <w:sz w:val="24"/>
        </w:rPr>
        <w:t>人民币</w:t>
      </w:r>
      <w:r>
        <w:rPr>
          <w:rFonts w:hint="eastAsia"/>
          <w:sz w:val="24"/>
        </w:rPr>
        <w:t>1.00</w:t>
      </w:r>
      <w:r>
        <w:rPr>
          <w:rFonts w:hint="eastAsia"/>
          <w:sz w:val="24"/>
        </w:rPr>
        <w:t>元</w:t>
      </w:r>
      <w:r>
        <w:rPr>
          <w:bCs/>
          <w:sz w:val="24"/>
        </w:rPr>
        <w:t>。</w:t>
      </w:r>
    </w:p>
    <w:p w14:paraId="6725EE1C" w14:textId="77777777" w:rsidR="008B1E3F" w:rsidRDefault="005B0A08">
      <w:pPr>
        <w:spacing w:line="360" w:lineRule="auto"/>
        <w:ind w:firstLineChars="200" w:firstLine="480"/>
        <w:rPr>
          <w:rFonts w:ascii="宋体" w:hAnsi="宋体" w:cs="宋体"/>
          <w:color w:val="000000"/>
          <w:kern w:val="0"/>
          <w:sz w:val="24"/>
        </w:rPr>
      </w:pPr>
      <w:r>
        <w:rPr>
          <w:sz w:val="24"/>
        </w:rPr>
        <w:t>7.</w:t>
      </w:r>
      <w:r>
        <w:rPr>
          <w:sz w:val="24"/>
        </w:rPr>
        <w:t>投</w:t>
      </w:r>
      <w:r>
        <w:rPr>
          <w:rFonts w:ascii="宋体" w:hAnsi="宋体" w:cs="宋体" w:hint="eastAsia"/>
          <w:color w:val="000000"/>
          <w:kern w:val="0"/>
          <w:sz w:val="24"/>
        </w:rPr>
        <w:t>资目标：</w:t>
      </w:r>
      <w:r>
        <w:rPr>
          <w:rFonts w:hint="eastAsia"/>
          <w:bCs/>
          <w:sz w:val="24"/>
        </w:rPr>
        <w:t>本基金在控制风险的前提下，力争通过积极主动的投资管理，追求超越业绩比较基准的投资回报</w:t>
      </w:r>
      <w:r>
        <w:rPr>
          <w:rFonts w:ascii="宋体" w:hAnsi="宋体" w:cs="宋体" w:hint="eastAsia"/>
          <w:color w:val="000000"/>
          <w:kern w:val="0"/>
          <w:sz w:val="24"/>
        </w:rPr>
        <w:t>。</w:t>
      </w:r>
    </w:p>
    <w:p w14:paraId="310F519F" w14:textId="77777777" w:rsidR="008B1E3F" w:rsidRDefault="005B0A08">
      <w:pPr>
        <w:spacing w:line="360" w:lineRule="auto"/>
        <w:ind w:firstLineChars="200" w:firstLine="480"/>
        <w:rPr>
          <w:bCs/>
          <w:sz w:val="24"/>
        </w:rPr>
      </w:pPr>
      <w:r>
        <w:rPr>
          <w:rFonts w:hint="eastAsia"/>
          <w:sz w:val="24"/>
        </w:rPr>
        <w:t>8</w:t>
      </w:r>
      <w:r>
        <w:rPr>
          <w:sz w:val="24"/>
        </w:rPr>
        <w:t>.</w:t>
      </w:r>
      <w:r>
        <w:rPr>
          <w:rFonts w:ascii="宋体" w:hAnsi="宋体" w:cs="宋体" w:hint="eastAsia"/>
          <w:color w:val="000000"/>
          <w:kern w:val="0"/>
          <w:sz w:val="24"/>
        </w:rPr>
        <w:t>投资范围：</w:t>
      </w:r>
      <w:bookmarkStart w:id="1" w:name="OLE_LINK2"/>
      <w:bookmarkStart w:id="2" w:name="OLE_LINK3"/>
    </w:p>
    <w:p w14:paraId="6C29E20D" w14:textId="77777777" w:rsidR="008B1E3F" w:rsidRDefault="005B0A08">
      <w:pPr>
        <w:spacing w:line="360" w:lineRule="auto"/>
        <w:ind w:firstLineChars="200" w:firstLine="480"/>
        <w:rPr>
          <w:bCs/>
          <w:sz w:val="24"/>
        </w:rPr>
      </w:pPr>
      <w:r>
        <w:rPr>
          <w:rFonts w:hint="eastAsia"/>
          <w:bCs/>
          <w:sz w:val="24"/>
        </w:rPr>
        <w:t>本基金的投资范围为具有良好流动性的金融工具，包括国内依法发行或上市的股票（含主板、创业板、存托凭证及其他经中国证监会核准或注册上市的股票）、内地与香港股票市场交易互联互通机制下允许买卖的香港</w:t>
      </w:r>
      <w:r>
        <w:rPr>
          <w:rFonts w:hint="eastAsia"/>
          <w:bCs/>
          <w:sz w:val="24"/>
        </w:rPr>
        <w:t>联合交易所上市股票（以下简称“港股通标的股票”）、债券（含国债、央行票据、金融债券、政府支持债券、政府支持机构债券、地方政府债券、企业债券、公司债券、可转换债券（含可分离交易可转换债券）、可交换债券、公开发行的次级债券、中期票据、短期融资券、超短期融资券等）、货币市场工具、债券回购、同业存单、银行存款（含协议存款、定期存款及其他银行存款）、股指期货、国债期货、股票期权、资产支持证券以及法律法规或中国证监会允许基金投资的其他金融工具（但须符合中国证监会的相关规定）。</w:t>
      </w:r>
    </w:p>
    <w:p w14:paraId="7506257C" w14:textId="77777777" w:rsidR="008B1E3F" w:rsidRDefault="005B0A08">
      <w:pPr>
        <w:spacing w:line="360" w:lineRule="auto"/>
        <w:ind w:firstLineChars="200" w:firstLine="480"/>
        <w:rPr>
          <w:bCs/>
          <w:sz w:val="24"/>
        </w:rPr>
      </w:pPr>
      <w:r>
        <w:rPr>
          <w:rFonts w:hint="eastAsia"/>
          <w:bCs/>
          <w:sz w:val="24"/>
        </w:rPr>
        <w:t>本基金可根据相关法律法规和基金合同的约定，</w:t>
      </w:r>
      <w:r>
        <w:rPr>
          <w:rFonts w:hint="eastAsia"/>
          <w:bCs/>
          <w:sz w:val="24"/>
        </w:rPr>
        <w:t>参与融资业务。</w:t>
      </w:r>
    </w:p>
    <w:p w14:paraId="42529DD7" w14:textId="77777777" w:rsidR="008B1E3F" w:rsidRDefault="005B0A08">
      <w:pPr>
        <w:spacing w:line="360" w:lineRule="auto"/>
        <w:ind w:firstLineChars="200" w:firstLine="480"/>
        <w:rPr>
          <w:bCs/>
          <w:sz w:val="24"/>
        </w:rPr>
      </w:pPr>
      <w:r>
        <w:rPr>
          <w:rFonts w:hint="eastAsia"/>
          <w:bCs/>
          <w:sz w:val="24"/>
        </w:rPr>
        <w:t>如法律法规或监管机构以后允许基金投资其他品种，基金管理人在履行适当程序后，可以将其纳入投资范围。</w:t>
      </w:r>
    </w:p>
    <w:p w14:paraId="72EFDD1D" w14:textId="77777777" w:rsidR="008B1E3F" w:rsidRDefault="005B0A08">
      <w:pPr>
        <w:spacing w:line="360" w:lineRule="auto"/>
        <w:ind w:firstLineChars="200" w:firstLine="480"/>
        <w:rPr>
          <w:bCs/>
          <w:sz w:val="24"/>
        </w:rPr>
      </w:pPr>
      <w:r>
        <w:rPr>
          <w:rFonts w:hint="eastAsia"/>
          <w:bCs/>
          <w:sz w:val="24"/>
        </w:rPr>
        <w:t>本基金的投资组合比例为：</w:t>
      </w:r>
    </w:p>
    <w:p w14:paraId="567E51EC" w14:textId="77777777" w:rsidR="008B1E3F" w:rsidRDefault="005B0A08">
      <w:pPr>
        <w:spacing w:line="360" w:lineRule="auto"/>
        <w:ind w:firstLineChars="200" w:firstLine="480"/>
        <w:rPr>
          <w:bCs/>
          <w:sz w:val="24"/>
        </w:rPr>
      </w:pPr>
      <w:r>
        <w:rPr>
          <w:rFonts w:hint="eastAsia"/>
          <w:bCs/>
          <w:sz w:val="24"/>
        </w:rPr>
        <w:t>股票投资比例为基金资产的</w:t>
      </w:r>
      <w:r>
        <w:rPr>
          <w:rFonts w:hint="eastAsia"/>
          <w:bCs/>
          <w:sz w:val="24"/>
        </w:rPr>
        <w:t>60%-95%</w:t>
      </w:r>
      <w:r>
        <w:rPr>
          <w:rFonts w:hint="eastAsia"/>
          <w:bCs/>
          <w:sz w:val="24"/>
        </w:rPr>
        <w:t>，其中，投资于港股通标的股票的比例为股票资产的</w:t>
      </w:r>
      <w:r>
        <w:rPr>
          <w:rFonts w:hint="eastAsia"/>
          <w:bCs/>
          <w:sz w:val="24"/>
        </w:rPr>
        <w:t>0%-50%</w:t>
      </w:r>
      <w:r>
        <w:rPr>
          <w:rFonts w:hint="eastAsia"/>
          <w:bCs/>
          <w:sz w:val="24"/>
        </w:rPr>
        <w:t>；每个交易日日终，在扣除股指期货、国债期货和股票期权合约需缴纳的交易保证金后，应当保持不低于基金资产净值的</w:t>
      </w:r>
      <w:r>
        <w:rPr>
          <w:rFonts w:hint="eastAsia"/>
          <w:bCs/>
          <w:sz w:val="24"/>
        </w:rPr>
        <w:t>5%</w:t>
      </w:r>
      <w:r>
        <w:rPr>
          <w:rFonts w:hint="eastAsia"/>
          <w:bCs/>
          <w:sz w:val="24"/>
        </w:rPr>
        <w:t>的现金或到期日在一年以内的政府债券，其中现金不包括结算备付金、存出保证金、应收申购款等。股指期货、国债期货、股票期权及其他金融工具的投资比例符合法律法</w:t>
      </w:r>
      <w:r>
        <w:rPr>
          <w:rFonts w:hint="eastAsia"/>
          <w:bCs/>
          <w:sz w:val="24"/>
        </w:rPr>
        <w:lastRenderedPageBreak/>
        <w:t>规和监管机构的规</w:t>
      </w:r>
      <w:r>
        <w:rPr>
          <w:rFonts w:hint="eastAsia"/>
          <w:bCs/>
          <w:sz w:val="24"/>
        </w:rPr>
        <w:t>定。</w:t>
      </w:r>
    </w:p>
    <w:p w14:paraId="52886CDC" w14:textId="77777777" w:rsidR="008B1E3F" w:rsidRDefault="005B0A08">
      <w:pPr>
        <w:spacing w:line="360" w:lineRule="auto"/>
        <w:ind w:firstLineChars="200" w:firstLine="480"/>
        <w:rPr>
          <w:bCs/>
          <w:sz w:val="24"/>
        </w:rPr>
      </w:pPr>
      <w:r>
        <w:rPr>
          <w:rFonts w:hint="eastAsia"/>
          <w:bCs/>
          <w:sz w:val="24"/>
        </w:rPr>
        <w:t>如法律法规或监管机构变更投资品种的投资比例限制，基金管理人在履行适当程序后，可以调整上述投资品种的投资比例</w:t>
      </w:r>
      <w:r>
        <w:rPr>
          <w:bCs/>
          <w:sz w:val="24"/>
        </w:rPr>
        <w:t>。</w:t>
      </w:r>
    </w:p>
    <w:bookmarkEnd w:id="1"/>
    <w:bookmarkEnd w:id="2"/>
    <w:p w14:paraId="56C508AA" w14:textId="77777777" w:rsidR="008B1E3F" w:rsidRDefault="005B0A08">
      <w:pPr>
        <w:widowControl/>
        <w:spacing w:line="360" w:lineRule="auto"/>
        <w:ind w:firstLineChars="200" w:firstLine="480"/>
        <w:rPr>
          <w:sz w:val="24"/>
        </w:rPr>
      </w:pPr>
      <w:r>
        <w:rPr>
          <w:rFonts w:hint="eastAsia"/>
          <w:sz w:val="24"/>
        </w:rPr>
        <w:t>9</w:t>
      </w:r>
      <w:r>
        <w:rPr>
          <w:sz w:val="24"/>
        </w:rPr>
        <w:t>.</w:t>
      </w:r>
      <w:r>
        <w:rPr>
          <w:rFonts w:hint="eastAsia"/>
          <w:sz w:val="24"/>
        </w:rPr>
        <w:t>销售机构</w:t>
      </w:r>
    </w:p>
    <w:p w14:paraId="5FEA4C4E" w14:textId="77777777" w:rsidR="008B1E3F" w:rsidRDefault="005B0A08">
      <w:pPr>
        <w:tabs>
          <w:tab w:val="left" w:pos="0"/>
        </w:tabs>
        <w:spacing w:line="360" w:lineRule="auto"/>
        <w:ind w:firstLineChars="200" w:firstLine="480"/>
        <w:rPr>
          <w:sz w:val="24"/>
        </w:rPr>
      </w:pPr>
      <w:r>
        <w:rPr>
          <w:sz w:val="24"/>
        </w:rPr>
        <w:t>本基金的销售机构为直销机构和基金管理人指定的销售代理机构。销售机构详见本公告第七部分第三项。</w:t>
      </w:r>
      <w:r>
        <w:rPr>
          <w:rFonts w:hint="eastAsia"/>
          <w:sz w:val="24"/>
        </w:rPr>
        <w:t>如本次募集期间，新增其他销售机构，将在本公司网址公示。</w:t>
      </w:r>
    </w:p>
    <w:p w14:paraId="3A7E316A" w14:textId="77777777" w:rsidR="008B1E3F" w:rsidRDefault="005B0A08">
      <w:pPr>
        <w:tabs>
          <w:tab w:val="left" w:pos="0"/>
        </w:tabs>
        <w:spacing w:line="360" w:lineRule="auto"/>
        <w:ind w:firstLineChars="200" w:firstLine="480"/>
        <w:rPr>
          <w:sz w:val="24"/>
        </w:rPr>
      </w:pPr>
      <w:r>
        <w:rPr>
          <w:rFonts w:hint="eastAsia"/>
          <w:sz w:val="24"/>
        </w:rPr>
        <w:t>10</w:t>
      </w:r>
      <w:r>
        <w:rPr>
          <w:sz w:val="24"/>
        </w:rPr>
        <w:t>.</w:t>
      </w:r>
      <w:r>
        <w:rPr>
          <w:rFonts w:hint="eastAsia"/>
          <w:sz w:val="24"/>
        </w:rPr>
        <w:t>募集时间安排</w:t>
      </w:r>
    </w:p>
    <w:p w14:paraId="163A8AA0" w14:textId="77777777" w:rsidR="008B1E3F" w:rsidRDefault="005B0A08">
      <w:pPr>
        <w:tabs>
          <w:tab w:val="left" w:pos="0"/>
        </w:tabs>
        <w:spacing w:line="360" w:lineRule="auto"/>
        <w:ind w:firstLineChars="200" w:firstLine="480"/>
        <w:rPr>
          <w:sz w:val="24"/>
        </w:rPr>
      </w:pPr>
      <w:r>
        <w:rPr>
          <w:rFonts w:hint="eastAsia"/>
          <w:sz w:val="24"/>
        </w:rPr>
        <w:t>本基金募集期为</w:t>
      </w:r>
      <w:r>
        <w:rPr>
          <w:bCs/>
          <w:sz w:val="24"/>
        </w:rPr>
        <w:t>2026</w:t>
      </w:r>
      <w:r>
        <w:rPr>
          <w:bCs/>
          <w:sz w:val="24"/>
        </w:rPr>
        <w:t>年</w:t>
      </w:r>
      <w:r>
        <w:rPr>
          <w:bCs/>
          <w:sz w:val="24"/>
        </w:rPr>
        <w:t>10</w:t>
      </w:r>
      <w:r>
        <w:rPr>
          <w:bCs/>
          <w:sz w:val="24"/>
        </w:rPr>
        <w:t>月</w:t>
      </w:r>
      <w:r>
        <w:rPr>
          <w:bCs/>
          <w:sz w:val="24"/>
        </w:rPr>
        <w:t>19</w:t>
      </w:r>
      <w:r>
        <w:rPr>
          <w:bCs/>
          <w:sz w:val="24"/>
        </w:rPr>
        <w:t>日至</w:t>
      </w:r>
      <w:r>
        <w:rPr>
          <w:bCs/>
          <w:sz w:val="24"/>
        </w:rPr>
        <w:t>2026</w:t>
      </w:r>
      <w:r>
        <w:rPr>
          <w:bCs/>
          <w:sz w:val="24"/>
        </w:rPr>
        <w:t>年</w:t>
      </w:r>
      <w:r>
        <w:rPr>
          <w:bCs/>
          <w:sz w:val="24"/>
        </w:rPr>
        <w:t>10</w:t>
      </w:r>
      <w:r>
        <w:rPr>
          <w:bCs/>
          <w:sz w:val="24"/>
        </w:rPr>
        <w:t>月</w:t>
      </w:r>
      <w:r>
        <w:rPr>
          <w:bCs/>
          <w:sz w:val="24"/>
        </w:rPr>
        <w:t>30</w:t>
      </w:r>
      <w:r>
        <w:rPr>
          <w:bCs/>
          <w:sz w:val="24"/>
        </w:rPr>
        <w:t>日</w:t>
      </w:r>
      <w:r>
        <w:rPr>
          <w:rFonts w:hint="eastAsia"/>
          <w:sz w:val="24"/>
        </w:rPr>
        <w:t>。</w:t>
      </w:r>
    </w:p>
    <w:p w14:paraId="190BC5CA" w14:textId="77777777" w:rsidR="008B1E3F" w:rsidRDefault="005B0A08">
      <w:pPr>
        <w:spacing w:line="360" w:lineRule="auto"/>
        <w:ind w:firstLineChars="200" w:firstLine="480"/>
        <w:rPr>
          <w:sz w:val="24"/>
        </w:rPr>
      </w:pPr>
      <w:r>
        <w:rPr>
          <w:rFonts w:hint="eastAsia"/>
          <w:sz w:val="24"/>
        </w:rPr>
        <w:t>如果募集期限届满，未满足基金备案条件，基金管理人应当承担下列责任：</w:t>
      </w:r>
    </w:p>
    <w:p w14:paraId="73AF8CA1" w14:textId="77777777" w:rsidR="008B1E3F" w:rsidRDefault="005B0A08">
      <w:pPr>
        <w:spacing w:line="360" w:lineRule="auto"/>
        <w:ind w:firstLineChars="200" w:firstLine="480"/>
        <w:rPr>
          <w:sz w:val="24"/>
        </w:rPr>
      </w:pPr>
      <w:r>
        <w:rPr>
          <w:rFonts w:hint="eastAsia"/>
          <w:sz w:val="24"/>
        </w:rPr>
        <w:t>（</w:t>
      </w:r>
      <w:r>
        <w:rPr>
          <w:sz w:val="24"/>
        </w:rPr>
        <w:t>1</w:t>
      </w:r>
      <w:r>
        <w:rPr>
          <w:rFonts w:hint="eastAsia"/>
          <w:sz w:val="24"/>
        </w:rPr>
        <w:t>）</w:t>
      </w:r>
      <w:r>
        <w:rPr>
          <w:rFonts w:hint="eastAsia"/>
          <w:sz w:val="24"/>
        </w:rPr>
        <w:t>以其固有财产承担因募集行为而产生的债务和费用；</w:t>
      </w:r>
    </w:p>
    <w:p w14:paraId="30B2E9CF" w14:textId="77777777" w:rsidR="008B1E3F" w:rsidRDefault="005B0A08">
      <w:pPr>
        <w:spacing w:line="360" w:lineRule="auto"/>
        <w:ind w:firstLineChars="200" w:firstLine="480"/>
        <w:rPr>
          <w:sz w:val="24"/>
        </w:rPr>
      </w:pPr>
      <w:r>
        <w:rPr>
          <w:rFonts w:hint="eastAsia"/>
          <w:sz w:val="24"/>
        </w:rPr>
        <w:t>（</w:t>
      </w:r>
      <w:r>
        <w:rPr>
          <w:sz w:val="24"/>
        </w:rPr>
        <w:t>2</w:t>
      </w:r>
      <w:r>
        <w:rPr>
          <w:rFonts w:hint="eastAsia"/>
          <w:sz w:val="24"/>
        </w:rPr>
        <w:t>）</w:t>
      </w:r>
      <w:r>
        <w:rPr>
          <w:rFonts w:hint="eastAsia"/>
          <w:sz w:val="24"/>
        </w:rPr>
        <w:t>在基金募集期限届满后</w:t>
      </w:r>
      <w:r>
        <w:rPr>
          <w:sz w:val="24"/>
        </w:rPr>
        <w:t>30</w:t>
      </w:r>
      <w:r>
        <w:rPr>
          <w:rFonts w:hint="eastAsia"/>
          <w:sz w:val="24"/>
        </w:rPr>
        <w:t>日内返还投资者已交纳的款项，并加计银行同期活期存款利息（税后）；</w:t>
      </w:r>
    </w:p>
    <w:p w14:paraId="5AC084A3" w14:textId="77777777" w:rsidR="008B1E3F" w:rsidRDefault="005B0A08">
      <w:pPr>
        <w:spacing w:line="360" w:lineRule="auto"/>
        <w:ind w:firstLineChars="200" w:firstLine="480"/>
        <w:rPr>
          <w:sz w:val="24"/>
        </w:rPr>
      </w:pPr>
      <w:r>
        <w:rPr>
          <w:rFonts w:hint="eastAsia"/>
          <w:sz w:val="24"/>
        </w:rPr>
        <w:t>（</w:t>
      </w:r>
      <w:r>
        <w:rPr>
          <w:sz w:val="24"/>
        </w:rPr>
        <w:t>3</w:t>
      </w:r>
      <w:r>
        <w:rPr>
          <w:rFonts w:hint="eastAsia"/>
          <w:sz w:val="24"/>
        </w:rPr>
        <w:t>）</w:t>
      </w:r>
      <w:r>
        <w:rPr>
          <w:rFonts w:hint="eastAsia"/>
          <w:sz w:val="24"/>
        </w:rPr>
        <w:t>如基金募集失败，基金管理人、基金托管人及销售机构不得请求报酬。基金管理人、基金托管人和销售机构为基金募集支付之一切费用应由各方各自承担。</w:t>
      </w:r>
    </w:p>
    <w:p w14:paraId="26AD4446" w14:textId="77777777" w:rsidR="008B1E3F" w:rsidRDefault="005B0A08">
      <w:pPr>
        <w:tabs>
          <w:tab w:val="left" w:pos="0"/>
        </w:tabs>
        <w:spacing w:line="360" w:lineRule="auto"/>
        <w:ind w:firstLineChars="200" w:firstLine="480"/>
        <w:rPr>
          <w:sz w:val="24"/>
        </w:rPr>
      </w:pPr>
      <w:r>
        <w:rPr>
          <w:rFonts w:hint="eastAsia"/>
          <w:sz w:val="24"/>
        </w:rPr>
        <w:t>基金管理人可根据认购和市场情况提前结束发售，如发生此种情况，基金管理人将会另行公告。另外，如遇突发事件，以上基金募集期的安排也可以适当调整。</w:t>
      </w:r>
    </w:p>
    <w:p w14:paraId="6020E9D9" w14:textId="77777777" w:rsidR="008B1E3F" w:rsidRDefault="008B1E3F">
      <w:pPr>
        <w:pStyle w:val="af1"/>
        <w:ind w:firstLine="460"/>
        <w:rPr>
          <w:rFonts w:cs="宋体"/>
          <w:color w:val="000000"/>
          <w:kern w:val="0"/>
          <w:sz w:val="23"/>
          <w:szCs w:val="23"/>
        </w:rPr>
      </w:pPr>
    </w:p>
    <w:p w14:paraId="69B8216A" w14:textId="77777777" w:rsidR="008B1E3F" w:rsidRDefault="005B0A08">
      <w:pPr>
        <w:spacing w:line="360" w:lineRule="auto"/>
        <w:ind w:firstLineChars="200" w:firstLine="562"/>
        <w:rPr>
          <w:b/>
          <w:sz w:val="28"/>
          <w:szCs w:val="28"/>
        </w:rPr>
      </w:pPr>
      <w:r>
        <w:rPr>
          <w:rFonts w:hint="eastAsia"/>
          <w:b/>
          <w:sz w:val="28"/>
          <w:szCs w:val="28"/>
        </w:rPr>
        <w:t>二、募集方式及相关规定</w:t>
      </w:r>
    </w:p>
    <w:p w14:paraId="57E6DBD0" w14:textId="77777777" w:rsidR="008B1E3F" w:rsidRDefault="005B0A08">
      <w:pPr>
        <w:tabs>
          <w:tab w:val="left" w:pos="0"/>
        </w:tabs>
        <w:spacing w:line="360" w:lineRule="auto"/>
        <w:ind w:firstLineChars="200" w:firstLine="480"/>
        <w:rPr>
          <w:sz w:val="24"/>
        </w:rPr>
      </w:pPr>
      <w:r>
        <w:rPr>
          <w:rFonts w:ascii="宋体" w:hAnsi="宋体"/>
          <w:kern w:val="0"/>
          <w:sz w:val="24"/>
        </w:rPr>
        <w:t>1.</w:t>
      </w:r>
      <w:r>
        <w:rPr>
          <w:sz w:val="24"/>
        </w:rPr>
        <w:t>募集对象</w:t>
      </w:r>
    </w:p>
    <w:p w14:paraId="4E8BA183" w14:textId="77777777" w:rsidR="008B1E3F" w:rsidRDefault="005B0A08">
      <w:pPr>
        <w:tabs>
          <w:tab w:val="left" w:pos="0"/>
        </w:tabs>
        <w:spacing w:line="360" w:lineRule="auto"/>
        <w:ind w:firstLineChars="200" w:firstLine="480"/>
        <w:rPr>
          <w:rFonts w:ascii="宋体" w:hAnsi="宋体"/>
          <w:kern w:val="0"/>
          <w:sz w:val="24"/>
        </w:rPr>
      </w:pPr>
      <w:r>
        <w:rPr>
          <w:rFonts w:ascii="宋体" w:hAnsi="宋体"/>
          <w:kern w:val="0"/>
          <w:sz w:val="24"/>
        </w:rPr>
        <w:t>在募集期内面</w:t>
      </w:r>
      <w:r>
        <w:rPr>
          <w:rFonts w:ascii="宋体" w:hAnsi="宋体" w:hint="eastAsia"/>
          <w:kern w:val="0"/>
          <w:sz w:val="24"/>
        </w:rPr>
        <w:t>向符合法律法规规定的可投资于证券投资基金的个人投资者、机构投资者、合格境外投资者以及法律法规或中国证监会允许购买证券投资基金的其他投资人。</w:t>
      </w:r>
    </w:p>
    <w:p w14:paraId="5DC00E75" w14:textId="77777777" w:rsidR="008B1E3F" w:rsidRDefault="005B0A08">
      <w:pPr>
        <w:tabs>
          <w:tab w:val="left" w:pos="0"/>
        </w:tabs>
        <w:spacing w:line="360" w:lineRule="auto"/>
        <w:ind w:firstLineChars="200" w:firstLine="480"/>
        <w:rPr>
          <w:sz w:val="24"/>
        </w:rPr>
      </w:pPr>
      <w:r>
        <w:rPr>
          <w:sz w:val="24"/>
        </w:rPr>
        <w:t>2.</w:t>
      </w:r>
      <w:r>
        <w:rPr>
          <w:rFonts w:hint="eastAsia"/>
          <w:sz w:val="24"/>
        </w:rPr>
        <w:t>认购方式与费率</w:t>
      </w:r>
    </w:p>
    <w:p w14:paraId="0EB566BA" w14:textId="77777777" w:rsidR="008B1E3F" w:rsidRDefault="005B0A08">
      <w:pPr>
        <w:widowControl/>
        <w:snapToGrid w:val="0"/>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A</w:t>
      </w:r>
      <w:r>
        <w:rPr>
          <w:rFonts w:hint="eastAsia"/>
          <w:sz w:val="24"/>
        </w:rPr>
        <w:t>类</w:t>
      </w:r>
      <w:r>
        <w:rPr>
          <w:rFonts w:hint="eastAsia"/>
          <w:sz w:val="24"/>
        </w:rPr>
        <w:t>基金份额</w:t>
      </w:r>
    </w:p>
    <w:p w14:paraId="158FC29C" w14:textId="77777777" w:rsidR="008B1E3F" w:rsidRDefault="005B0A08">
      <w:pPr>
        <w:spacing w:line="360" w:lineRule="auto"/>
        <w:ind w:firstLineChars="200" w:firstLine="480"/>
        <w:rPr>
          <w:bCs/>
          <w:sz w:val="24"/>
        </w:rPr>
      </w:pPr>
      <w:r>
        <w:rPr>
          <w:rFonts w:hint="eastAsia"/>
          <w:bCs/>
          <w:sz w:val="24"/>
        </w:rPr>
        <w:t>通过</w:t>
      </w:r>
      <w:r>
        <w:rPr>
          <w:rFonts w:hint="eastAsia"/>
          <w:bCs/>
          <w:sz w:val="24"/>
        </w:rPr>
        <w:t>直销机构</w:t>
      </w:r>
      <w:r>
        <w:rPr>
          <w:rFonts w:hint="eastAsia"/>
          <w:bCs/>
          <w:sz w:val="24"/>
        </w:rPr>
        <w:t>认购本基金</w:t>
      </w:r>
      <w:r>
        <w:rPr>
          <w:rFonts w:hint="eastAsia"/>
          <w:sz w:val="24"/>
        </w:rPr>
        <w:t>A</w:t>
      </w:r>
      <w:r>
        <w:rPr>
          <w:rFonts w:hint="eastAsia"/>
          <w:sz w:val="24"/>
        </w:rPr>
        <w:t>类</w:t>
      </w:r>
      <w:r>
        <w:rPr>
          <w:rFonts w:hint="eastAsia"/>
          <w:bCs/>
          <w:sz w:val="24"/>
        </w:rPr>
        <w:t>基金份额的，不收取认购费。</w:t>
      </w:r>
    </w:p>
    <w:p w14:paraId="4DDE7EC9" w14:textId="77777777" w:rsidR="008B1E3F" w:rsidRDefault="005B0A08">
      <w:pPr>
        <w:spacing w:line="360" w:lineRule="auto"/>
        <w:ind w:firstLineChars="200" w:firstLine="480"/>
        <w:rPr>
          <w:sz w:val="24"/>
        </w:rPr>
      </w:pPr>
      <w:r>
        <w:rPr>
          <w:rFonts w:hint="eastAsia"/>
          <w:sz w:val="24"/>
        </w:rPr>
        <w:t>通过代销机构认购</w:t>
      </w:r>
      <w:r>
        <w:rPr>
          <w:sz w:val="24"/>
        </w:rPr>
        <w:t>本基金</w:t>
      </w:r>
      <w:r>
        <w:rPr>
          <w:sz w:val="24"/>
        </w:rPr>
        <w:t>A</w:t>
      </w:r>
      <w:r>
        <w:rPr>
          <w:sz w:val="24"/>
        </w:rPr>
        <w:t>类基金份额</w:t>
      </w:r>
      <w:r>
        <w:rPr>
          <w:rFonts w:hint="eastAsia"/>
          <w:sz w:val="24"/>
        </w:rPr>
        <w:t>的</w:t>
      </w:r>
      <w:r>
        <w:rPr>
          <w:sz w:val="24"/>
        </w:rPr>
        <w:t>，采用前端收费模式，费率按认</w:t>
      </w:r>
      <w:r>
        <w:rPr>
          <w:sz w:val="24"/>
        </w:rPr>
        <w:lastRenderedPageBreak/>
        <w:t>购金额采用比例费率或固定费</w:t>
      </w:r>
      <w:r>
        <w:rPr>
          <w:rFonts w:hint="eastAsia"/>
          <w:sz w:val="24"/>
        </w:rPr>
        <w:t>用</w:t>
      </w:r>
      <w:r>
        <w:rPr>
          <w:sz w:val="24"/>
        </w:rPr>
        <w:t>，投资人在一天之内如果有多笔认购，适用费率按单笔分别计算。</w:t>
      </w:r>
    </w:p>
    <w:p w14:paraId="679BD324" w14:textId="77777777" w:rsidR="008B1E3F" w:rsidRDefault="005B0A08">
      <w:pPr>
        <w:spacing w:line="360" w:lineRule="auto"/>
        <w:ind w:firstLineChars="200" w:firstLine="480"/>
        <w:rPr>
          <w:sz w:val="24"/>
        </w:rPr>
      </w:pPr>
      <w:r>
        <w:rPr>
          <w:rFonts w:hint="eastAsia"/>
          <w:sz w:val="24"/>
        </w:rPr>
        <w:t>投资者通过代销机构认购本基金</w:t>
      </w:r>
      <w:r>
        <w:rPr>
          <w:rFonts w:hint="eastAsia"/>
          <w:sz w:val="24"/>
        </w:rPr>
        <w:t>A</w:t>
      </w:r>
      <w:r>
        <w:rPr>
          <w:rFonts w:hint="eastAsia"/>
          <w:sz w:val="24"/>
        </w:rPr>
        <w:t>类基金份额的</w:t>
      </w:r>
      <w:r>
        <w:rPr>
          <w:sz w:val="24"/>
        </w:rPr>
        <w:t>具体费率如下：</w:t>
      </w:r>
    </w:p>
    <w:tbl>
      <w:tblPr>
        <w:tblW w:w="66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9"/>
        <w:gridCol w:w="3231"/>
      </w:tblGrid>
      <w:tr w:rsidR="008B1E3F" w14:paraId="591F0B30" w14:textId="77777777">
        <w:tc>
          <w:tcPr>
            <w:tcW w:w="3429" w:type="dxa"/>
            <w:tcBorders>
              <w:top w:val="single" w:sz="4" w:space="0" w:color="auto"/>
              <w:left w:val="single" w:sz="4" w:space="0" w:color="auto"/>
              <w:bottom w:val="single" w:sz="4" w:space="0" w:color="auto"/>
              <w:right w:val="single" w:sz="4" w:space="0" w:color="auto"/>
            </w:tcBorders>
          </w:tcPr>
          <w:p w14:paraId="4FC78B9A" w14:textId="77777777" w:rsidR="008B1E3F" w:rsidRDefault="005B0A08">
            <w:pPr>
              <w:pStyle w:val="af1"/>
              <w:tabs>
                <w:tab w:val="left" w:pos="3780"/>
              </w:tabs>
              <w:ind w:firstLineChars="192" w:firstLine="405"/>
              <w:rPr>
                <w:b/>
                <w:szCs w:val="21"/>
              </w:rPr>
            </w:pPr>
            <w:r>
              <w:rPr>
                <w:rFonts w:hint="eastAsia"/>
                <w:b/>
                <w:szCs w:val="21"/>
              </w:rPr>
              <w:t>认购金额（</w:t>
            </w:r>
            <w:r>
              <w:rPr>
                <w:rFonts w:hint="eastAsia"/>
                <w:b/>
                <w:szCs w:val="21"/>
              </w:rPr>
              <w:t>M</w:t>
            </w:r>
            <w:r>
              <w:rPr>
                <w:rFonts w:hint="eastAsia"/>
                <w:b/>
                <w:szCs w:val="21"/>
              </w:rPr>
              <w:t>）区间</w:t>
            </w:r>
          </w:p>
        </w:tc>
        <w:tc>
          <w:tcPr>
            <w:tcW w:w="3231" w:type="dxa"/>
            <w:tcBorders>
              <w:top w:val="single" w:sz="4" w:space="0" w:color="auto"/>
              <w:left w:val="single" w:sz="4" w:space="0" w:color="auto"/>
              <w:bottom w:val="single" w:sz="4" w:space="0" w:color="auto"/>
              <w:right w:val="single" w:sz="4" w:space="0" w:color="auto"/>
            </w:tcBorders>
          </w:tcPr>
          <w:p w14:paraId="5DDE0303" w14:textId="77777777" w:rsidR="008B1E3F" w:rsidRDefault="005B0A08">
            <w:pPr>
              <w:pStyle w:val="af1"/>
              <w:tabs>
                <w:tab w:val="left" w:pos="3780"/>
              </w:tabs>
              <w:ind w:firstLineChars="192" w:firstLine="405"/>
              <w:rPr>
                <w:b/>
                <w:szCs w:val="21"/>
              </w:rPr>
            </w:pPr>
            <w:r>
              <w:rPr>
                <w:rFonts w:hint="eastAsia"/>
                <w:b/>
                <w:szCs w:val="21"/>
              </w:rPr>
              <w:t>A</w:t>
            </w:r>
            <w:r>
              <w:rPr>
                <w:rFonts w:hint="eastAsia"/>
                <w:b/>
                <w:szCs w:val="21"/>
              </w:rPr>
              <w:t>类基金份额认购费率</w:t>
            </w:r>
          </w:p>
        </w:tc>
      </w:tr>
      <w:tr w:rsidR="008B1E3F" w14:paraId="428B7191" w14:textId="77777777">
        <w:tc>
          <w:tcPr>
            <w:tcW w:w="3429" w:type="dxa"/>
            <w:tcBorders>
              <w:top w:val="single" w:sz="4" w:space="0" w:color="auto"/>
              <w:left w:val="single" w:sz="4" w:space="0" w:color="auto"/>
              <w:bottom w:val="single" w:sz="4" w:space="0" w:color="auto"/>
              <w:right w:val="single" w:sz="4" w:space="0" w:color="auto"/>
            </w:tcBorders>
          </w:tcPr>
          <w:p w14:paraId="6E51E939" w14:textId="77777777" w:rsidR="008B1E3F" w:rsidRDefault="005B0A08">
            <w:pPr>
              <w:pStyle w:val="af1"/>
              <w:tabs>
                <w:tab w:val="left" w:pos="3780"/>
              </w:tabs>
              <w:ind w:firstLineChars="192" w:firstLine="405"/>
              <w:rPr>
                <w:b/>
                <w:szCs w:val="21"/>
              </w:rPr>
            </w:pPr>
            <w:r>
              <w:rPr>
                <w:rFonts w:hint="eastAsia"/>
                <w:b/>
                <w:szCs w:val="21"/>
              </w:rPr>
              <w:t>M&lt;</w:t>
            </w:r>
            <w:r>
              <w:rPr>
                <w:b/>
                <w:szCs w:val="21"/>
              </w:rPr>
              <w:t>5</w:t>
            </w:r>
            <w:r>
              <w:rPr>
                <w:rFonts w:hint="eastAsia"/>
                <w:b/>
                <w:szCs w:val="21"/>
              </w:rPr>
              <w:t>00</w:t>
            </w:r>
            <w:r>
              <w:rPr>
                <w:rFonts w:hint="eastAsia"/>
                <w:b/>
                <w:szCs w:val="21"/>
              </w:rPr>
              <w:t>万元</w:t>
            </w:r>
          </w:p>
        </w:tc>
        <w:tc>
          <w:tcPr>
            <w:tcW w:w="3231" w:type="dxa"/>
            <w:tcBorders>
              <w:top w:val="single" w:sz="4" w:space="0" w:color="auto"/>
              <w:left w:val="single" w:sz="4" w:space="0" w:color="auto"/>
              <w:bottom w:val="single" w:sz="4" w:space="0" w:color="auto"/>
              <w:right w:val="single" w:sz="4" w:space="0" w:color="auto"/>
            </w:tcBorders>
          </w:tcPr>
          <w:p w14:paraId="0D576DB6" w14:textId="77777777" w:rsidR="008B1E3F" w:rsidRDefault="005B0A08">
            <w:pPr>
              <w:pStyle w:val="af1"/>
              <w:tabs>
                <w:tab w:val="left" w:pos="3780"/>
              </w:tabs>
              <w:ind w:firstLineChars="192" w:firstLine="405"/>
              <w:rPr>
                <w:b/>
                <w:szCs w:val="21"/>
              </w:rPr>
            </w:pPr>
            <w:r>
              <w:rPr>
                <w:rFonts w:hint="eastAsia"/>
                <w:b/>
                <w:szCs w:val="21"/>
              </w:rPr>
              <w:t>0.8</w:t>
            </w:r>
            <w:r>
              <w:rPr>
                <w:rFonts w:hint="eastAsia"/>
                <w:b/>
                <w:szCs w:val="21"/>
              </w:rPr>
              <w:t>％</w:t>
            </w:r>
          </w:p>
        </w:tc>
      </w:tr>
      <w:tr w:rsidR="008B1E3F" w14:paraId="7F8D6D8A" w14:textId="77777777">
        <w:tc>
          <w:tcPr>
            <w:tcW w:w="3429" w:type="dxa"/>
            <w:tcBorders>
              <w:top w:val="single" w:sz="4" w:space="0" w:color="auto"/>
              <w:left w:val="single" w:sz="4" w:space="0" w:color="auto"/>
              <w:bottom w:val="single" w:sz="4" w:space="0" w:color="auto"/>
              <w:right w:val="single" w:sz="4" w:space="0" w:color="auto"/>
            </w:tcBorders>
          </w:tcPr>
          <w:p w14:paraId="032D4570" w14:textId="77777777" w:rsidR="008B1E3F" w:rsidRDefault="005B0A08">
            <w:pPr>
              <w:pStyle w:val="af1"/>
              <w:tabs>
                <w:tab w:val="left" w:pos="3780"/>
              </w:tabs>
              <w:ind w:firstLineChars="192" w:firstLine="405"/>
              <w:rPr>
                <w:b/>
                <w:szCs w:val="21"/>
              </w:rPr>
            </w:pPr>
            <w:r>
              <w:rPr>
                <w:rFonts w:hint="eastAsia"/>
                <w:b/>
                <w:szCs w:val="21"/>
              </w:rPr>
              <w:t>500</w:t>
            </w:r>
            <w:r>
              <w:rPr>
                <w:rFonts w:hint="eastAsia"/>
                <w:b/>
                <w:szCs w:val="21"/>
              </w:rPr>
              <w:t>万元≤</w:t>
            </w:r>
            <w:r>
              <w:rPr>
                <w:rFonts w:hint="eastAsia"/>
                <w:b/>
                <w:szCs w:val="21"/>
              </w:rPr>
              <w:t>M</w:t>
            </w:r>
          </w:p>
        </w:tc>
        <w:tc>
          <w:tcPr>
            <w:tcW w:w="3231" w:type="dxa"/>
            <w:tcBorders>
              <w:top w:val="single" w:sz="4" w:space="0" w:color="auto"/>
              <w:left w:val="single" w:sz="4" w:space="0" w:color="auto"/>
              <w:bottom w:val="single" w:sz="4" w:space="0" w:color="auto"/>
              <w:right w:val="single" w:sz="4" w:space="0" w:color="auto"/>
            </w:tcBorders>
          </w:tcPr>
          <w:p w14:paraId="5897E3EB" w14:textId="77777777" w:rsidR="008B1E3F" w:rsidRDefault="005B0A08">
            <w:pPr>
              <w:pStyle w:val="af1"/>
              <w:tabs>
                <w:tab w:val="left" w:pos="3780"/>
              </w:tabs>
              <w:ind w:firstLineChars="192" w:firstLine="405"/>
              <w:rPr>
                <w:b/>
                <w:szCs w:val="21"/>
              </w:rPr>
            </w:pPr>
            <w:r>
              <w:rPr>
                <w:rFonts w:hint="eastAsia"/>
                <w:b/>
                <w:szCs w:val="21"/>
              </w:rPr>
              <w:t>1000</w:t>
            </w:r>
            <w:r>
              <w:rPr>
                <w:rFonts w:hint="eastAsia"/>
                <w:b/>
                <w:szCs w:val="21"/>
              </w:rPr>
              <w:t>元</w:t>
            </w:r>
            <w:r>
              <w:rPr>
                <w:rFonts w:hint="eastAsia"/>
                <w:b/>
                <w:szCs w:val="21"/>
              </w:rPr>
              <w:t>/</w:t>
            </w:r>
            <w:r>
              <w:rPr>
                <w:rFonts w:hint="eastAsia"/>
                <w:b/>
                <w:szCs w:val="21"/>
              </w:rPr>
              <w:t>笔</w:t>
            </w:r>
          </w:p>
        </w:tc>
      </w:tr>
    </w:tbl>
    <w:p w14:paraId="28344959" w14:textId="77777777" w:rsidR="008B1E3F" w:rsidRDefault="005B0A08">
      <w:pPr>
        <w:widowControl/>
        <w:snapToGrid w:val="0"/>
        <w:spacing w:line="360" w:lineRule="auto"/>
        <w:ind w:firstLineChars="200" w:firstLine="480"/>
        <w:rPr>
          <w:kern w:val="0"/>
          <w:sz w:val="24"/>
        </w:rPr>
      </w:pPr>
      <w:r>
        <w:rPr>
          <w:rFonts w:hint="eastAsia"/>
          <w:kern w:val="0"/>
          <w:sz w:val="24"/>
        </w:rPr>
        <w:t>本基金</w:t>
      </w:r>
      <w:r>
        <w:rPr>
          <w:rFonts w:hint="eastAsia"/>
          <w:kern w:val="0"/>
          <w:sz w:val="24"/>
        </w:rPr>
        <w:t>A</w:t>
      </w:r>
      <w:r>
        <w:rPr>
          <w:rFonts w:hint="eastAsia"/>
          <w:kern w:val="0"/>
          <w:sz w:val="24"/>
        </w:rPr>
        <w:t>类基金份额的</w:t>
      </w:r>
      <w:r>
        <w:rPr>
          <w:kern w:val="0"/>
          <w:sz w:val="24"/>
        </w:rPr>
        <w:t>认购费用</w:t>
      </w:r>
      <w:r>
        <w:rPr>
          <w:rFonts w:hint="eastAsia"/>
          <w:kern w:val="0"/>
          <w:sz w:val="24"/>
        </w:rPr>
        <w:t>不列入基金财产，主要</w:t>
      </w:r>
      <w:r>
        <w:rPr>
          <w:kern w:val="0"/>
          <w:sz w:val="24"/>
        </w:rPr>
        <w:t>用于本基金的市场推广、销售等募集期间发生的各项费用。</w:t>
      </w:r>
    </w:p>
    <w:p w14:paraId="0DA9BC10" w14:textId="77777777" w:rsidR="008B1E3F" w:rsidRDefault="005B0A08">
      <w:pPr>
        <w:widowControl/>
        <w:snapToGrid w:val="0"/>
        <w:spacing w:line="360" w:lineRule="auto"/>
        <w:ind w:firstLineChars="200" w:firstLine="480"/>
        <w:rPr>
          <w:sz w:val="24"/>
        </w:rPr>
      </w:pPr>
      <w:r>
        <w:rPr>
          <w:rFonts w:hint="eastAsia"/>
          <w:sz w:val="24"/>
        </w:rPr>
        <w:t>（</w:t>
      </w:r>
      <w:r>
        <w:rPr>
          <w:rFonts w:hint="eastAsia"/>
          <w:sz w:val="24"/>
        </w:rPr>
        <w:t>2</w:t>
      </w:r>
      <w:r>
        <w:rPr>
          <w:rFonts w:hint="eastAsia"/>
          <w:sz w:val="24"/>
        </w:rPr>
        <w:t>）</w:t>
      </w:r>
      <w:r>
        <w:rPr>
          <w:rFonts w:hint="eastAsia"/>
          <w:sz w:val="24"/>
        </w:rPr>
        <w:t>C</w:t>
      </w:r>
      <w:r>
        <w:rPr>
          <w:rFonts w:hint="eastAsia"/>
          <w:sz w:val="24"/>
        </w:rPr>
        <w:t>类</w:t>
      </w:r>
      <w:r>
        <w:rPr>
          <w:rFonts w:hint="eastAsia"/>
          <w:sz w:val="24"/>
        </w:rPr>
        <w:t>基金份额</w:t>
      </w:r>
    </w:p>
    <w:p w14:paraId="3B103C08" w14:textId="77777777" w:rsidR="008B1E3F" w:rsidRDefault="005B0A08">
      <w:pPr>
        <w:spacing w:line="360" w:lineRule="auto"/>
        <w:ind w:firstLineChars="200" w:firstLine="480"/>
        <w:rPr>
          <w:rFonts w:ascii="宋体" w:hAnsi="宋体"/>
          <w:bCs/>
          <w:sz w:val="24"/>
        </w:rPr>
      </w:pPr>
      <w:r>
        <w:rPr>
          <w:rFonts w:hint="eastAsia"/>
          <w:sz w:val="24"/>
        </w:rPr>
        <w:t>本基金</w:t>
      </w:r>
      <w:r>
        <w:rPr>
          <w:rFonts w:hint="eastAsia"/>
          <w:sz w:val="24"/>
        </w:rPr>
        <w:t>C</w:t>
      </w:r>
      <w:r>
        <w:rPr>
          <w:rFonts w:hint="eastAsia"/>
          <w:sz w:val="24"/>
        </w:rPr>
        <w:t>类基金份额暂不通过直销机构发售。</w:t>
      </w:r>
    </w:p>
    <w:p w14:paraId="3B74F646" w14:textId="77777777" w:rsidR="008B1E3F" w:rsidRDefault="005B0A08">
      <w:pPr>
        <w:spacing w:line="360" w:lineRule="auto"/>
        <w:ind w:firstLineChars="200" w:firstLine="480"/>
        <w:rPr>
          <w:rFonts w:ascii="宋体" w:hAnsi="宋体"/>
          <w:bCs/>
          <w:sz w:val="24"/>
        </w:rPr>
      </w:pPr>
      <w:r>
        <w:rPr>
          <w:rFonts w:hint="eastAsia"/>
          <w:sz w:val="24"/>
        </w:rPr>
        <w:t>通过代销机构认购</w:t>
      </w:r>
      <w:r>
        <w:rPr>
          <w:sz w:val="24"/>
        </w:rPr>
        <w:t>本基金</w:t>
      </w:r>
      <w:r>
        <w:rPr>
          <w:rFonts w:hint="eastAsia"/>
          <w:sz w:val="24"/>
        </w:rPr>
        <w:t>C</w:t>
      </w:r>
      <w:r>
        <w:rPr>
          <w:sz w:val="24"/>
        </w:rPr>
        <w:t>类基金份额</w:t>
      </w:r>
      <w:r>
        <w:rPr>
          <w:rFonts w:hint="eastAsia"/>
          <w:sz w:val="24"/>
        </w:rPr>
        <w:t>的</w:t>
      </w:r>
      <w:r>
        <w:rPr>
          <w:rFonts w:hint="eastAsia"/>
          <w:sz w:val="24"/>
        </w:rPr>
        <w:t>，</w:t>
      </w:r>
      <w:r>
        <w:rPr>
          <w:rFonts w:ascii="宋体" w:hAnsi="宋体" w:hint="eastAsia"/>
          <w:bCs/>
          <w:sz w:val="24"/>
        </w:rPr>
        <w:t>收取销售服务费。</w:t>
      </w:r>
    </w:p>
    <w:p w14:paraId="09A07B43" w14:textId="77777777" w:rsidR="008B1E3F" w:rsidRDefault="005B0A08">
      <w:pPr>
        <w:spacing w:line="360" w:lineRule="auto"/>
        <w:ind w:firstLineChars="200" w:firstLine="480"/>
        <w:rPr>
          <w:rFonts w:ascii="宋体" w:hAnsi="宋体"/>
          <w:bCs/>
          <w:sz w:val="24"/>
        </w:rPr>
      </w:pPr>
      <w:r>
        <w:rPr>
          <w:rFonts w:ascii="宋体" w:hAnsi="宋体" w:hint="eastAsia"/>
          <w:bCs/>
          <w:sz w:val="24"/>
        </w:rPr>
        <w:t>C</w:t>
      </w:r>
      <w:r>
        <w:rPr>
          <w:rFonts w:ascii="宋体" w:hAnsi="宋体" w:hint="eastAsia"/>
          <w:bCs/>
          <w:sz w:val="24"/>
        </w:rPr>
        <w:t>类基金份额的销售服务费按前一日</w:t>
      </w:r>
      <w:r>
        <w:rPr>
          <w:rFonts w:ascii="宋体" w:hAnsi="宋体" w:hint="eastAsia"/>
          <w:bCs/>
          <w:sz w:val="24"/>
        </w:rPr>
        <w:t>C</w:t>
      </w:r>
      <w:r>
        <w:rPr>
          <w:rFonts w:ascii="宋体" w:hAnsi="宋体" w:hint="eastAsia"/>
          <w:bCs/>
          <w:sz w:val="24"/>
        </w:rPr>
        <w:t>类基金份额基金资产净值的</w:t>
      </w:r>
      <w:r>
        <w:rPr>
          <w:rFonts w:ascii="宋体" w:hAnsi="宋体" w:hint="eastAsia"/>
          <w:bCs/>
          <w:sz w:val="24"/>
        </w:rPr>
        <w:t>0.40%</w:t>
      </w:r>
      <w:r>
        <w:rPr>
          <w:rFonts w:ascii="宋体" w:hAnsi="宋体" w:hint="eastAsia"/>
          <w:bCs/>
          <w:sz w:val="24"/>
        </w:rPr>
        <w:t>的年费率计提，销售服务费的计算方法如下：</w:t>
      </w:r>
    </w:p>
    <w:p w14:paraId="2EFF18AD" w14:textId="77777777" w:rsidR="008B1E3F" w:rsidRDefault="005B0A08">
      <w:pPr>
        <w:spacing w:line="360" w:lineRule="auto"/>
        <w:ind w:firstLineChars="200" w:firstLine="480"/>
        <w:rPr>
          <w:rFonts w:ascii="宋体" w:hAnsi="宋体"/>
          <w:bCs/>
          <w:sz w:val="24"/>
        </w:rPr>
      </w:pPr>
      <w:r>
        <w:rPr>
          <w:rFonts w:ascii="宋体" w:hAnsi="宋体" w:hint="eastAsia"/>
          <w:bCs/>
          <w:sz w:val="24"/>
        </w:rPr>
        <w:t>H=E</w:t>
      </w:r>
      <w:r>
        <w:rPr>
          <w:rFonts w:ascii="宋体" w:hAnsi="宋体" w:hint="eastAsia"/>
          <w:bCs/>
          <w:sz w:val="24"/>
        </w:rPr>
        <w:t>×</w:t>
      </w:r>
      <w:r>
        <w:rPr>
          <w:rFonts w:ascii="宋体" w:hAnsi="宋体" w:hint="eastAsia"/>
          <w:bCs/>
          <w:sz w:val="24"/>
        </w:rPr>
        <w:t>0.40%</w:t>
      </w:r>
      <w:r>
        <w:rPr>
          <w:rFonts w:ascii="宋体" w:hAnsi="宋体" w:hint="eastAsia"/>
          <w:bCs/>
          <w:sz w:val="24"/>
        </w:rPr>
        <w:t>÷当年天数</w:t>
      </w:r>
    </w:p>
    <w:p w14:paraId="7D4C645C" w14:textId="77777777" w:rsidR="008B1E3F" w:rsidRDefault="005B0A08">
      <w:pPr>
        <w:spacing w:line="360" w:lineRule="auto"/>
        <w:ind w:firstLineChars="200" w:firstLine="480"/>
        <w:rPr>
          <w:rFonts w:ascii="宋体" w:hAnsi="宋体"/>
          <w:bCs/>
          <w:sz w:val="24"/>
        </w:rPr>
      </w:pPr>
      <w:r>
        <w:rPr>
          <w:rFonts w:ascii="宋体" w:hAnsi="宋体" w:hint="eastAsia"/>
          <w:bCs/>
          <w:sz w:val="24"/>
        </w:rPr>
        <w:t>H</w:t>
      </w:r>
      <w:r>
        <w:rPr>
          <w:rFonts w:ascii="宋体" w:hAnsi="宋体" w:hint="eastAsia"/>
          <w:bCs/>
          <w:sz w:val="24"/>
        </w:rPr>
        <w:t>为</w:t>
      </w:r>
      <w:r>
        <w:rPr>
          <w:rFonts w:ascii="宋体" w:hAnsi="宋体" w:hint="eastAsia"/>
          <w:bCs/>
          <w:sz w:val="24"/>
        </w:rPr>
        <w:t>C</w:t>
      </w:r>
      <w:r>
        <w:rPr>
          <w:rFonts w:ascii="宋体" w:hAnsi="宋体" w:hint="eastAsia"/>
          <w:bCs/>
          <w:sz w:val="24"/>
        </w:rPr>
        <w:t>类基金份额每日应计提的销售服务费</w:t>
      </w:r>
    </w:p>
    <w:p w14:paraId="57869C91" w14:textId="77777777" w:rsidR="008B1E3F" w:rsidRDefault="005B0A08">
      <w:pPr>
        <w:spacing w:line="360" w:lineRule="auto"/>
        <w:ind w:firstLineChars="200" w:firstLine="480"/>
        <w:rPr>
          <w:rFonts w:ascii="宋体" w:hAnsi="宋体"/>
          <w:bCs/>
          <w:sz w:val="24"/>
        </w:rPr>
      </w:pPr>
      <w:r>
        <w:rPr>
          <w:rFonts w:ascii="宋体" w:hAnsi="宋体" w:hint="eastAsia"/>
          <w:bCs/>
          <w:sz w:val="24"/>
        </w:rPr>
        <w:t>E</w:t>
      </w:r>
      <w:r>
        <w:rPr>
          <w:rFonts w:ascii="宋体" w:hAnsi="宋体" w:hint="eastAsia"/>
          <w:bCs/>
          <w:sz w:val="24"/>
        </w:rPr>
        <w:t>为</w:t>
      </w:r>
      <w:r>
        <w:rPr>
          <w:rFonts w:ascii="宋体" w:hAnsi="宋体" w:hint="eastAsia"/>
          <w:bCs/>
          <w:sz w:val="24"/>
        </w:rPr>
        <w:t>C</w:t>
      </w:r>
      <w:r>
        <w:rPr>
          <w:rFonts w:ascii="宋体" w:hAnsi="宋体" w:hint="eastAsia"/>
          <w:bCs/>
          <w:sz w:val="24"/>
        </w:rPr>
        <w:t>类基金份额前一日的基金资产净值</w:t>
      </w:r>
    </w:p>
    <w:p w14:paraId="36E179D2" w14:textId="77777777" w:rsidR="008B1E3F" w:rsidRDefault="005B0A08">
      <w:pPr>
        <w:pStyle w:val="af1"/>
        <w:tabs>
          <w:tab w:val="left" w:pos="3780"/>
        </w:tabs>
        <w:autoSpaceDE w:val="0"/>
        <w:autoSpaceDN w:val="0"/>
        <w:adjustRightInd w:val="0"/>
        <w:ind w:firstLine="480"/>
        <w:rPr>
          <w:rFonts w:hAnsi="宋体"/>
          <w:bCs/>
          <w:sz w:val="24"/>
          <w:szCs w:val="24"/>
        </w:rPr>
      </w:pPr>
      <w:r>
        <w:rPr>
          <w:rFonts w:ascii="Times New Roman" w:hint="eastAsia"/>
          <w:kern w:val="0"/>
          <w:sz w:val="24"/>
        </w:rPr>
        <w:t>本基金</w:t>
      </w:r>
      <w:r>
        <w:rPr>
          <w:rFonts w:ascii="Times New Roman"/>
          <w:kern w:val="0"/>
          <w:sz w:val="24"/>
        </w:rPr>
        <w:t>C</w:t>
      </w:r>
      <w:r>
        <w:rPr>
          <w:rFonts w:ascii="Times New Roman" w:hint="eastAsia"/>
          <w:kern w:val="0"/>
          <w:sz w:val="24"/>
        </w:rPr>
        <w:t>类基金份额的销售服务费</w:t>
      </w:r>
      <w:r>
        <w:rPr>
          <w:bCs/>
          <w:sz w:val="24"/>
        </w:rPr>
        <w:t>从</w:t>
      </w:r>
      <w:r>
        <w:rPr>
          <w:rFonts w:hint="eastAsia"/>
          <w:kern w:val="0"/>
          <w:sz w:val="24"/>
        </w:rPr>
        <w:t>本类别</w:t>
      </w:r>
      <w:r>
        <w:rPr>
          <w:bCs/>
          <w:sz w:val="24"/>
        </w:rPr>
        <w:t>基金财产中计提，用于本基金市场推广、销售以及基金份额持有人服务的费用</w:t>
      </w:r>
      <w:r>
        <w:rPr>
          <w:rFonts w:hint="eastAsia"/>
          <w:bCs/>
          <w:sz w:val="24"/>
        </w:rPr>
        <w:t>。</w:t>
      </w:r>
    </w:p>
    <w:p w14:paraId="20726B32" w14:textId="77777777" w:rsidR="008B1E3F" w:rsidRDefault="005B0A08">
      <w:pPr>
        <w:spacing w:line="360" w:lineRule="auto"/>
        <w:ind w:firstLineChars="200" w:firstLine="480"/>
        <w:rPr>
          <w:rFonts w:ascii="宋体" w:hAnsi="宋体"/>
          <w:bCs/>
          <w:sz w:val="24"/>
        </w:rPr>
      </w:pPr>
      <w:r>
        <w:rPr>
          <w:rFonts w:ascii="宋体" w:hAnsi="宋体" w:hint="eastAsia"/>
          <w:bCs/>
          <w:sz w:val="24"/>
        </w:rPr>
        <w:t>基金销售服务费每日计提</w:t>
      </w:r>
      <w:r>
        <w:rPr>
          <w:rFonts w:ascii="宋体" w:hAnsi="宋体"/>
          <w:bCs/>
          <w:sz w:val="24"/>
        </w:rPr>
        <w:t>，具体收取</w:t>
      </w:r>
      <w:r>
        <w:rPr>
          <w:rFonts w:ascii="宋体" w:hAnsi="宋体"/>
          <w:bCs/>
          <w:sz w:val="24"/>
        </w:rPr>
        <w:t>/</w:t>
      </w:r>
      <w:r>
        <w:rPr>
          <w:rFonts w:ascii="宋体" w:hAnsi="宋体"/>
          <w:bCs/>
          <w:sz w:val="24"/>
        </w:rPr>
        <w:t>返还方式如下：</w:t>
      </w:r>
    </w:p>
    <w:p w14:paraId="111F6212" w14:textId="77777777" w:rsidR="008B1E3F" w:rsidRDefault="005B0A08">
      <w:pPr>
        <w:spacing w:line="360" w:lineRule="auto"/>
        <w:ind w:firstLineChars="200" w:firstLine="480"/>
        <w:rPr>
          <w:rFonts w:ascii="宋体" w:hAnsi="宋体"/>
          <w:bCs/>
          <w:sz w:val="24"/>
        </w:rPr>
      </w:pPr>
      <w:r>
        <w:rPr>
          <w:rFonts w:ascii="宋体" w:hAnsi="宋体" w:hint="eastAsia"/>
          <w:bCs/>
          <w:sz w:val="24"/>
        </w:rPr>
        <w:t>1</w:t>
      </w:r>
      <w:r>
        <w:rPr>
          <w:rFonts w:ascii="宋体" w:hAnsi="宋体" w:hint="eastAsia"/>
          <w:bCs/>
          <w:sz w:val="24"/>
        </w:rPr>
        <w:t>）</w:t>
      </w:r>
      <w:r>
        <w:rPr>
          <w:rFonts w:ascii="宋体" w:hAnsi="宋体"/>
          <w:bCs/>
          <w:sz w:val="24"/>
        </w:rPr>
        <w:t>对于投资者持续持有期限未超过一年</w:t>
      </w:r>
      <w:r>
        <w:rPr>
          <w:rFonts w:ascii="宋体" w:hAnsi="宋体" w:hint="eastAsia"/>
          <w:bCs/>
          <w:sz w:val="24"/>
        </w:rPr>
        <w:t>（即</w:t>
      </w:r>
      <w:r>
        <w:rPr>
          <w:rFonts w:ascii="宋体" w:hAnsi="宋体"/>
          <w:bCs/>
          <w:sz w:val="24"/>
        </w:rPr>
        <w:t>365</w:t>
      </w:r>
      <w:r>
        <w:rPr>
          <w:rFonts w:ascii="宋体" w:hAnsi="宋体" w:hint="eastAsia"/>
          <w:bCs/>
          <w:sz w:val="24"/>
        </w:rPr>
        <w:t>天，下同）</w:t>
      </w:r>
      <w:r>
        <w:rPr>
          <w:rFonts w:ascii="宋体" w:hAnsi="宋体"/>
          <w:bCs/>
          <w:sz w:val="24"/>
        </w:rPr>
        <w:t>的</w:t>
      </w:r>
      <w:r>
        <w:rPr>
          <w:rFonts w:ascii="宋体" w:hAnsi="宋体"/>
          <w:bCs/>
          <w:sz w:val="24"/>
        </w:rPr>
        <w:t>C</w:t>
      </w:r>
      <w:r>
        <w:rPr>
          <w:rFonts w:ascii="宋体" w:hAnsi="宋体"/>
          <w:bCs/>
          <w:sz w:val="24"/>
        </w:rPr>
        <w:t>类基金份额，计提的销售服务费逐日累计至每月月末，按月支付。</w:t>
      </w:r>
    </w:p>
    <w:p w14:paraId="3D9C97CE" w14:textId="77777777" w:rsidR="008B1E3F" w:rsidRDefault="005B0A08">
      <w:pPr>
        <w:spacing w:line="360" w:lineRule="auto"/>
        <w:ind w:firstLineChars="200" w:firstLine="480"/>
        <w:rPr>
          <w:rFonts w:ascii="宋体" w:hAnsi="宋体"/>
          <w:bCs/>
          <w:sz w:val="24"/>
        </w:rPr>
      </w:pPr>
      <w:r>
        <w:rPr>
          <w:rFonts w:ascii="宋体" w:hAnsi="宋体" w:hint="eastAsia"/>
          <w:bCs/>
          <w:sz w:val="24"/>
        </w:rPr>
        <w:t>2</w:t>
      </w:r>
      <w:r>
        <w:rPr>
          <w:rFonts w:ascii="宋体" w:hAnsi="宋体" w:hint="eastAsia"/>
          <w:bCs/>
          <w:sz w:val="24"/>
        </w:rPr>
        <w:t>）</w:t>
      </w:r>
      <w:r>
        <w:rPr>
          <w:rFonts w:ascii="宋体" w:hAnsi="宋体"/>
          <w:bCs/>
          <w:sz w:val="24"/>
        </w:rPr>
        <w:t>对于投资者持续持有期限超过一年的</w:t>
      </w:r>
      <w:r>
        <w:rPr>
          <w:rFonts w:ascii="宋体" w:hAnsi="宋体"/>
          <w:bCs/>
          <w:sz w:val="24"/>
        </w:rPr>
        <w:t>C</w:t>
      </w:r>
      <w:r>
        <w:rPr>
          <w:rFonts w:ascii="宋体" w:hAnsi="宋体"/>
          <w:bCs/>
          <w:sz w:val="24"/>
        </w:rPr>
        <w:t>类基金份额，其中在持有期限第一年内（含）计提的销售服务费按上述</w:t>
      </w:r>
      <w:r>
        <w:rPr>
          <w:rFonts w:ascii="宋体" w:hAnsi="宋体"/>
          <w:bCs/>
          <w:sz w:val="24"/>
        </w:rPr>
        <w:t>1</w:t>
      </w:r>
      <w:r>
        <w:rPr>
          <w:rFonts w:ascii="宋体" w:hAnsi="宋体"/>
          <w:bCs/>
          <w:sz w:val="24"/>
        </w:rPr>
        <w:t>）款约定的方式计提并支付；超过一年后继续计提的销售服务费将在投资者赎回、转换转出相应基金份额或基金合同终止时随赎回款（或转出款或清算款）一并返还给投资者。</w:t>
      </w:r>
    </w:p>
    <w:p w14:paraId="7BBCAD93" w14:textId="77777777" w:rsidR="008B1E3F" w:rsidRDefault="005B0A08">
      <w:pPr>
        <w:pStyle w:val="af1"/>
        <w:autoSpaceDE w:val="0"/>
        <w:autoSpaceDN w:val="0"/>
        <w:adjustRightInd w:val="0"/>
        <w:ind w:firstLine="480"/>
        <w:rPr>
          <w:rFonts w:hAnsi="宋体"/>
          <w:kern w:val="0"/>
          <w:sz w:val="24"/>
          <w:szCs w:val="24"/>
        </w:rPr>
      </w:pPr>
      <w:r>
        <w:rPr>
          <w:rFonts w:ascii="Times New Roman"/>
          <w:sz w:val="24"/>
          <w:szCs w:val="24"/>
        </w:rPr>
        <w:t>3.</w:t>
      </w:r>
      <w:r>
        <w:rPr>
          <w:rFonts w:hAnsi="宋体"/>
          <w:kern w:val="0"/>
          <w:sz w:val="24"/>
          <w:szCs w:val="24"/>
        </w:rPr>
        <w:t>募</w:t>
      </w:r>
      <w:r>
        <w:rPr>
          <w:rFonts w:hAnsi="宋体"/>
          <w:kern w:val="0"/>
          <w:sz w:val="24"/>
          <w:szCs w:val="24"/>
        </w:rPr>
        <w:t>集资金利息的处理方式</w:t>
      </w:r>
    </w:p>
    <w:p w14:paraId="105BE973" w14:textId="77777777" w:rsidR="008B1E3F" w:rsidRDefault="005B0A08">
      <w:pPr>
        <w:pStyle w:val="af1"/>
        <w:ind w:firstLine="480"/>
        <w:rPr>
          <w:rFonts w:ascii="Times New Roman"/>
          <w:sz w:val="24"/>
          <w:szCs w:val="24"/>
        </w:rPr>
      </w:pPr>
      <w:r>
        <w:rPr>
          <w:rFonts w:hint="eastAsia"/>
          <w:kern w:val="0"/>
          <w:sz w:val="24"/>
        </w:rPr>
        <w:t>有效认购款项在募集期间产生的利息将折算为相应类别的基金份额归基金份额持有人所有，其中利息转份额的具体数额以登记机构的记录为准</w:t>
      </w:r>
      <w:r>
        <w:rPr>
          <w:rFonts w:ascii="Times New Roman" w:hint="eastAsia"/>
          <w:sz w:val="24"/>
          <w:szCs w:val="24"/>
        </w:rPr>
        <w:t>。</w:t>
      </w:r>
    </w:p>
    <w:p w14:paraId="71E7048A" w14:textId="77777777" w:rsidR="008B1E3F" w:rsidRDefault="005B0A08">
      <w:pPr>
        <w:spacing w:line="360" w:lineRule="auto"/>
        <w:ind w:firstLineChars="200" w:firstLine="480"/>
        <w:rPr>
          <w:sz w:val="24"/>
        </w:rPr>
      </w:pPr>
      <w:r>
        <w:rPr>
          <w:kern w:val="0"/>
          <w:sz w:val="24"/>
        </w:rPr>
        <w:t>4.</w:t>
      </w:r>
      <w:r>
        <w:rPr>
          <w:rFonts w:hint="eastAsia"/>
          <w:sz w:val="24"/>
        </w:rPr>
        <w:t>认购份额的计算</w:t>
      </w:r>
    </w:p>
    <w:p w14:paraId="51C4EB82" w14:textId="77777777" w:rsidR="008B1E3F" w:rsidRDefault="005B0A08">
      <w:pPr>
        <w:widowControl/>
        <w:snapToGrid w:val="0"/>
        <w:spacing w:line="360" w:lineRule="auto"/>
        <w:ind w:firstLineChars="200" w:firstLine="480"/>
        <w:rPr>
          <w:kern w:val="0"/>
          <w:sz w:val="24"/>
        </w:rPr>
      </w:pPr>
      <w:r>
        <w:rPr>
          <w:kern w:val="0"/>
          <w:sz w:val="24"/>
        </w:rPr>
        <w:t>本基金采用金额认购、全额预缴的原则</w:t>
      </w:r>
      <w:r>
        <w:rPr>
          <w:rFonts w:hint="eastAsia"/>
          <w:kern w:val="0"/>
          <w:sz w:val="24"/>
        </w:rPr>
        <w:t>。</w:t>
      </w:r>
    </w:p>
    <w:p w14:paraId="3F0FAF54" w14:textId="77777777" w:rsidR="008B1E3F" w:rsidRDefault="005B0A08">
      <w:pPr>
        <w:widowControl/>
        <w:snapToGrid w:val="0"/>
        <w:spacing w:line="360" w:lineRule="auto"/>
        <w:ind w:firstLineChars="200" w:firstLine="480"/>
        <w:rPr>
          <w:kern w:val="0"/>
          <w:sz w:val="24"/>
        </w:rPr>
      </w:pPr>
      <w:r>
        <w:rPr>
          <w:rFonts w:hint="eastAsia"/>
          <w:kern w:val="0"/>
          <w:sz w:val="24"/>
        </w:rPr>
        <w:lastRenderedPageBreak/>
        <w:t>（</w:t>
      </w:r>
      <w:r>
        <w:rPr>
          <w:rFonts w:hint="eastAsia"/>
          <w:kern w:val="0"/>
          <w:sz w:val="24"/>
        </w:rPr>
        <w:t>1</w:t>
      </w:r>
      <w:r>
        <w:rPr>
          <w:rFonts w:hint="eastAsia"/>
          <w:kern w:val="0"/>
          <w:sz w:val="24"/>
        </w:rPr>
        <w:t>）</w:t>
      </w:r>
      <w:r>
        <w:rPr>
          <w:rFonts w:hint="eastAsia"/>
          <w:kern w:val="0"/>
          <w:sz w:val="24"/>
        </w:rPr>
        <w:t>对于认购本基金</w:t>
      </w:r>
      <w:r>
        <w:rPr>
          <w:rFonts w:hint="eastAsia"/>
          <w:kern w:val="0"/>
          <w:sz w:val="24"/>
        </w:rPr>
        <w:t>A</w:t>
      </w:r>
      <w:r>
        <w:rPr>
          <w:rFonts w:hint="eastAsia"/>
          <w:kern w:val="0"/>
          <w:sz w:val="24"/>
        </w:rPr>
        <w:t>类基金份额的投资者，认购份额的计算公式为：</w:t>
      </w:r>
    </w:p>
    <w:p w14:paraId="3FBDE712" w14:textId="77777777" w:rsidR="008B1E3F" w:rsidRDefault="005B0A08">
      <w:pPr>
        <w:widowControl/>
        <w:snapToGrid w:val="0"/>
        <w:spacing w:line="360" w:lineRule="auto"/>
        <w:ind w:firstLineChars="200" w:firstLine="480"/>
        <w:rPr>
          <w:kern w:val="0"/>
          <w:sz w:val="24"/>
        </w:rPr>
      </w:pPr>
      <w:r>
        <w:rPr>
          <w:rFonts w:hint="eastAsia"/>
          <w:kern w:val="0"/>
          <w:sz w:val="24"/>
        </w:rPr>
        <w:t>1</w:t>
      </w:r>
      <w:r>
        <w:rPr>
          <w:rFonts w:hint="eastAsia"/>
          <w:kern w:val="0"/>
          <w:sz w:val="24"/>
        </w:rPr>
        <w:t>）若投资者通过直销机构认购</w:t>
      </w:r>
      <w:r>
        <w:rPr>
          <w:rFonts w:hint="eastAsia"/>
          <w:kern w:val="0"/>
          <w:sz w:val="24"/>
        </w:rPr>
        <w:t>A</w:t>
      </w:r>
      <w:r>
        <w:rPr>
          <w:rFonts w:hint="eastAsia"/>
          <w:kern w:val="0"/>
          <w:sz w:val="24"/>
        </w:rPr>
        <w:t>类基金份额：</w:t>
      </w:r>
    </w:p>
    <w:p w14:paraId="3025E2BD" w14:textId="77777777" w:rsidR="008B1E3F" w:rsidRDefault="005B0A08">
      <w:pPr>
        <w:widowControl/>
        <w:snapToGrid w:val="0"/>
        <w:spacing w:line="360" w:lineRule="auto"/>
        <w:ind w:firstLineChars="200" w:firstLine="480"/>
        <w:rPr>
          <w:kern w:val="0"/>
          <w:sz w:val="24"/>
        </w:rPr>
      </w:pPr>
      <w:r>
        <w:rPr>
          <w:rFonts w:hint="eastAsia"/>
          <w:kern w:val="0"/>
          <w:sz w:val="24"/>
        </w:rPr>
        <w:t>认购份额＝（认购金额＋认购资金利息）</w:t>
      </w:r>
      <w:r>
        <w:rPr>
          <w:rFonts w:hint="eastAsia"/>
          <w:kern w:val="0"/>
          <w:sz w:val="24"/>
        </w:rPr>
        <w:t>/</w:t>
      </w:r>
      <w:r>
        <w:rPr>
          <w:rFonts w:hint="eastAsia"/>
          <w:kern w:val="0"/>
          <w:sz w:val="24"/>
        </w:rPr>
        <w:t>基金份额发售面值</w:t>
      </w:r>
    </w:p>
    <w:p w14:paraId="38782814" w14:textId="77777777" w:rsidR="008B1E3F" w:rsidRDefault="005B0A08">
      <w:pPr>
        <w:widowControl/>
        <w:snapToGrid w:val="0"/>
        <w:spacing w:line="360" w:lineRule="auto"/>
        <w:ind w:firstLineChars="200" w:firstLine="480"/>
        <w:rPr>
          <w:kern w:val="0"/>
          <w:sz w:val="24"/>
        </w:rPr>
      </w:pPr>
      <w:r>
        <w:rPr>
          <w:rFonts w:hint="eastAsia"/>
          <w:kern w:val="0"/>
          <w:sz w:val="24"/>
        </w:rPr>
        <w:t>例：某投资人在募集期通过直销机构投资</w:t>
      </w:r>
      <w:r>
        <w:rPr>
          <w:rFonts w:hint="eastAsia"/>
          <w:kern w:val="0"/>
          <w:sz w:val="24"/>
        </w:rPr>
        <w:t>10</w:t>
      </w:r>
      <w:r>
        <w:rPr>
          <w:rFonts w:hint="eastAsia"/>
          <w:kern w:val="0"/>
          <w:sz w:val="24"/>
        </w:rPr>
        <w:t>万元认购本基金</w:t>
      </w:r>
      <w:r>
        <w:rPr>
          <w:rFonts w:hint="eastAsia"/>
          <w:kern w:val="0"/>
          <w:sz w:val="24"/>
        </w:rPr>
        <w:t>A</w:t>
      </w:r>
      <w:r>
        <w:rPr>
          <w:rFonts w:hint="eastAsia"/>
          <w:kern w:val="0"/>
          <w:sz w:val="24"/>
        </w:rPr>
        <w:t>类基金份额，假设认购金额在募集期间产生的利息为</w:t>
      </w:r>
      <w:r>
        <w:rPr>
          <w:rFonts w:hint="eastAsia"/>
          <w:kern w:val="0"/>
          <w:sz w:val="24"/>
        </w:rPr>
        <w:t>50.00</w:t>
      </w:r>
      <w:r>
        <w:rPr>
          <w:rFonts w:hint="eastAsia"/>
          <w:kern w:val="0"/>
          <w:sz w:val="24"/>
        </w:rPr>
        <w:t>元，则其可得到的认购份额计算如下：</w:t>
      </w:r>
    </w:p>
    <w:p w14:paraId="74A662AD" w14:textId="77777777" w:rsidR="008B1E3F" w:rsidRDefault="005B0A08">
      <w:pPr>
        <w:widowControl/>
        <w:snapToGrid w:val="0"/>
        <w:spacing w:line="360" w:lineRule="auto"/>
        <w:ind w:firstLineChars="200" w:firstLine="480"/>
        <w:rPr>
          <w:kern w:val="0"/>
          <w:sz w:val="24"/>
        </w:rPr>
      </w:pPr>
      <w:r>
        <w:rPr>
          <w:rFonts w:hint="eastAsia"/>
          <w:kern w:val="0"/>
          <w:sz w:val="24"/>
        </w:rPr>
        <w:t>认购份额</w:t>
      </w:r>
      <w:r>
        <w:rPr>
          <w:rFonts w:hint="eastAsia"/>
          <w:kern w:val="0"/>
          <w:sz w:val="24"/>
        </w:rPr>
        <w:t>=</w:t>
      </w:r>
      <w:r>
        <w:rPr>
          <w:rFonts w:hint="eastAsia"/>
          <w:kern w:val="0"/>
          <w:sz w:val="24"/>
        </w:rPr>
        <w:t>（</w:t>
      </w:r>
      <w:r>
        <w:rPr>
          <w:rFonts w:hint="eastAsia"/>
          <w:kern w:val="0"/>
          <w:sz w:val="24"/>
        </w:rPr>
        <w:t>100,000.00</w:t>
      </w:r>
      <w:r>
        <w:rPr>
          <w:rFonts w:hint="eastAsia"/>
          <w:kern w:val="0"/>
          <w:sz w:val="24"/>
        </w:rPr>
        <w:t>＋</w:t>
      </w:r>
      <w:r>
        <w:rPr>
          <w:rFonts w:hint="eastAsia"/>
          <w:kern w:val="0"/>
          <w:sz w:val="24"/>
        </w:rPr>
        <w:t>50.00</w:t>
      </w:r>
      <w:r>
        <w:rPr>
          <w:rFonts w:hint="eastAsia"/>
          <w:kern w:val="0"/>
          <w:sz w:val="24"/>
        </w:rPr>
        <w:t>）</w:t>
      </w:r>
      <w:r>
        <w:rPr>
          <w:rFonts w:hint="eastAsia"/>
          <w:kern w:val="0"/>
          <w:sz w:val="24"/>
        </w:rPr>
        <w:t>/1.00=100,050.00</w:t>
      </w:r>
      <w:r>
        <w:rPr>
          <w:rFonts w:hint="eastAsia"/>
          <w:kern w:val="0"/>
          <w:sz w:val="24"/>
        </w:rPr>
        <w:t>份</w:t>
      </w:r>
    </w:p>
    <w:p w14:paraId="052AD804" w14:textId="77777777" w:rsidR="008B1E3F" w:rsidRDefault="005B0A08">
      <w:pPr>
        <w:widowControl/>
        <w:snapToGrid w:val="0"/>
        <w:spacing w:line="360" w:lineRule="auto"/>
        <w:ind w:firstLineChars="200" w:firstLine="480"/>
        <w:rPr>
          <w:kern w:val="0"/>
          <w:sz w:val="24"/>
        </w:rPr>
      </w:pPr>
      <w:r>
        <w:rPr>
          <w:rFonts w:hint="eastAsia"/>
          <w:kern w:val="0"/>
          <w:sz w:val="24"/>
        </w:rPr>
        <w:t>即：某投资人在募集期通过直销机构投资</w:t>
      </w:r>
      <w:r>
        <w:rPr>
          <w:rFonts w:hint="eastAsia"/>
          <w:kern w:val="0"/>
          <w:sz w:val="24"/>
        </w:rPr>
        <w:t>10</w:t>
      </w:r>
      <w:r>
        <w:rPr>
          <w:rFonts w:hint="eastAsia"/>
          <w:kern w:val="0"/>
          <w:sz w:val="24"/>
        </w:rPr>
        <w:t>万元认购本基金</w:t>
      </w:r>
      <w:r>
        <w:rPr>
          <w:rFonts w:hint="eastAsia"/>
          <w:kern w:val="0"/>
          <w:sz w:val="24"/>
        </w:rPr>
        <w:t>A</w:t>
      </w:r>
      <w:r>
        <w:rPr>
          <w:rFonts w:hint="eastAsia"/>
          <w:kern w:val="0"/>
          <w:sz w:val="24"/>
        </w:rPr>
        <w:t>类基金份额，假设认购金额在募集期间产生的利息为</w:t>
      </w:r>
      <w:r>
        <w:rPr>
          <w:rFonts w:hint="eastAsia"/>
          <w:kern w:val="0"/>
          <w:sz w:val="24"/>
        </w:rPr>
        <w:t>50.00</w:t>
      </w:r>
      <w:r>
        <w:rPr>
          <w:rFonts w:hint="eastAsia"/>
          <w:kern w:val="0"/>
          <w:sz w:val="24"/>
        </w:rPr>
        <w:t>元，可得到</w:t>
      </w:r>
      <w:r>
        <w:rPr>
          <w:rFonts w:hint="eastAsia"/>
          <w:kern w:val="0"/>
          <w:sz w:val="24"/>
        </w:rPr>
        <w:t>100,050.00</w:t>
      </w:r>
      <w:r>
        <w:rPr>
          <w:rFonts w:hint="eastAsia"/>
          <w:kern w:val="0"/>
          <w:sz w:val="24"/>
        </w:rPr>
        <w:t>份</w:t>
      </w:r>
      <w:r>
        <w:rPr>
          <w:rFonts w:hint="eastAsia"/>
          <w:kern w:val="0"/>
          <w:sz w:val="24"/>
        </w:rPr>
        <w:t>A</w:t>
      </w:r>
      <w:r>
        <w:rPr>
          <w:rFonts w:hint="eastAsia"/>
          <w:kern w:val="0"/>
          <w:sz w:val="24"/>
        </w:rPr>
        <w:t>类基金份额。</w:t>
      </w:r>
    </w:p>
    <w:p w14:paraId="57ADBF4F" w14:textId="77777777" w:rsidR="008B1E3F" w:rsidRDefault="005B0A08">
      <w:pPr>
        <w:widowControl/>
        <w:snapToGrid w:val="0"/>
        <w:spacing w:line="360" w:lineRule="auto"/>
        <w:ind w:firstLineChars="200" w:firstLine="480"/>
        <w:rPr>
          <w:kern w:val="0"/>
          <w:sz w:val="24"/>
        </w:rPr>
      </w:pPr>
      <w:r>
        <w:rPr>
          <w:rFonts w:hint="eastAsia"/>
          <w:kern w:val="0"/>
          <w:sz w:val="24"/>
        </w:rPr>
        <w:t>2</w:t>
      </w:r>
      <w:r>
        <w:rPr>
          <w:rFonts w:hint="eastAsia"/>
          <w:kern w:val="0"/>
          <w:sz w:val="24"/>
        </w:rPr>
        <w:t>）若投资者通过代销机构认购</w:t>
      </w:r>
      <w:r>
        <w:rPr>
          <w:rFonts w:hint="eastAsia"/>
          <w:kern w:val="0"/>
          <w:sz w:val="24"/>
        </w:rPr>
        <w:t>A</w:t>
      </w:r>
      <w:r>
        <w:rPr>
          <w:rFonts w:hint="eastAsia"/>
          <w:kern w:val="0"/>
          <w:sz w:val="24"/>
        </w:rPr>
        <w:t>类基金份额：</w:t>
      </w:r>
    </w:p>
    <w:p w14:paraId="4068E653" w14:textId="77777777" w:rsidR="008B1E3F" w:rsidRDefault="005B0A08">
      <w:pPr>
        <w:widowControl/>
        <w:snapToGrid w:val="0"/>
        <w:spacing w:line="360" w:lineRule="auto"/>
        <w:ind w:firstLineChars="200" w:firstLine="480"/>
        <w:rPr>
          <w:kern w:val="0"/>
          <w:sz w:val="24"/>
        </w:rPr>
      </w:pPr>
      <w:r>
        <w:rPr>
          <w:rFonts w:hint="eastAsia"/>
          <w:kern w:val="0"/>
          <w:sz w:val="24"/>
        </w:rPr>
        <w:t>认购费用适用比例费率时，认购份额的计算方法如下：</w:t>
      </w:r>
    </w:p>
    <w:p w14:paraId="1358DD64" w14:textId="77777777" w:rsidR="008B1E3F" w:rsidRDefault="005B0A08">
      <w:pPr>
        <w:widowControl/>
        <w:snapToGrid w:val="0"/>
        <w:spacing w:line="360" w:lineRule="auto"/>
        <w:ind w:firstLineChars="200" w:firstLine="480"/>
        <w:rPr>
          <w:kern w:val="0"/>
          <w:sz w:val="24"/>
        </w:rPr>
      </w:pPr>
      <w:r>
        <w:rPr>
          <w:rFonts w:hint="eastAsia"/>
          <w:kern w:val="0"/>
          <w:sz w:val="24"/>
        </w:rPr>
        <w:t>净认购金额＝认购金额</w:t>
      </w:r>
      <w:r>
        <w:rPr>
          <w:rFonts w:hint="eastAsia"/>
          <w:kern w:val="0"/>
          <w:sz w:val="24"/>
        </w:rPr>
        <w:t>/</w:t>
      </w:r>
      <w:r>
        <w:rPr>
          <w:rFonts w:hint="eastAsia"/>
          <w:kern w:val="0"/>
          <w:sz w:val="24"/>
        </w:rPr>
        <w:t>（</w:t>
      </w:r>
      <w:r>
        <w:rPr>
          <w:rFonts w:hint="eastAsia"/>
          <w:kern w:val="0"/>
          <w:sz w:val="24"/>
        </w:rPr>
        <w:t>1</w:t>
      </w:r>
      <w:r>
        <w:rPr>
          <w:rFonts w:hint="eastAsia"/>
          <w:kern w:val="0"/>
          <w:sz w:val="24"/>
        </w:rPr>
        <w:t>＋</w:t>
      </w:r>
      <w:r>
        <w:rPr>
          <w:rFonts w:hint="eastAsia"/>
          <w:kern w:val="0"/>
          <w:sz w:val="24"/>
        </w:rPr>
        <w:t>认购费率）</w:t>
      </w:r>
    </w:p>
    <w:p w14:paraId="5331F3A2" w14:textId="77777777" w:rsidR="008B1E3F" w:rsidRDefault="005B0A08">
      <w:pPr>
        <w:widowControl/>
        <w:snapToGrid w:val="0"/>
        <w:spacing w:line="360" w:lineRule="auto"/>
        <w:ind w:firstLineChars="200" w:firstLine="480"/>
        <w:rPr>
          <w:kern w:val="0"/>
          <w:sz w:val="24"/>
        </w:rPr>
      </w:pPr>
      <w:r>
        <w:rPr>
          <w:rFonts w:hint="eastAsia"/>
          <w:kern w:val="0"/>
          <w:sz w:val="24"/>
        </w:rPr>
        <w:t>认购费用＝认购金额－净认购金额</w:t>
      </w:r>
    </w:p>
    <w:p w14:paraId="3E5C716F" w14:textId="77777777" w:rsidR="008B1E3F" w:rsidRDefault="005B0A08">
      <w:pPr>
        <w:widowControl/>
        <w:snapToGrid w:val="0"/>
        <w:spacing w:line="360" w:lineRule="auto"/>
        <w:ind w:firstLineChars="200" w:firstLine="480"/>
        <w:rPr>
          <w:kern w:val="0"/>
          <w:sz w:val="24"/>
        </w:rPr>
      </w:pPr>
      <w:r>
        <w:rPr>
          <w:rFonts w:hint="eastAsia"/>
          <w:kern w:val="0"/>
          <w:sz w:val="24"/>
        </w:rPr>
        <w:t>认购份额＝（净认购金额＋认购资金利息）</w:t>
      </w:r>
      <w:r>
        <w:rPr>
          <w:rFonts w:hint="eastAsia"/>
          <w:kern w:val="0"/>
          <w:sz w:val="24"/>
        </w:rPr>
        <w:t>/</w:t>
      </w:r>
      <w:r>
        <w:rPr>
          <w:rFonts w:hint="eastAsia"/>
          <w:kern w:val="0"/>
          <w:sz w:val="24"/>
        </w:rPr>
        <w:t>基金份额发售面值</w:t>
      </w:r>
    </w:p>
    <w:p w14:paraId="7B787228" w14:textId="77777777" w:rsidR="008B1E3F" w:rsidRDefault="005B0A08">
      <w:pPr>
        <w:widowControl/>
        <w:snapToGrid w:val="0"/>
        <w:spacing w:line="360" w:lineRule="auto"/>
        <w:ind w:firstLineChars="200" w:firstLine="480"/>
        <w:rPr>
          <w:kern w:val="0"/>
          <w:sz w:val="24"/>
        </w:rPr>
      </w:pPr>
      <w:r>
        <w:rPr>
          <w:rFonts w:hint="eastAsia"/>
          <w:kern w:val="0"/>
          <w:sz w:val="24"/>
        </w:rPr>
        <w:t>认购费用为固定金额时，认购份额的计算方法如下：</w:t>
      </w:r>
    </w:p>
    <w:p w14:paraId="56C069A2" w14:textId="77777777" w:rsidR="008B1E3F" w:rsidRDefault="005B0A08">
      <w:pPr>
        <w:widowControl/>
        <w:snapToGrid w:val="0"/>
        <w:spacing w:line="360" w:lineRule="auto"/>
        <w:ind w:firstLineChars="200" w:firstLine="480"/>
        <w:rPr>
          <w:kern w:val="0"/>
          <w:sz w:val="24"/>
        </w:rPr>
      </w:pPr>
      <w:r>
        <w:rPr>
          <w:rFonts w:hint="eastAsia"/>
          <w:kern w:val="0"/>
          <w:sz w:val="24"/>
        </w:rPr>
        <w:t>认购费用＝固定金额</w:t>
      </w:r>
    </w:p>
    <w:p w14:paraId="2EA1447E" w14:textId="77777777" w:rsidR="008B1E3F" w:rsidRDefault="005B0A08">
      <w:pPr>
        <w:widowControl/>
        <w:snapToGrid w:val="0"/>
        <w:spacing w:line="360" w:lineRule="auto"/>
        <w:ind w:firstLineChars="200" w:firstLine="480"/>
        <w:rPr>
          <w:kern w:val="0"/>
          <w:sz w:val="24"/>
        </w:rPr>
      </w:pPr>
      <w:r>
        <w:rPr>
          <w:rFonts w:hint="eastAsia"/>
          <w:kern w:val="0"/>
          <w:sz w:val="24"/>
        </w:rPr>
        <w:t>净认购金额＝认购金额－认购费用</w:t>
      </w:r>
    </w:p>
    <w:p w14:paraId="7BCD6B0A" w14:textId="77777777" w:rsidR="008B1E3F" w:rsidRDefault="005B0A08">
      <w:pPr>
        <w:widowControl/>
        <w:snapToGrid w:val="0"/>
        <w:spacing w:line="360" w:lineRule="auto"/>
        <w:ind w:firstLineChars="200" w:firstLine="480"/>
        <w:rPr>
          <w:kern w:val="0"/>
          <w:sz w:val="24"/>
        </w:rPr>
      </w:pPr>
      <w:r>
        <w:rPr>
          <w:rFonts w:hint="eastAsia"/>
          <w:kern w:val="0"/>
          <w:sz w:val="24"/>
        </w:rPr>
        <w:t>认购份额＝（净认购金额＋认购资金利息）</w:t>
      </w:r>
      <w:r>
        <w:rPr>
          <w:rFonts w:hint="eastAsia"/>
          <w:kern w:val="0"/>
          <w:sz w:val="24"/>
        </w:rPr>
        <w:t>/</w:t>
      </w:r>
      <w:r>
        <w:rPr>
          <w:rFonts w:hint="eastAsia"/>
          <w:kern w:val="0"/>
          <w:sz w:val="24"/>
        </w:rPr>
        <w:t>基金份额发售面值</w:t>
      </w:r>
    </w:p>
    <w:p w14:paraId="12905399" w14:textId="77777777" w:rsidR="008B1E3F" w:rsidRDefault="005B0A08">
      <w:pPr>
        <w:widowControl/>
        <w:snapToGrid w:val="0"/>
        <w:spacing w:line="360" w:lineRule="auto"/>
        <w:ind w:firstLineChars="200" w:firstLine="480"/>
        <w:rPr>
          <w:kern w:val="0"/>
          <w:sz w:val="24"/>
        </w:rPr>
      </w:pPr>
      <w:r>
        <w:rPr>
          <w:rFonts w:hint="eastAsia"/>
          <w:kern w:val="0"/>
          <w:sz w:val="24"/>
        </w:rPr>
        <w:t>例：某投资人在募集期通过代销机构投资</w:t>
      </w:r>
      <w:r>
        <w:rPr>
          <w:rFonts w:hint="eastAsia"/>
          <w:kern w:val="0"/>
          <w:sz w:val="24"/>
        </w:rPr>
        <w:t>10</w:t>
      </w:r>
      <w:r>
        <w:rPr>
          <w:rFonts w:hint="eastAsia"/>
          <w:kern w:val="0"/>
          <w:sz w:val="24"/>
        </w:rPr>
        <w:t>万元认购本基金</w:t>
      </w:r>
      <w:r>
        <w:rPr>
          <w:rFonts w:hint="eastAsia"/>
          <w:kern w:val="0"/>
          <w:sz w:val="24"/>
        </w:rPr>
        <w:t>A</w:t>
      </w:r>
      <w:r>
        <w:rPr>
          <w:rFonts w:hint="eastAsia"/>
          <w:kern w:val="0"/>
          <w:sz w:val="24"/>
        </w:rPr>
        <w:t>类基金份额，其对应认购费率为</w:t>
      </w:r>
      <w:r>
        <w:rPr>
          <w:rFonts w:hint="eastAsia"/>
          <w:kern w:val="0"/>
          <w:sz w:val="24"/>
        </w:rPr>
        <w:t>0.80%</w:t>
      </w:r>
      <w:r>
        <w:rPr>
          <w:rFonts w:hint="eastAsia"/>
          <w:kern w:val="0"/>
          <w:sz w:val="24"/>
        </w:rPr>
        <w:t>，假设认购金额在募集期间产生的利息为</w:t>
      </w:r>
      <w:r>
        <w:rPr>
          <w:rFonts w:hint="eastAsia"/>
          <w:kern w:val="0"/>
          <w:sz w:val="24"/>
        </w:rPr>
        <w:t>50.00</w:t>
      </w:r>
      <w:r>
        <w:rPr>
          <w:rFonts w:hint="eastAsia"/>
          <w:kern w:val="0"/>
          <w:sz w:val="24"/>
        </w:rPr>
        <w:t>元，则其可得到的认购份额计算如下：</w:t>
      </w:r>
    </w:p>
    <w:p w14:paraId="45E3DCE3" w14:textId="77777777" w:rsidR="008B1E3F" w:rsidRDefault="005B0A08">
      <w:pPr>
        <w:widowControl/>
        <w:snapToGrid w:val="0"/>
        <w:spacing w:line="360" w:lineRule="auto"/>
        <w:ind w:firstLineChars="200" w:firstLine="480"/>
        <w:rPr>
          <w:kern w:val="0"/>
          <w:sz w:val="24"/>
        </w:rPr>
      </w:pPr>
      <w:r>
        <w:rPr>
          <w:rFonts w:hint="eastAsia"/>
          <w:kern w:val="0"/>
          <w:sz w:val="24"/>
        </w:rPr>
        <w:t>净认购金额＝</w:t>
      </w:r>
      <w:r>
        <w:rPr>
          <w:rFonts w:hint="eastAsia"/>
          <w:kern w:val="0"/>
          <w:sz w:val="24"/>
        </w:rPr>
        <w:t>100,000.00/</w:t>
      </w:r>
      <w:r>
        <w:rPr>
          <w:rFonts w:hint="eastAsia"/>
          <w:kern w:val="0"/>
          <w:sz w:val="24"/>
        </w:rPr>
        <w:t>（</w:t>
      </w:r>
      <w:r>
        <w:rPr>
          <w:rFonts w:hint="eastAsia"/>
          <w:kern w:val="0"/>
          <w:sz w:val="24"/>
        </w:rPr>
        <w:t>1+0.80%</w:t>
      </w:r>
      <w:r>
        <w:rPr>
          <w:rFonts w:hint="eastAsia"/>
          <w:kern w:val="0"/>
          <w:sz w:val="24"/>
        </w:rPr>
        <w:t>）＝</w:t>
      </w:r>
      <w:r>
        <w:rPr>
          <w:rFonts w:hint="eastAsia"/>
          <w:kern w:val="0"/>
          <w:sz w:val="24"/>
        </w:rPr>
        <w:t>99,206.35</w:t>
      </w:r>
      <w:r>
        <w:rPr>
          <w:rFonts w:hint="eastAsia"/>
          <w:kern w:val="0"/>
          <w:sz w:val="24"/>
        </w:rPr>
        <w:t>元</w:t>
      </w:r>
    </w:p>
    <w:p w14:paraId="519DD52B" w14:textId="77777777" w:rsidR="008B1E3F" w:rsidRDefault="005B0A08">
      <w:pPr>
        <w:widowControl/>
        <w:snapToGrid w:val="0"/>
        <w:spacing w:line="360" w:lineRule="auto"/>
        <w:ind w:firstLineChars="200" w:firstLine="480"/>
        <w:rPr>
          <w:kern w:val="0"/>
          <w:sz w:val="24"/>
        </w:rPr>
      </w:pPr>
      <w:r>
        <w:rPr>
          <w:rFonts w:hint="eastAsia"/>
          <w:kern w:val="0"/>
          <w:sz w:val="24"/>
        </w:rPr>
        <w:t>认购费用＝</w:t>
      </w:r>
      <w:r>
        <w:rPr>
          <w:rFonts w:hint="eastAsia"/>
          <w:kern w:val="0"/>
          <w:sz w:val="24"/>
        </w:rPr>
        <w:t>100,000.00</w:t>
      </w:r>
      <w:r>
        <w:rPr>
          <w:rFonts w:hint="eastAsia"/>
          <w:kern w:val="0"/>
          <w:sz w:val="24"/>
        </w:rPr>
        <w:t>－</w:t>
      </w:r>
      <w:r>
        <w:rPr>
          <w:rFonts w:hint="eastAsia"/>
          <w:kern w:val="0"/>
          <w:sz w:val="24"/>
        </w:rPr>
        <w:t>99,206.35</w:t>
      </w:r>
      <w:r>
        <w:rPr>
          <w:rFonts w:hint="eastAsia"/>
          <w:kern w:val="0"/>
          <w:sz w:val="24"/>
        </w:rPr>
        <w:t>＝</w:t>
      </w:r>
      <w:r>
        <w:rPr>
          <w:rFonts w:hint="eastAsia"/>
          <w:kern w:val="0"/>
          <w:sz w:val="24"/>
        </w:rPr>
        <w:t>793.65</w:t>
      </w:r>
      <w:r>
        <w:rPr>
          <w:rFonts w:hint="eastAsia"/>
          <w:kern w:val="0"/>
          <w:sz w:val="24"/>
        </w:rPr>
        <w:t>元</w:t>
      </w:r>
    </w:p>
    <w:p w14:paraId="2F07B142" w14:textId="77777777" w:rsidR="008B1E3F" w:rsidRDefault="005B0A08">
      <w:pPr>
        <w:widowControl/>
        <w:snapToGrid w:val="0"/>
        <w:spacing w:line="360" w:lineRule="auto"/>
        <w:ind w:firstLineChars="200" w:firstLine="480"/>
        <w:rPr>
          <w:kern w:val="0"/>
          <w:sz w:val="24"/>
        </w:rPr>
      </w:pPr>
      <w:r>
        <w:rPr>
          <w:rFonts w:hint="eastAsia"/>
          <w:kern w:val="0"/>
          <w:sz w:val="24"/>
        </w:rPr>
        <w:t>认购份额</w:t>
      </w:r>
      <w:r>
        <w:rPr>
          <w:rFonts w:hint="eastAsia"/>
          <w:kern w:val="0"/>
          <w:sz w:val="24"/>
        </w:rPr>
        <w:t>=</w:t>
      </w:r>
      <w:r>
        <w:rPr>
          <w:rFonts w:hint="eastAsia"/>
          <w:kern w:val="0"/>
          <w:sz w:val="24"/>
        </w:rPr>
        <w:t>（</w:t>
      </w:r>
      <w:r>
        <w:rPr>
          <w:rFonts w:hint="eastAsia"/>
          <w:kern w:val="0"/>
          <w:sz w:val="24"/>
        </w:rPr>
        <w:t>99,206.35</w:t>
      </w:r>
      <w:r>
        <w:rPr>
          <w:rFonts w:hint="eastAsia"/>
          <w:kern w:val="0"/>
          <w:sz w:val="24"/>
        </w:rPr>
        <w:t>＋</w:t>
      </w:r>
      <w:r>
        <w:rPr>
          <w:rFonts w:hint="eastAsia"/>
          <w:kern w:val="0"/>
          <w:sz w:val="24"/>
        </w:rPr>
        <w:t>50.00</w:t>
      </w:r>
      <w:r>
        <w:rPr>
          <w:rFonts w:hint="eastAsia"/>
          <w:kern w:val="0"/>
          <w:sz w:val="24"/>
        </w:rPr>
        <w:t>）</w:t>
      </w:r>
      <w:r>
        <w:rPr>
          <w:rFonts w:hint="eastAsia"/>
          <w:kern w:val="0"/>
          <w:sz w:val="24"/>
        </w:rPr>
        <w:t>/1.00=99,256.35</w:t>
      </w:r>
      <w:r>
        <w:rPr>
          <w:rFonts w:hint="eastAsia"/>
          <w:kern w:val="0"/>
          <w:sz w:val="24"/>
        </w:rPr>
        <w:t>份</w:t>
      </w:r>
    </w:p>
    <w:p w14:paraId="29FA04FF" w14:textId="77777777" w:rsidR="008B1E3F" w:rsidRDefault="005B0A08">
      <w:pPr>
        <w:widowControl/>
        <w:snapToGrid w:val="0"/>
        <w:spacing w:line="360" w:lineRule="auto"/>
        <w:ind w:firstLineChars="200" w:firstLine="480"/>
        <w:rPr>
          <w:kern w:val="0"/>
          <w:sz w:val="24"/>
        </w:rPr>
      </w:pPr>
      <w:r>
        <w:rPr>
          <w:rFonts w:hint="eastAsia"/>
          <w:kern w:val="0"/>
          <w:sz w:val="24"/>
        </w:rPr>
        <w:t>即：该投资人通过代销机构投资</w:t>
      </w:r>
      <w:r>
        <w:rPr>
          <w:rFonts w:hint="eastAsia"/>
          <w:kern w:val="0"/>
          <w:sz w:val="24"/>
        </w:rPr>
        <w:t>10</w:t>
      </w:r>
      <w:r>
        <w:rPr>
          <w:rFonts w:hint="eastAsia"/>
          <w:kern w:val="0"/>
          <w:sz w:val="24"/>
        </w:rPr>
        <w:t>万元认购本基金</w:t>
      </w:r>
      <w:r>
        <w:rPr>
          <w:rFonts w:hint="eastAsia"/>
          <w:kern w:val="0"/>
          <w:sz w:val="24"/>
        </w:rPr>
        <w:t>A</w:t>
      </w:r>
      <w:r>
        <w:rPr>
          <w:rFonts w:hint="eastAsia"/>
          <w:kern w:val="0"/>
          <w:sz w:val="24"/>
        </w:rPr>
        <w:t>类基金份额，其对应认购费率为</w:t>
      </w:r>
      <w:r>
        <w:rPr>
          <w:rFonts w:hint="eastAsia"/>
          <w:kern w:val="0"/>
          <w:sz w:val="24"/>
        </w:rPr>
        <w:t>0.80%</w:t>
      </w:r>
      <w:r>
        <w:rPr>
          <w:rFonts w:hint="eastAsia"/>
          <w:kern w:val="0"/>
          <w:sz w:val="24"/>
        </w:rPr>
        <w:t>，假设认购金额在募集期间产生的利息为</w:t>
      </w:r>
      <w:r>
        <w:rPr>
          <w:rFonts w:hint="eastAsia"/>
          <w:kern w:val="0"/>
          <w:sz w:val="24"/>
        </w:rPr>
        <w:t>50.00</w:t>
      </w:r>
      <w:r>
        <w:rPr>
          <w:rFonts w:hint="eastAsia"/>
          <w:kern w:val="0"/>
          <w:sz w:val="24"/>
        </w:rPr>
        <w:t>元，可得到</w:t>
      </w:r>
      <w:r>
        <w:rPr>
          <w:rFonts w:hint="eastAsia"/>
          <w:kern w:val="0"/>
          <w:sz w:val="24"/>
        </w:rPr>
        <w:t>99,256.35</w:t>
      </w:r>
      <w:r>
        <w:rPr>
          <w:rFonts w:hint="eastAsia"/>
          <w:kern w:val="0"/>
          <w:sz w:val="24"/>
        </w:rPr>
        <w:t>份</w:t>
      </w:r>
      <w:r>
        <w:rPr>
          <w:rFonts w:hint="eastAsia"/>
          <w:kern w:val="0"/>
          <w:sz w:val="24"/>
        </w:rPr>
        <w:t>A</w:t>
      </w:r>
      <w:r>
        <w:rPr>
          <w:rFonts w:hint="eastAsia"/>
          <w:kern w:val="0"/>
          <w:sz w:val="24"/>
        </w:rPr>
        <w:t>类基金份额。</w:t>
      </w:r>
    </w:p>
    <w:p w14:paraId="54936107" w14:textId="77777777" w:rsidR="008B1E3F" w:rsidRDefault="005B0A08">
      <w:pPr>
        <w:widowControl/>
        <w:snapToGrid w:val="0"/>
        <w:spacing w:line="360" w:lineRule="auto"/>
        <w:ind w:firstLineChars="200" w:firstLine="480"/>
        <w:rPr>
          <w:kern w:val="0"/>
          <w:sz w:val="24"/>
        </w:rPr>
      </w:pPr>
      <w:r>
        <w:rPr>
          <w:rFonts w:hint="eastAsia"/>
          <w:kern w:val="0"/>
          <w:sz w:val="24"/>
        </w:rPr>
        <w:t>（</w:t>
      </w:r>
      <w:r>
        <w:rPr>
          <w:rFonts w:hint="eastAsia"/>
          <w:kern w:val="0"/>
          <w:sz w:val="24"/>
        </w:rPr>
        <w:t>2</w:t>
      </w:r>
      <w:r>
        <w:rPr>
          <w:rFonts w:hint="eastAsia"/>
          <w:kern w:val="0"/>
          <w:sz w:val="24"/>
        </w:rPr>
        <w:t>）</w:t>
      </w:r>
      <w:r>
        <w:rPr>
          <w:rFonts w:hint="eastAsia"/>
          <w:kern w:val="0"/>
          <w:sz w:val="24"/>
        </w:rPr>
        <w:t>对于认购本基金</w:t>
      </w:r>
      <w:r>
        <w:rPr>
          <w:rFonts w:hint="eastAsia"/>
          <w:kern w:val="0"/>
          <w:sz w:val="24"/>
        </w:rPr>
        <w:t>C</w:t>
      </w:r>
      <w:r>
        <w:rPr>
          <w:rFonts w:hint="eastAsia"/>
          <w:kern w:val="0"/>
          <w:sz w:val="24"/>
        </w:rPr>
        <w:t>类基金份额的投资者，认购份额的计算公式为：</w:t>
      </w:r>
    </w:p>
    <w:p w14:paraId="34FE35AA" w14:textId="77777777" w:rsidR="008B1E3F" w:rsidRDefault="005B0A08">
      <w:pPr>
        <w:widowControl/>
        <w:snapToGrid w:val="0"/>
        <w:spacing w:line="360" w:lineRule="auto"/>
        <w:ind w:firstLineChars="200" w:firstLine="480"/>
        <w:rPr>
          <w:kern w:val="0"/>
          <w:sz w:val="24"/>
        </w:rPr>
      </w:pPr>
      <w:r>
        <w:rPr>
          <w:rFonts w:hint="eastAsia"/>
          <w:kern w:val="0"/>
          <w:sz w:val="24"/>
        </w:rPr>
        <w:t>认购份额＝（认购金额＋认购资金利息）</w:t>
      </w:r>
      <w:r>
        <w:rPr>
          <w:rFonts w:hint="eastAsia"/>
          <w:kern w:val="0"/>
          <w:sz w:val="24"/>
        </w:rPr>
        <w:t>/</w:t>
      </w:r>
      <w:r>
        <w:rPr>
          <w:rFonts w:hint="eastAsia"/>
          <w:kern w:val="0"/>
          <w:sz w:val="24"/>
        </w:rPr>
        <w:t>基金份额发售面值</w:t>
      </w:r>
    </w:p>
    <w:p w14:paraId="175D98B8" w14:textId="77777777" w:rsidR="008B1E3F" w:rsidRDefault="005B0A08">
      <w:pPr>
        <w:widowControl/>
        <w:snapToGrid w:val="0"/>
        <w:spacing w:line="360" w:lineRule="auto"/>
        <w:ind w:firstLineChars="200" w:firstLine="480"/>
        <w:rPr>
          <w:kern w:val="0"/>
          <w:sz w:val="24"/>
        </w:rPr>
      </w:pPr>
      <w:r>
        <w:rPr>
          <w:rFonts w:hint="eastAsia"/>
          <w:kern w:val="0"/>
          <w:sz w:val="24"/>
        </w:rPr>
        <w:lastRenderedPageBreak/>
        <w:t>例：某投资人在募集期投资</w:t>
      </w:r>
      <w:r>
        <w:rPr>
          <w:rFonts w:hint="eastAsia"/>
          <w:kern w:val="0"/>
          <w:sz w:val="24"/>
        </w:rPr>
        <w:t>10</w:t>
      </w:r>
      <w:r>
        <w:rPr>
          <w:rFonts w:hint="eastAsia"/>
          <w:kern w:val="0"/>
          <w:sz w:val="24"/>
        </w:rPr>
        <w:t>万元认购本基金</w:t>
      </w:r>
      <w:r>
        <w:rPr>
          <w:rFonts w:hint="eastAsia"/>
          <w:kern w:val="0"/>
          <w:sz w:val="24"/>
        </w:rPr>
        <w:t>C</w:t>
      </w:r>
      <w:r>
        <w:rPr>
          <w:rFonts w:hint="eastAsia"/>
          <w:kern w:val="0"/>
          <w:sz w:val="24"/>
        </w:rPr>
        <w:t>类基金份额，假设认购金</w:t>
      </w:r>
      <w:r>
        <w:rPr>
          <w:rFonts w:hint="eastAsia"/>
          <w:kern w:val="0"/>
          <w:sz w:val="24"/>
        </w:rPr>
        <w:t>额在募集期间产生的利息为</w:t>
      </w:r>
      <w:r>
        <w:rPr>
          <w:rFonts w:hint="eastAsia"/>
          <w:kern w:val="0"/>
          <w:sz w:val="24"/>
        </w:rPr>
        <w:t>50.00</w:t>
      </w:r>
      <w:r>
        <w:rPr>
          <w:rFonts w:hint="eastAsia"/>
          <w:kern w:val="0"/>
          <w:sz w:val="24"/>
        </w:rPr>
        <w:t>元，则其可得到的认购份额计算如下：</w:t>
      </w:r>
    </w:p>
    <w:p w14:paraId="7CB89C23" w14:textId="77777777" w:rsidR="008B1E3F" w:rsidRDefault="005B0A08">
      <w:pPr>
        <w:widowControl/>
        <w:snapToGrid w:val="0"/>
        <w:spacing w:line="360" w:lineRule="auto"/>
        <w:ind w:firstLineChars="200" w:firstLine="480"/>
        <w:rPr>
          <w:kern w:val="0"/>
          <w:sz w:val="24"/>
        </w:rPr>
      </w:pPr>
      <w:r>
        <w:rPr>
          <w:rFonts w:hint="eastAsia"/>
          <w:kern w:val="0"/>
          <w:sz w:val="24"/>
        </w:rPr>
        <w:t>认购份额</w:t>
      </w:r>
      <w:r>
        <w:rPr>
          <w:rFonts w:hint="eastAsia"/>
          <w:kern w:val="0"/>
          <w:sz w:val="24"/>
        </w:rPr>
        <w:t>=</w:t>
      </w:r>
      <w:r>
        <w:rPr>
          <w:rFonts w:hint="eastAsia"/>
          <w:kern w:val="0"/>
          <w:sz w:val="24"/>
        </w:rPr>
        <w:t>（</w:t>
      </w:r>
      <w:r>
        <w:rPr>
          <w:rFonts w:hint="eastAsia"/>
          <w:kern w:val="0"/>
          <w:sz w:val="24"/>
        </w:rPr>
        <w:t>100,000.00</w:t>
      </w:r>
      <w:r>
        <w:rPr>
          <w:rFonts w:hint="eastAsia"/>
          <w:kern w:val="0"/>
          <w:sz w:val="24"/>
        </w:rPr>
        <w:t>＋</w:t>
      </w:r>
      <w:r>
        <w:rPr>
          <w:rFonts w:hint="eastAsia"/>
          <w:kern w:val="0"/>
          <w:sz w:val="24"/>
        </w:rPr>
        <w:t>50.00</w:t>
      </w:r>
      <w:r>
        <w:rPr>
          <w:rFonts w:hint="eastAsia"/>
          <w:kern w:val="0"/>
          <w:sz w:val="24"/>
        </w:rPr>
        <w:t>）</w:t>
      </w:r>
      <w:r>
        <w:rPr>
          <w:rFonts w:hint="eastAsia"/>
          <w:kern w:val="0"/>
          <w:sz w:val="24"/>
        </w:rPr>
        <w:t>/1.00=100,050.00</w:t>
      </w:r>
      <w:r>
        <w:rPr>
          <w:rFonts w:hint="eastAsia"/>
          <w:kern w:val="0"/>
          <w:sz w:val="24"/>
        </w:rPr>
        <w:t>份</w:t>
      </w:r>
    </w:p>
    <w:p w14:paraId="70DDF229" w14:textId="77777777" w:rsidR="008B1E3F" w:rsidRDefault="005B0A08">
      <w:pPr>
        <w:widowControl/>
        <w:snapToGrid w:val="0"/>
        <w:spacing w:line="360" w:lineRule="auto"/>
        <w:ind w:firstLineChars="200" w:firstLine="480"/>
        <w:rPr>
          <w:kern w:val="0"/>
          <w:sz w:val="24"/>
        </w:rPr>
      </w:pPr>
      <w:r>
        <w:rPr>
          <w:rFonts w:hint="eastAsia"/>
          <w:kern w:val="0"/>
          <w:sz w:val="24"/>
        </w:rPr>
        <w:t>即：该投资人投资</w:t>
      </w:r>
      <w:r>
        <w:rPr>
          <w:rFonts w:hint="eastAsia"/>
          <w:kern w:val="0"/>
          <w:sz w:val="24"/>
        </w:rPr>
        <w:t>10</w:t>
      </w:r>
      <w:r>
        <w:rPr>
          <w:rFonts w:hint="eastAsia"/>
          <w:kern w:val="0"/>
          <w:sz w:val="24"/>
        </w:rPr>
        <w:t>万元认购本基金</w:t>
      </w:r>
      <w:r>
        <w:rPr>
          <w:rFonts w:hint="eastAsia"/>
          <w:kern w:val="0"/>
          <w:sz w:val="24"/>
        </w:rPr>
        <w:t>C</w:t>
      </w:r>
      <w:r>
        <w:rPr>
          <w:rFonts w:hint="eastAsia"/>
          <w:kern w:val="0"/>
          <w:sz w:val="24"/>
        </w:rPr>
        <w:t>类基金份额，假设认购金额在募集期间产生的利息为</w:t>
      </w:r>
      <w:r>
        <w:rPr>
          <w:rFonts w:hint="eastAsia"/>
          <w:kern w:val="0"/>
          <w:sz w:val="24"/>
        </w:rPr>
        <w:t>50.00</w:t>
      </w:r>
      <w:r>
        <w:rPr>
          <w:rFonts w:hint="eastAsia"/>
          <w:kern w:val="0"/>
          <w:sz w:val="24"/>
        </w:rPr>
        <w:t>元，可得到</w:t>
      </w:r>
      <w:r>
        <w:rPr>
          <w:rFonts w:hint="eastAsia"/>
          <w:kern w:val="0"/>
          <w:sz w:val="24"/>
        </w:rPr>
        <w:t>100,050.00</w:t>
      </w:r>
      <w:r>
        <w:rPr>
          <w:rFonts w:hint="eastAsia"/>
          <w:kern w:val="0"/>
          <w:sz w:val="24"/>
        </w:rPr>
        <w:t>份</w:t>
      </w:r>
      <w:r>
        <w:rPr>
          <w:rFonts w:hint="eastAsia"/>
          <w:kern w:val="0"/>
          <w:sz w:val="24"/>
        </w:rPr>
        <w:t>C</w:t>
      </w:r>
      <w:r>
        <w:rPr>
          <w:rFonts w:hint="eastAsia"/>
          <w:kern w:val="0"/>
          <w:sz w:val="24"/>
        </w:rPr>
        <w:t>类基金份额。</w:t>
      </w:r>
    </w:p>
    <w:p w14:paraId="6C3AF5CE" w14:textId="77777777" w:rsidR="008B1E3F" w:rsidRDefault="005B0A08">
      <w:pPr>
        <w:widowControl/>
        <w:snapToGrid w:val="0"/>
        <w:spacing w:line="360" w:lineRule="auto"/>
        <w:ind w:firstLineChars="200" w:firstLine="480"/>
        <w:rPr>
          <w:kern w:val="0"/>
          <w:sz w:val="24"/>
        </w:rPr>
      </w:pPr>
      <w:r>
        <w:rPr>
          <w:rFonts w:hint="eastAsia"/>
          <w:kern w:val="0"/>
          <w:sz w:val="24"/>
        </w:rPr>
        <w:t>（</w:t>
      </w:r>
      <w:r>
        <w:rPr>
          <w:rFonts w:hint="eastAsia"/>
          <w:kern w:val="0"/>
          <w:sz w:val="24"/>
        </w:rPr>
        <w:t>3</w:t>
      </w:r>
      <w:r>
        <w:rPr>
          <w:rFonts w:hint="eastAsia"/>
          <w:kern w:val="0"/>
          <w:sz w:val="24"/>
        </w:rPr>
        <w:t>）</w:t>
      </w:r>
      <w:r>
        <w:rPr>
          <w:rFonts w:hint="eastAsia"/>
          <w:kern w:val="0"/>
          <w:sz w:val="24"/>
        </w:rPr>
        <w:t>上述计算结果（包括基金份额的份数）均保留到小数点后</w:t>
      </w:r>
      <w:r>
        <w:rPr>
          <w:rFonts w:hint="eastAsia"/>
          <w:kern w:val="0"/>
          <w:sz w:val="24"/>
        </w:rPr>
        <w:t>2</w:t>
      </w:r>
      <w:r>
        <w:rPr>
          <w:rFonts w:hint="eastAsia"/>
          <w:kern w:val="0"/>
          <w:sz w:val="24"/>
        </w:rPr>
        <w:t>位，小数点</w:t>
      </w:r>
      <w:r>
        <w:rPr>
          <w:rFonts w:hint="eastAsia"/>
          <w:kern w:val="0"/>
          <w:sz w:val="24"/>
        </w:rPr>
        <w:t>2</w:t>
      </w:r>
      <w:r>
        <w:rPr>
          <w:rFonts w:hint="eastAsia"/>
          <w:kern w:val="0"/>
          <w:sz w:val="24"/>
        </w:rPr>
        <w:t>位以后的部分四舍五入，由此误差产生的收益或损失由基金财产承担。</w:t>
      </w:r>
    </w:p>
    <w:p w14:paraId="120E268F" w14:textId="77777777" w:rsidR="008B1E3F" w:rsidRDefault="008B1E3F">
      <w:pPr>
        <w:widowControl/>
        <w:snapToGrid w:val="0"/>
        <w:spacing w:line="360" w:lineRule="auto"/>
        <w:ind w:firstLine="480"/>
        <w:rPr>
          <w:kern w:val="0"/>
          <w:sz w:val="24"/>
        </w:rPr>
      </w:pPr>
    </w:p>
    <w:p w14:paraId="43E9F425" w14:textId="77777777" w:rsidR="008B1E3F" w:rsidRDefault="005B0A08">
      <w:pPr>
        <w:spacing w:line="360" w:lineRule="auto"/>
        <w:ind w:firstLineChars="200" w:firstLine="562"/>
        <w:rPr>
          <w:b/>
          <w:sz w:val="28"/>
          <w:szCs w:val="28"/>
        </w:rPr>
      </w:pPr>
      <w:r>
        <w:rPr>
          <w:rFonts w:hint="eastAsia"/>
          <w:b/>
          <w:sz w:val="28"/>
          <w:szCs w:val="28"/>
        </w:rPr>
        <w:t>三、投资者的开户与认购程序</w:t>
      </w:r>
    </w:p>
    <w:p w14:paraId="01481220"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（一）注意事项</w:t>
      </w:r>
    </w:p>
    <w:p w14:paraId="44EC119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w:t>
      </w:r>
      <w:r>
        <w:rPr>
          <w:rFonts w:ascii="宋体" w:hAnsi="宋体"/>
          <w:sz w:val="24"/>
        </w:rPr>
        <w:t>投资者</w:t>
      </w:r>
      <w:r>
        <w:rPr>
          <w:rFonts w:ascii="宋体" w:hAnsi="宋体" w:hint="eastAsia"/>
          <w:sz w:val="24"/>
        </w:rPr>
        <w:t>可</w:t>
      </w:r>
      <w:r>
        <w:rPr>
          <w:rFonts w:ascii="宋体" w:hAnsi="宋体"/>
          <w:sz w:val="24"/>
        </w:rPr>
        <w:t>通过</w:t>
      </w:r>
      <w:r>
        <w:rPr>
          <w:rFonts w:ascii="宋体" w:hAnsi="宋体" w:hint="eastAsia"/>
          <w:sz w:val="24"/>
        </w:rPr>
        <w:t>华商基金直销中心和本基金</w:t>
      </w:r>
      <w:r>
        <w:rPr>
          <w:rFonts w:ascii="宋体" w:hAnsi="宋体" w:hint="eastAsia"/>
          <w:sz w:val="24"/>
        </w:rPr>
        <w:t>的</w:t>
      </w:r>
      <w:r>
        <w:rPr>
          <w:rFonts w:ascii="宋体" w:hAnsi="宋体"/>
          <w:sz w:val="24"/>
        </w:rPr>
        <w:t>代销机构</w:t>
      </w:r>
      <w:r>
        <w:rPr>
          <w:rFonts w:ascii="宋体" w:hAnsi="宋体" w:hint="eastAsia"/>
          <w:sz w:val="24"/>
        </w:rPr>
        <w:t>所指定的销售网点</w:t>
      </w:r>
      <w:r>
        <w:rPr>
          <w:rFonts w:ascii="宋体" w:hAnsi="宋体"/>
          <w:sz w:val="24"/>
        </w:rPr>
        <w:t>办理基金业务</w:t>
      </w:r>
      <w:r>
        <w:rPr>
          <w:rFonts w:ascii="宋体" w:hAnsi="宋体" w:hint="eastAsia"/>
          <w:sz w:val="24"/>
        </w:rPr>
        <w:t>。</w:t>
      </w:r>
    </w:p>
    <w:p w14:paraId="2F6ACD8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2.</w:t>
      </w:r>
      <w:r>
        <w:rPr>
          <w:rFonts w:ascii="宋体" w:hAnsi="宋体"/>
          <w:sz w:val="24"/>
        </w:rPr>
        <w:t>投资者在提交认购申请之前必须事先开立</w:t>
      </w:r>
      <w:r>
        <w:rPr>
          <w:rFonts w:ascii="宋体" w:hAnsi="宋体" w:hint="eastAsia"/>
          <w:sz w:val="24"/>
        </w:rPr>
        <w:t>“</w:t>
      </w:r>
      <w:r>
        <w:rPr>
          <w:rFonts w:ascii="宋体" w:hAnsi="宋体"/>
          <w:sz w:val="24"/>
        </w:rPr>
        <w:t>资金账户</w:t>
      </w:r>
      <w:r>
        <w:rPr>
          <w:rFonts w:ascii="宋体" w:hAnsi="宋体" w:hint="eastAsia"/>
          <w:sz w:val="24"/>
        </w:rPr>
        <w:t>”、“基金账户”。</w:t>
      </w:r>
    </w:p>
    <w:p w14:paraId="2F5AAD66"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（二）华商基金直销中心办理程序</w:t>
      </w:r>
    </w:p>
    <w:p w14:paraId="44BAEC3C"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w:t>
      </w:r>
      <w:r>
        <w:rPr>
          <w:rFonts w:ascii="宋体" w:hAnsi="宋体"/>
          <w:sz w:val="24"/>
        </w:rPr>
        <w:t>华商基金直销中心地址：北京市西城区平安里西大街</w:t>
      </w:r>
      <w:r>
        <w:rPr>
          <w:rFonts w:ascii="宋体" w:hAnsi="宋体"/>
          <w:sz w:val="24"/>
        </w:rPr>
        <w:t>28</w:t>
      </w:r>
      <w:r>
        <w:rPr>
          <w:rFonts w:ascii="宋体" w:hAnsi="宋体"/>
          <w:sz w:val="24"/>
        </w:rPr>
        <w:t>号中海国际中心</w:t>
      </w:r>
      <w:r>
        <w:rPr>
          <w:rFonts w:ascii="宋体" w:hAnsi="宋体"/>
          <w:sz w:val="24"/>
        </w:rPr>
        <w:t>9</w:t>
      </w:r>
      <w:r>
        <w:rPr>
          <w:rFonts w:ascii="宋体" w:hAnsi="宋体"/>
          <w:sz w:val="24"/>
        </w:rPr>
        <w:t>层。</w:t>
      </w:r>
    </w:p>
    <w:p w14:paraId="52058CE4"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2.</w:t>
      </w:r>
      <w:r>
        <w:rPr>
          <w:rFonts w:ascii="宋体" w:hAnsi="宋体"/>
          <w:sz w:val="24"/>
        </w:rPr>
        <w:t>受理开户及认购的时间</w:t>
      </w:r>
    </w:p>
    <w:p w14:paraId="39FAF187"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sz w:val="24"/>
        </w:rPr>
        <w:t>）直销柜台</w:t>
      </w:r>
    </w:p>
    <w:p w14:paraId="6B1094B1"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受理时间：基金发售日的</w:t>
      </w:r>
      <w:r>
        <w:rPr>
          <w:rFonts w:ascii="宋体" w:hAnsi="宋体"/>
          <w:sz w:val="24"/>
        </w:rPr>
        <w:t>9</w:t>
      </w:r>
      <w:r>
        <w:rPr>
          <w:rFonts w:ascii="宋体" w:hAnsi="宋体"/>
          <w:sz w:val="24"/>
        </w:rPr>
        <w:t>：</w:t>
      </w:r>
      <w:r>
        <w:rPr>
          <w:rFonts w:ascii="宋体" w:hAnsi="宋体"/>
          <w:sz w:val="24"/>
        </w:rPr>
        <w:t>00-17</w:t>
      </w:r>
      <w:r>
        <w:rPr>
          <w:rFonts w:ascii="宋体" w:hAnsi="宋体"/>
          <w:sz w:val="24"/>
        </w:rPr>
        <w:t>：</w:t>
      </w:r>
      <w:r>
        <w:rPr>
          <w:rFonts w:ascii="宋体" w:hAnsi="宋体"/>
          <w:sz w:val="24"/>
        </w:rPr>
        <w:t>00</w:t>
      </w:r>
      <w:r>
        <w:rPr>
          <w:rFonts w:ascii="宋体" w:hAnsi="宋体"/>
          <w:sz w:val="24"/>
        </w:rPr>
        <w:t>（周六、日</w:t>
      </w:r>
      <w:r>
        <w:rPr>
          <w:rFonts w:ascii="宋体" w:hAnsi="宋体" w:hint="eastAsia"/>
          <w:sz w:val="24"/>
        </w:rPr>
        <w:t>及法定节假日</w:t>
      </w:r>
      <w:r>
        <w:rPr>
          <w:rFonts w:ascii="宋体" w:hAnsi="宋体"/>
          <w:sz w:val="24"/>
        </w:rPr>
        <w:t>除外）。</w:t>
      </w:r>
    </w:p>
    <w:p w14:paraId="76254388" w14:textId="77777777" w:rsidR="008B1E3F" w:rsidRDefault="005B0A08">
      <w:pPr>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sz w:val="24"/>
        </w:rPr>
        <w:t>）电子直销交易系统（包括：网上交易系统</w:t>
      </w:r>
      <w:hyperlink r:id="rId10" w:history="1">
        <w:r>
          <w:rPr>
            <w:rFonts w:ascii="宋体" w:hAnsi="宋体"/>
            <w:sz w:val="24"/>
          </w:rPr>
          <w:t>www.hsfund.com</w:t>
        </w:r>
      </w:hyperlink>
      <w:r>
        <w:rPr>
          <w:rFonts w:ascii="宋体" w:hAnsi="宋体"/>
          <w:sz w:val="24"/>
        </w:rPr>
        <w:t>、</w:t>
      </w:r>
      <w:r>
        <w:rPr>
          <w:rFonts w:ascii="宋体" w:hAnsi="宋体" w:hint="eastAsia"/>
          <w:sz w:val="24"/>
        </w:rPr>
        <w:t>微信交易系统微信号：</w:t>
      </w:r>
      <w:r>
        <w:rPr>
          <w:rFonts w:ascii="宋体" w:hAnsi="宋体"/>
          <w:sz w:val="24"/>
        </w:rPr>
        <w:t>hsfund</w:t>
      </w:r>
      <w:r>
        <w:rPr>
          <w:rFonts w:ascii="宋体" w:hAnsi="宋体"/>
          <w:sz w:val="24"/>
        </w:rPr>
        <w:t>以及华商基金</w:t>
      </w:r>
      <w:r>
        <w:rPr>
          <w:rFonts w:ascii="宋体" w:hAnsi="宋体"/>
          <w:sz w:val="24"/>
        </w:rPr>
        <w:t>APP</w:t>
      </w:r>
      <w:r>
        <w:rPr>
          <w:rFonts w:ascii="宋体" w:hAnsi="宋体"/>
          <w:sz w:val="24"/>
        </w:rPr>
        <w:t>）</w:t>
      </w:r>
    </w:p>
    <w:p w14:paraId="0E9CB4B7" w14:textId="77777777" w:rsidR="008B1E3F" w:rsidRDefault="005B0A08">
      <w:pPr>
        <w:snapToGrid w:val="0"/>
        <w:spacing w:line="360" w:lineRule="auto"/>
        <w:ind w:firstLineChars="200" w:firstLine="480"/>
        <w:rPr>
          <w:rFonts w:ascii="宋体" w:hAnsi="宋体"/>
          <w:sz w:val="24"/>
        </w:rPr>
      </w:pPr>
      <w:r>
        <w:rPr>
          <w:rFonts w:ascii="宋体" w:hAnsi="宋体"/>
          <w:sz w:val="24"/>
        </w:rPr>
        <w:t>受理时间：</w:t>
      </w:r>
      <w:r>
        <w:rPr>
          <w:rFonts w:ascii="宋体" w:hAnsi="宋体"/>
          <w:sz w:val="24"/>
        </w:rPr>
        <w:t>7*24</w:t>
      </w:r>
      <w:r>
        <w:rPr>
          <w:rFonts w:ascii="宋体" w:hAnsi="宋体"/>
          <w:sz w:val="24"/>
        </w:rPr>
        <w:t>小时可提交开户及认购申请。认购期内</w:t>
      </w:r>
      <w:r>
        <w:rPr>
          <w:rFonts w:ascii="宋体" w:hAnsi="宋体"/>
          <w:sz w:val="24"/>
        </w:rPr>
        <w:t>T</w:t>
      </w:r>
      <w:r>
        <w:rPr>
          <w:rFonts w:ascii="宋体" w:hAnsi="宋体"/>
          <w:sz w:val="24"/>
        </w:rPr>
        <w:t>日（</w:t>
      </w:r>
      <w:r>
        <w:rPr>
          <w:rFonts w:ascii="宋体" w:hAnsi="宋体"/>
          <w:sz w:val="24"/>
        </w:rPr>
        <w:t>T</w:t>
      </w:r>
      <w:r>
        <w:rPr>
          <w:rFonts w:ascii="宋体" w:hAnsi="宋体"/>
          <w:sz w:val="24"/>
        </w:rPr>
        <w:t>为交易日）</w:t>
      </w:r>
      <w:r>
        <w:rPr>
          <w:rFonts w:ascii="宋体" w:hAnsi="宋体"/>
          <w:sz w:val="24"/>
        </w:rPr>
        <w:t>17</w:t>
      </w:r>
      <w:r>
        <w:rPr>
          <w:rFonts w:ascii="宋体" w:hAnsi="宋体"/>
          <w:sz w:val="24"/>
        </w:rPr>
        <w:t>：</w:t>
      </w:r>
      <w:r>
        <w:rPr>
          <w:rFonts w:ascii="宋体" w:hAnsi="宋体"/>
          <w:sz w:val="24"/>
        </w:rPr>
        <w:t>00</w:t>
      </w:r>
      <w:r>
        <w:rPr>
          <w:rFonts w:ascii="宋体" w:hAnsi="宋体"/>
          <w:sz w:val="24"/>
        </w:rPr>
        <w:t>前提交的申请作为</w:t>
      </w:r>
      <w:r>
        <w:rPr>
          <w:rFonts w:ascii="宋体" w:hAnsi="宋体"/>
          <w:sz w:val="24"/>
        </w:rPr>
        <w:t>T</w:t>
      </w:r>
      <w:r>
        <w:rPr>
          <w:rFonts w:ascii="宋体" w:hAnsi="宋体"/>
          <w:sz w:val="24"/>
        </w:rPr>
        <w:t>日的申请受理；认购期内</w:t>
      </w:r>
      <w:r>
        <w:rPr>
          <w:rFonts w:ascii="宋体" w:hAnsi="宋体"/>
          <w:sz w:val="24"/>
        </w:rPr>
        <w:t>T</w:t>
      </w:r>
      <w:r>
        <w:rPr>
          <w:rFonts w:ascii="宋体" w:hAnsi="宋体"/>
          <w:sz w:val="24"/>
        </w:rPr>
        <w:t>日</w:t>
      </w:r>
      <w:r>
        <w:rPr>
          <w:rFonts w:ascii="宋体" w:hAnsi="宋体"/>
          <w:sz w:val="24"/>
        </w:rPr>
        <w:t>17</w:t>
      </w:r>
      <w:r>
        <w:rPr>
          <w:rFonts w:ascii="宋体" w:hAnsi="宋体"/>
          <w:sz w:val="24"/>
        </w:rPr>
        <w:t>：</w:t>
      </w:r>
      <w:r>
        <w:rPr>
          <w:rFonts w:ascii="宋体" w:hAnsi="宋体"/>
          <w:sz w:val="24"/>
        </w:rPr>
        <w:t>00</w:t>
      </w:r>
      <w:r>
        <w:rPr>
          <w:rFonts w:ascii="宋体" w:hAnsi="宋体"/>
          <w:sz w:val="24"/>
        </w:rPr>
        <w:t>后以及周六、周日、</w:t>
      </w:r>
      <w:r>
        <w:rPr>
          <w:rFonts w:ascii="宋体" w:hAnsi="宋体" w:hint="eastAsia"/>
          <w:sz w:val="24"/>
        </w:rPr>
        <w:t>法定</w:t>
      </w:r>
      <w:r>
        <w:rPr>
          <w:rFonts w:ascii="宋体" w:hAnsi="宋体"/>
          <w:sz w:val="24"/>
        </w:rPr>
        <w:t>节假日提交的申请视同为下一交易日（即</w:t>
      </w:r>
      <w:r>
        <w:rPr>
          <w:rFonts w:ascii="宋体" w:hAnsi="宋体"/>
          <w:sz w:val="24"/>
        </w:rPr>
        <w:t>T+1</w:t>
      </w:r>
      <w:r>
        <w:rPr>
          <w:rFonts w:ascii="宋体" w:hAnsi="宋体"/>
          <w:sz w:val="24"/>
        </w:rPr>
        <w:t>日）的申请受理。</w:t>
      </w:r>
    </w:p>
    <w:p w14:paraId="2CCD9125" w14:textId="77777777" w:rsidR="008B1E3F" w:rsidRDefault="005B0A08">
      <w:pPr>
        <w:snapToGrid w:val="0"/>
        <w:spacing w:line="360" w:lineRule="auto"/>
        <w:ind w:firstLineChars="200" w:firstLine="480"/>
        <w:rPr>
          <w:rFonts w:ascii="宋体" w:hAnsi="宋体"/>
          <w:sz w:val="24"/>
        </w:rPr>
      </w:pPr>
      <w:r>
        <w:rPr>
          <w:rFonts w:ascii="宋体" w:hAnsi="宋体"/>
          <w:sz w:val="24"/>
        </w:rPr>
        <w:t>3.</w:t>
      </w:r>
      <w:r>
        <w:rPr>
          <w:rFonts w:ascii="宋体" w:hAnsi="宋体"/>
          <w:sz w:val="24"/>
        </w:rPr>
        <w:t>投资者申请开立基金账户</w:t>
      </w:r>
    </w:p>
    <w:p w14:paraId="654608EA"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sz w:val="24"/>
        </w:rPr>
        <w:t>）个人投资者</w:t>
      </w:r>
      <w:r>
        <w:rPr>
          <w:rFonts w:ascii="宋体" w:hAnsi="宋体" w:hint="eastAsia"/>
          <w:sz w:val="24"/>
        </w:rPr>
        <w:t>通过华商基金直销柜台</w:t>
      </w:r>
      <w:r>
        <w:rPr>
          <w:rFonts w:ascii="宋体" w:hAnsi="宋体"/>
          <w:sz w:val="24"/>
        </w:rPr>
        <w:t>申请开立基金账户时</w:t>
      </w:r>
      <w:r>
        <w:rPr>
          <w:rFonts w:ascii="宋体" w:hAnsi="宋体" w:hint="eastAsia"/>
          <w:sz w:val="24"/>
        </w:rPr>
        <w:t>须</w:t>
      </w:r>
      <w:r>
        <w:rPr>
          <w:rFonts w:ascii="宋体" w:hAnsi="宋体"/>
          <w:sz w:val="24"/>
        </w:rPr>
        <w:t>提交下列材料：</w:t>
      </w:r>
    </w:p>
    <w:p w14:paraId="4AD0D5FE"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w:t>
      </w:r>
      <w:r>
        <w:rPr>
          <w:rFonts w:ascii="宋体" w:hAnsi="宋体"/>
          <w:sz w:val="24"/>
        </w:rPr>
        <w:t>）本人有效身份证明原件（居民身份证、</w:t>
      </w:r>
      <w:r>
        <w:rPr>
          <w:rFonts w:ascii="宋体" w:hAnsi="宋体" w:hint="eastAsia"/>
          <w:sz w:val="24"/>
        </w:rPr>
        <w:t>户口本、台胞证</w:t>
      </w:r>
      <w:r>
        <w:rPr>
          <w:rFonts w:ascii="宋体" w:hAnsi="宋体"/>
          <w:sz w:val="24"/>
        </w:rPr>
        <w:t>等）及签字复印件正反两面</w:t>
      </w:r>
      <w:r>
        <w:rPr>
          <w:rFonts w:ascii="宋体" w:hAnsi="宋体" w:hint="eastAsia"/>
          <w:sz w:val="24"/>
        </w:rPr>
        <w:t>。</w:t>
      </w:r>
    </w:p>
    <w:p w14:paraId="48AE5B12"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lastRenderedPageBreak/>
        <w:t>2</w:t>
      </w:r>
      <w:r>
        <w:rPr>
          <w:rFonts w:ascii="宋体" w:hAnsi="宋体"/>
          <w:sz w:val="24"/>
        </w:rPr>
        <w:t>）委托他人办理的，需提供</w:t>
      </w:r>
      <w:r>
        <w:rPr>
          <w:rFonts w:ascii="宋体" w:hAnsi="宋体" w:hint="eastAsia"/>
          <w:sz w:val="24"/>
        </w:rPr>
        <w:t>授权委托书及</w:t>
      </w:r>
      <w:r>
        <w:rPr>
          <w:rFonts w:ascii="宋体" w:hAnsi="宋体"/>
          <w:sz w:val="24"/>
        </w:rPr>
        <w:t>代办人有效身份证原件及其签字复印件正反两面。</w:t>
      </w:r>
    </w:p>
    <w:p w14:paraId="63E8ADA9"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3</w:t>
      </w:r>
      <w:r>
        <w:rPr>
          <w:rFonts w:ascii="宋体" w:hAnsi="宋体"/>
          <w:sz w:val="24"/>
        </w:rPr>
        <w:t>）本人有效银行</w:t>
      </w:r>
      <w:r>
        <w:rPr>
          <w:rFonts w:ascii="宋体" w:hAnsi="宋体" w:hint="eastAsia"/>
          <w:sz w:val="24"/>
        </w:rPr>
        <w:t>账户签字复印件</w:t>
      </w:r>
      <w:r>
        <w:rPr>
          <w:rFonts w:ascii="宋体" w:hAnsi="宋体"/>
          <w:sz w:val="24"/>
        </w:rPr>
        <w:t>正反两面。</w:t>
      </w:r>
    </w:p>
    <w:p w14:paraId="705B0A5A"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4</w:t>
      </w:r>
      <w:r>
        <w:rPr>
          <w:rFonts w:ascii="宋体" w:hAnsi="宋体"/>
          <w:sz w:val="24"/>
        </w:rPr>
        <w:t>）填妥的《开放式基金账户类业务申请表》</w:t>
      </w:r>
      <w:r>
        <w:rPr>
          <w:rFonts w:ascii="宋体" w:hAnsi="宋体" w:hint="eastAsia"/>
          <w:sz w:val="24"/>
        </w:rPr>
        <w:t>。</w:t>
      </w:r>
    </w:p>
    <w:p w14:paraId="6FA9165A"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5</w:t>
      </w:r>
      <w:r>
        <w:rPr>
          <w:rFonts w:ascii="宋体" w:hAnsi="宋体"/>
          <w:sz w:val="24"/>
        </w:rPr>
        <w:t>）如需采用远程服务办理业务，需签订《委托服务协议》。</w:t>
      </w:r>
    </w:p>
    <w:p w14:paraId="44CB7E0B"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6</w:t>
      </w:r>
      <w:r>
        <w:rPr>
          <w:rFonts w:ascii="宋体" w:hAnsi="宋体"/>
          <w:sz w:val="24"/>
        </w:rPr>
        <w:t>）本人填写并签字的《个人风险测评问卷》。</w:t>
      </w:r>
    </w:p>
    <w:p w14:paraId="4DAF55DF"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7</w:t>
      </w:r>
      <w:r>
        <w:rPr>
          <w:rFonts w:ascii="宋体" w:hAnsi="宋体"/>
          <w:sz w:val="24"/>
        </w:rPr>
        <w:t>）本人填写并签字的《风险匹配告知书及投资者确认函》。</w:t>
      </w:r>
    </w:p>
    <w:p w14:paraId="5A7E18BD"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8</w:t>
      </w:r>
      <w:r>
        <w:rPr>
          <w:rFonts w:ascii="宋体" w:hAnsi="宋体"/>
          <w:sz w:val="24"/>
        </w:rPr>
        <w:t>）本人填写并签字的《风险揭示书》。</w:t>
      </w:r>
    </w:p>
    <w:p w14:paraId="3287E480"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9</w:t>
      </w:r>
      <w:r>
        <w:rPr>
          <w:rFonts w:ascii="宋体" w:hAnsi="宋体"/>
          <w:sz w:val="24"/>
        </w:rPr>
        <w:t>）本人填写并签字的《</w:t>
      </w:r>
      <w:r>
        <w:rPr>
          <w:rFonts w:ascii="宋体" w:hAnsi="宋体" w:hint="eastAsia"/>
          <w:sz w:val="24"/>
        </w:rPr>
        <w:t>税收</w:t>
      </w:r>
      <w:r>
        <w:rPr>
          <w:rFonts w:ascii="宋体" w:hAnsi="宋体"/>
          <w:sz w:val="24"/>
        </w:rPr>
        <w:t>居民身份</w:t>
      </w:r>
      <w:r>
        <w:rPr>
          <w:rFonts w:ascii="宋体" w:hAnsi="宋体" w:hint="eastAsia"/>
          <w:sz w:val="24"/>
        </w:rPr>
        <w:t>声明</w:t>
      </w:r>
      <w:r>
        <w:rPr>
          <w:rFonts w:ascii="宋体" w:hAnsi="宋体"/>
          <w:sz w:val="24"/>
        </w:rPr>
        <w:t>》</w:t>
      </w:r>
      <w:r>
        <w:rPr>
          <w:rFonts w:ascii="宋体" w:hAnsi="宋体" w:hint="eastAsia"/>
          <w:sz w:val="24"/>
        </w:rPr>
        <w:t>。</w:t>
      </w:r>
    </w:p>
    <w:p w14:paraId="2255D42D"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10</w:t>
      </w:r>
      <w:r>
        <w:rPr>
          <w:rFonts w:ascii="宋体" w:hAnsi="宋体" w:hint="eastAsia"/>
          <w:sz w:val="24"/>
        </w:rPr>
        <w:t>）</w:t>
      </w:r>
      <w:r>
        <w:rPr>
          <w:rFonts w:ascii="宋体" w:hAnsi="宋体"/>
          <w:sz w:val="24"/>
        </w:rPr>
        <w:t>其他直销机构所需资料。</w:t>
      </w:r>
    </w:p>
    <w:p w14:paraId="51B97560"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注：其中</w:t>
      </w:r>
      <w:r>
        <w:rPr>
          <w:rFonts w:ascii="宋体" w:hAnsi="宋体" w:hint="eastAsia"/>
          <w:sz w:val="24"/>
        </w:rPr>
        <w:t>有效</w:t>
      </w:r>
      <w:r>
        <w:rPr>
          <w:rFonts w:ascii="宋体" w:hAnsi="宋体"/>
          <w:sz w:val="24"/>
        </w:rPr>
        <w:t>银行账户是指投资者开户时预留的作为赎回、分红、退款的结算账户，银行账户名称必须同投资者基金账户的户名一致。</w:t>
      </w:r>
    </w:p>
    <w:p w14:paraId="52D8B219"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sz w:val="24"/>
        </w:rPr>
        <w:t>）个人投资者在电子直销交易系统办</w:t>
      </w:r>
      <w:r>
        <w:rPr>
          <w:rFonts w:ascii="宋体" w:hAnsi="宋体"/>
          <w:sz w:val="24"/>
        </w:rPr>
        <w:t>理开立基金账户时须准备下列材料：</w:t>
      </w:r>
    </w:p>
    <w:p w14:paraId="5E355B32"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w:t>
      </w:r>
      <w:r>
        <w:rPr>
          <w:rFonts w:ascii="宋体" w:hAnsi="宋体"/>
          <w:sz w:val="24"/>
        </w:rPr>
        <w:t>）本人有效身份证件</w:t>
      </w:r>
      <w:r>
        <w:rPr>
          <w:rFonts w:ascii="宋体" w:hAnsi="宋体" w:hint="eastAsia"/>
          <w:sz w:val="24"/>
        </w:rPr>
        <w:t>信息</w:t>
      </w:r>
      <w:r>
        <w:rPr>
          <w:rFonts w:ascii="宋体" w:hAnsi="宋体"/>
          <w:sz w:val="24"/>
        </w:rPr>
        <w:t>（居民身份证、</w:t>
      </w:r>
      <w:r>
        <w:rPr>
          <w:rFonts w:ascii="宋体" w:hAnsi="宋体" w:hint="eastAsia"/>
          <w:sz w:val="24"/>
        </w:rPr>
        <w:t>户口本</w:t>
      </w:r>
      <w:r>
        <w:rPr>
          <w:rFonts w:ascii="宋体" w:hAnsi="宋体"/>
          <w:sz w:val="24"/>
        </w:rPr>
        <w:t>等）</w:t>
      </w:r>
      <w:r>
        <w:rPr>
          <w:rFonts w:ascii="宋体" w:hAnsi="宋体" w:hint="eastAsia"/>
          <w:sz w:val="24"/>
        </w:rPr>
        <w:t>。</w:t>
      </w:r>
    </w:p>
    <w:p w14:paraId="3FF87F8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2</w:t>
      </w:r>
      <w:r>
        <w:rPr>
          <w:rFonts w:ascii="宋体" w:hAnsi="宋体"/>
          <w:sz w:val="24"/>
        </w:rPr>
        <w:t>）基金管理人已开通支持电子直销交易的银行借记卡或第三方支付账户。</w:t>
      </w:r>
    </w:p>
    <w:p w14:paraId="3B4058BF"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sz w:val="24"/>
        </w:rPr>
        <w:t>3</w:t>
      </w:r>
      <w:r>
        <w:rPr>
          <w:rFonts w:ascii="宋体" w:hAnsi="宋体"/>
          <w:sz w:val="24"/>
        </w:rPr>
        <w:t>）机构投资者通过华商基金直销柜台申请开立基金账户时</w:t>
      </w:r>
      <w:r>
        <w:rPr>
          <w:rFonts w:ascii="宋体" w:hAnsi="宋体" w:hint="eastAsia"/>
          <w:sz w:val="24"/>
        </w:rPr>
        <w:t>须</w:t>
      </w:r>
      <w:r>
        <w:rPr>
          <w:rFonts w:ascii="宋体" w:hAnsi="宋体"/>
          <w:sz w:val="24"/>
        </w:rPr>
        <w:t>提交下列材料：</w:t>
      </w:r>
    </w:p>
    <w:p w14:paraId="2E996BE8"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w:t>
      </w:r>
      <w:r>
        <w:rPr>
          <w:rFonts w:ascii="宋体" w:hAnsi="宋体"/>
          <w:sz w:val="24"/>
        </w:rPr>
        <w:t>）企业应提供社会统一信用代码证复印件并加盖公章。</w:t>
      </w:r>
    </w:p>
    <w:p w14:paraId="4ECD78EC"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2</w:t>
      </w:r>
      <w:r>
        <w:rPr>
          <w:rFonts w:ascii="宋体" w:hAnsi="宋体"/>
          <w:sz w:val="24"/>
        </w:rPr>
        <w:t>）填妥的《开放式基金账户类业务申请表》，并加盖预留印鉴。</w:t>
      </w:r>
    </w:p>
    <w:p w14:paraId="3BA4E72D"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3</w:t>
      </w:r>
      <w:r>
        <w:rPr>
          <w:rFonts w:ascii="宋体" w:hAnsi="宋体"/>
          <w:sz w:val="24"/>
        </w:rPr>
        <w:t>）填妥的《委托服务协议》一式两份。</w:t>
      </w:r>
    </w:p>
    <w:p w14:paraId="40458356"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4</w:t>
      </w:r>
      <w:r>
        <w:rPr>
          <w:rFonts w:ascii="宋体" w:hAnsi="宋体"/>
          <w:sz w:val="24"/>
        </w:rPr>
        <w:t>）《机构风险测评问卷》（加盖公章）。</w:t>
      </w:r>
    </w:p>
    <w:p w14:paraId="45CC59DA"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5</w:t>
      </w:r>
      <w:r>
        <w:rPr>
          <w:rFonts w:ascii="宋体" w:hAnsi="宋体"/>
          <w:sz w:val="24"/>
        </w:rPr>
        <w:t>）《风险匹配告知书及投资者确认函》（加盖公章）。</w:t>
      </w:r>
    </w:p>
    <w:p w14:paraId="4B9FD158"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6</w:t>
      </w:r>
      <w:r>
        <w:rPr>
          <w:rFonts w:ascii="宋体" w:hAnsi="宋体"/>
          <w:sz w:val="24"/>
        </w:rPr>
        <w:t>）《机构授权委托书》（加盖公章）。</w:t>
      </w:r>
    </w:p>
    <w:p w14:paraId="4D2EEBF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7</w:t>
      </w:r>
      <w:r>
        <w:rPr>
          <w:rFonts w:ascii="宋体" w:hAnsi="宋体"/>
          <w:sz w:val="24"/>
        </w:rPr>
        <w:t>）《机构预留印鉴卡》一式两份。</w:t>
      </w:r>
    </w:p>
    <w:p w14:paraId="1C1E67A0"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8</w:t>
      </w:r>
      <w:r>
        <w:rPr>
          <w:rFonts w:ascii="宋体" w:hAnsi="宋体"/>
          <w:sz w:val="24"/>
        </w:rPr>
        <w:t>）提供指定银行账户的银行《开户许可证》复印件或指定银行出具的开户证明（加盖公章）。</w:t>
      </w:r>
    </w:p>
    <w:p w14:paraId="557A2E4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9</w:t>
      </w:r>
      <w:r>
        <w:rPr>
          <w:rFonts w:ascii="宋体" w:hAnsi="宋体"/>
          <w:sz w:val="24"/>
        </w:rPr>
        <w:t>）提供经办人、法人有效身份证件正反两面复印件（加盖公章）。</w:t>
      </w:r>
    </w:p>
    <w:p w14:paraId="4B4D583E"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10</w:t>
      </w:r>
      <w:r>
        <w:rPr>
          <w:rFonts w:ascii="宋体" w:hAnsi="宋体"/>
          <w:sz w:val="24"/>
        </w:rPr>
        <w:t>）提供控股股东或者实际控制人的有效身份证件正反两面复印件并加盖公章。</w:t>
      </w:r>
    </w:p>
    <w:p w14:paraId="713F1A30"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11</w:t>
      </w:r>
      <w:r>
        <w:rPr>
          <w:rFonts w:ascii="宋体" w:hAnsi="宋体"/>
          <w:sz w:val="24"/>
        </w:rPr>
        <w:t>）提供企业相关业务资质证明文件并加盖公章。</w:t>
      </w:r>
    </w:p>
    <w:p w14:paraId="1CDC9136"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lastRenderedPageBreak/>
        <w:t>12</w:t>
      </w:r>
      <w:r>
        <w:rPr>
          <w:rFonts w:ascii="宋体" w:hAnsi="宋体"/>
          <w:sz w:val="24"/>
        </w:rPr>
        <w:t>）《风险揭示书》（加盖公章）。</w:t>
      </w:r>
    </w:p>
    <w:p w14:paraId="54BB7C23"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13</w:t>
      </w:r>
      <w:r>
        <w:rPr>
          <w:rFonts w:ascii="宋体" w:hAnsi="宋体"/>
          <w:sz w:val="24"/>
        </w:rPr>
        <w:t>）填妥的《税收居民身份声明》，如为消极非金融机构需同时填写《控制人税收居民身份声明》。</w:t>
      </w:r>
    </w:p>
    <w:p w14:paraId="37963B68"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14</w:t>
      </w:r>
      <w:r>
        <w:rPr>
          <w:rFonts w:ascii="宋体" w:hAnsi="宋体"/>
          <w:sz w:val="24"/>
        </w:rPr>
        <w:t>）产品户开立账户需提供产品备案函等相关资料。</w:t>
      </w:r>
    </w:p>
    <w:p w14:paraId="1971E5D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15</w:t>
      </w:r>
      <w:r>
        <w:rPr>
          <w:rFonts w:ascii="宋体" w:hAnsi="宋体"/>
          <w:sz w:val="24"/>
        </w:rPr>
        <w:t>）填妥的《非自然人客户身份识别尽职调查》。</w:t>
      </w:r>
    </w:p>
    <w:p w14:paraId="418A3F05"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16</w:t>
      </w:r>
      <w:r>
        <w:rPr>
          <w:rFonts w:ascii="宋体" w:hAnsi="宋体" w:hint="eastAsia"/>
          <w:sz w:val="24"/>
        </w:rPr>
        <w:t>）其他直销机构所需资料。</w:t>
      </w:r>
    </w:p>
    <w:p w14:paraId="6FA07037"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注：其中指定银行账户是指投资者开户时预留的作为赎回、分红、退款的结算账户</w:t>
      </w:r>
      <w:r>
        <w:rPr>
          <w:rFonts w:ascii="宋体" w:hAnsi="宋体" w:hint="eastAsia"/>
          <w:sz w:val="24"/>
        </w:rPr>
        <w:t>。</w:t>
      </w:r>
    </w:p>
    <w:p w14:paraId="78FDE02B"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4.</w:t>
      </w:r>
      <w:r>
        <w:rPr>
          <w:rFonts w:ascii="宋体" w:hAnsi="宋体" w:hint="eastAsia"/>
          <w:sz w:val="24"/>
        </w:rPr>
        <w:t>投资者</w:t>
      </w:r>
      <w:r>
        <w:rPr>
          <w:rFonts w:ascii="宋体" w:hAnsi="宋体"/>
          <w:sz w:val="24"/>
        </w:rPr>
        <w:t>提</w:t>
      </w:r>
      <w:r>
        <w:rPr>
          <w:rFonts w:ascii="宋体" w:hAnsi="宋体" w:hint="eastAsia"/>
          <w:sz w:val="24"/>
        </w:rPr>
        <w:t>交</w:t>
      </w:r>
      <w:r>
        <w:rPr>
          <w:rFonts w:ascii="宋体" w:hAnsi="宋体"/>
          <w:sz w:val="24"/>
        </w:rPr>
        <w:t>认购申请</w:t>
      </w:r>
    </w:p>
    <w:p w14:paraId="3E8DCAEE"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投资者办理认购申请须准备以下资料：</w:t>
      </w:r>
    </w:p>
    <w:p w14:paraId="60AEE94C"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sz w:val="24"/>
        </w:rPr>
        <w:t>填妥的《开放式基金交易类业务申请表》；</w:t>
      </w:r>
    </w:p>
    <w:p w14:paraId="3138E479"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）提交认购申请当日交易时间内的</w:t>
      </w:r>
      <w:r>
        <w:rPr>
          <w:rFonts w:ascii="宋体" w:hAnsi="宋体"/>
          <w:sz w:val="24"/>
        </w:rPr>
        <w:t>银行</w:t>
      </w:r>
      <w:r>
        <w:rPr>
          <w:rFonts w:ascii="宋体" w:hAnsi="宋体" w:hint="eastAsia"/>
          <w:sz w:val="24"/>
        </w:rPr>
        <w:t>划</w:t>
      </w:r>
      <w:r>
        <w:rPr>
          <w:rFonts w:ascii="宋体" w:hAnsi="宋体"/>
          <w:sz w:val="24"/>
        </w:rPr>
        <w:t>款凭证；</w:t>
      </w:r>
    </w:p>
    <w:p w14:paraId="6EA1C3F4"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sz w:val="24"/>
        </w:rPr>
        <w:t>其他直销机构所需资料</w:t>
      </w:r>
      <w:r>
        <w:rPr>
          <w:rFonts w:ascii="宋体" w:hAnsi="宋体" w:hint="eastAsia"/>
          <w:sz w:val="24"/>
        </w:rPr>
        <w:t>。</w:t>
      </w:r>
    </w:p>
    <w:p w14:paraId="4EE76B37"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注：如投资者通过电子直销交易系统提交认购申请，认购资金将被实时划出，且基金认购不支持撤单。</w:t>
      </w:r>
    </w:p>
    <w:p w14:paraId="1F08F553"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5.</w:t>
      </w:r>
      <w:r>
        <w:rPr>
          <w:rFonts w:ascii="宋体" w:hAnsi="宋体" w:hint="eastAsia"/>
          <w:sz w:val="24"/>
        </w:rPr>
        <w:t>投资者</w:t>
      </w:r>
      <w:r>
        <w:rPr>
          <w:rFonts w:ascii="宋体" w:hAnsi="宋体"/>
          <w:sz w:val="24"/>
        </w:rPr>
        <w:t>认购资金的划拨</w:t>
      </w:r>
    </w:p>
    <w:p w14:paraId="35B82A8C"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投资者办理认购前应将足额认购资金通过银行转账汇入本公司</w:t>
      </w:r>
      <w:r>
        <w:rPr>
          <w:rFonts w:ascii="宋体" w:hAnsi="宋体"/>
          <w:sz w:val="24"/>
        </w:rPr>
        <w:t>指定的直销专户：</w:t>
      </w:r>
    </w:p>
    <w:p w14:paraId="75451BF1"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sz w:val="24"/>
        </w:rPr>
        <w:t>账户名称：华商基金管理有限公司</w:t>
      </w:r>
    </w:p>
    <w:p w14:paraId="774DD9A5"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开户银行：中国民生银行北京西二环支行</w:t>
      </w:r>
    </w:p>
    <w:p w14:paraId="00A37AC4"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银行账号：</w:t>
      </w:r>
      <w:r>
        <w:rPr>
          <w:rFonts w:ascii="宋体" w:hAnsi="宋体"/>
          <w:sz w:val="24"/>
        </w:rPr>
        <w:t>0136014040000047</w:t>
      </w:r>
    </w:p>
    <w:p w14:paraId="1AA9735E"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sz w:val="24"/>
        </w:rPr>
        <w:t>账户名称：华商基金管理有限公司</w:t>
      </w:r>
    </w:p>
    <w:p w14:paraId="71BB9F89"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开户银行：中国工商银行北京官园支行</w:t>
      </w:r>
    </w:p>
    <w:p w14:paraId="45E42D90"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银行账号：</w:t>
      </w:r>
      <w:r>
        <w:rPr>
          <w:rFonts w:ascii="宋体" w:hAnsi="宋体"/>
          <w:sz w:val="24"/>
        </w:rPr>
        <w:t>0200098219067040896</w:t>
      </w:r>
    </w:p>
    <w:p w14:paraId="5DB4C700"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sz w:val="24"/>
        </w:rPr>
        <w:t>账户名称：华商基金管理有限公司</w:t>
      </w:r>
    </w:p>
    <w:p w14:paraId="7B433518"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开户银行：中国建设银行北京西直门支行</w:t>
      </w:r>
    </w:p>
    <w:p w14:paraId="5C58E1B6"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银行账号：</w:t>
      </w:r>
      <w:r>
        <w:rPr>
          <w:rFonts w:ascii="宋体" w:hAnsi="宋体"/>
          <w:sz w:val="24"/>
        </w:rPr>
        <w:t>11001094000053003828</w:t>
      </w:r>
    </w:p>
    <w:p w14:paraId="621261D2"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）账户名称：华商基金管理有限公司</w:t>
      </w:r>
    </w:p>
    <w:p w14:paraId="1C9E6797"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开户银行：浦发银行北京分行营业部</w:t>
      </w:r>
    </w:p>
    <w:p w14:paraId="3E544930"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银行账号：</w:t>
      </w:r>
      <w:r>
        <w:rPr>
          <w:rFonts w:ascii="宋体" w:hAnsi="宋体" w:hint="eastAsia"/>
          <w:sz w:val="24"/>
        </w:rPr>
        <w:t>91010078801300004735</w:t>
      </w:r>
    </w:p>
    <w:p w14:paraId="58D7F708"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lastRenderedPageBreak/>
        <w:t>6.</w:t>
      </w:r>
      <w:r>
        <w:rPr>
          <w:rFonts w:ascii="宋体" w:hAnsi="宋体"/>
          <w:sz w:val="24"/>
        </w:rPr>
        <w:t>注意事项</w:t>
      </w:r>
    </w:p>
    <w:p w14:paraId="702CC7AB"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w:t>
      </w:r>
      <w:r>
        <w:rPr>
          <w:rFonts w:ascii="宋体" w:hAnsi="宋体"/>
          <w:sz w:val="24"/>
        </w:rPr>
        <w:t>1</w:t>
      </w:r>
      <w:r>
        <w:rPr>
          <w:rFonts w:ascii="宋体" w:hAnsi="宋体"/>
          <w:sz w:val="24"/>
        </w:rPr>
        <w:t>）投资者认购时要注明所购买的基金名称</w:t>
      </w:r>
      <w:r>
        <w:rPr>
          <w:rFonts w:ascii="宋体" w:hAnsi="宋体" w:hint="eastAsia"/>
          <w:sz w:val="24"/>
        </w:rPr>
        <w:t>及</w:t>
      </w:r>
      <w:r>
        <w:rPr>
          <w:rFonts w:ascii="宋体" w:hAnsi="宋体"/>
          <w:sz w:val="24"/>
        </w:rPr>
        <w:t>基金代码。</w:t>
      </w:r>
    </w:p>
    <w:p w14:paraId="00F4DC3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w:t>
      </w:r>
      <w:r>
        <w:rPr>
          <w:rFonts w:ascii="宋体" w:hAnsi="宋体"/>
          <w:sz w:val="24"/>
        </w:rPr>
        <w:t>2</w:t>
      </w:r>
      <w:r>
        <w:rPr>
          <w:rFonts w:ascii="宋体" w:hAnsi="宋体"/>
          <w:sz w:val="24"/>
        </w:rPr>
        <w:t>）对于公司新发基金产品，为保证认购确认成功，投资人的认购资金应保证在</w:t>
      </w:r>
      <w:r>
        <w:rPr>
          <w:rFonts w:ascii="宋体" w:hAnsi="宋体" w:hint="eastAsia"/>
          <w:sz w:val="24"/>
        </w:rPr>
        <w:t>提交</w:t>
      </w:r>
      <w:r>
        <w:rPr>
          <w:rFonts w:ascii="宋体" w:hAnsi="宋体"/>
          <w:sz w:val="24"/>
        </w:rPr>
        <w:t>认购申请的当日全额到账，到账截止时间为</w:t>
      </w:r>
      <w:r>
        <w:rPr>
          <w:rFonts w:ascii="宋体" w:hAnsi="宋体"/>
          <w:sz w:val="24"/>
        </w:rPr>
        <w:t>17</w:t>
      </w:r>
      <w:r>
        <w:rPr>
          <w:rFonts w:ascii="宋体" w:hAnsi="宋体" w:hint="eastAsia"/>
          <w:sz w:val="24"/>
        </w:rPr>
        <w:t>：</w:t>
      </w:r>
      <w:r>
        <w:rPr>
          <w:rFonts w:ascii="宋体" w:hAnsi="宋体"/>
          <w:sz w:val="24"/>
        </w:rPr>
        <w:t>00</w:t>
      </w:r>
      <w:r>
        <w:rPr>
          <w:rFonts w:ascii="宋体" w:hAnsi="宋体"/>
          <w:sz w:val="24"/>
        </w:rPr>
        <w:t>，提前汇至直销专户的款项不计任何利息。</w:t>
      </w:r>
    </w:p>
    <w:p w14:paraId="4CAFFB06"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w:t>
      </w:r>
      <w:r>
        <w:rPr>
          <w:rFonts w:ascii="宋体" w:hAnsi="宋体"/>
          <w:sz w:val="24"/>
        </w:rPr>
        <w:t>3</w:t>
      </w:r>
      <w:r>
        <w:rPr>
          <w:rFonts w:ascii="宋体" w:hAnsi="宋体"/>
          <w:sz w:val="24"/>
        </w:rPr>
        <w:t>）汇款人名称或缴款人名称与基金账户开户人姓名必须一致</w:t>
      </w:r>
      <w:r>
        <w:rPr>
          <w:rFonts w:ascii="宋体" w:hAnsi="宋体" w:hint="eastAsia"/>
          <w:sz w:val="24"/>
        </w:rPr>
        <w:t>。</w:t>
      </w:r>
    </w:p>
    <w:p w14:paraId="163DEA01" w14:textId="77777777" w:rsidR="008B1E3F" w:rsidRDefault="005B0A08">
      <w:pPr>
        <w:widowControl/>
        <w:snapToGrid w:val="0"/>
        <w:spacing w:line="360" w:lineRule="auto"/>
        <w:ind w:firstLineChars="200" w:firstLine="480"/>
        <w:rPr>
          <w:rFonts w:ascii="宋体" w:hAnsi="宋体"/>
          <w:sz w:val="24"/>
        </w:rPr>
      </w:pPr>
      <w:r>
        <w:rPr>
          <w:rFonts w:ascii="宋体" w:hAnsi="宋体"/>
          <w:sz w:val="24"/>
        </w:rPr>
        <w:t>（</w:t>
      </w:r>
      <w:r>
        <w:rPr>
          <w:rFonts w:ascii="宋体" w:hAnsi="宋体"/>
          <w:sz w:val="24"/>
        </w:rPr>
        <w:t>4</w:t>
      </w:r>
      <w:r>
        <w:rPr>
          <w:rFonts w:ascii="宋体" w:hAnsi="宋体"/>
          <w:sz w:val="24"/>
        </w:rPr>
        <w:t>）认购确认结果可于基金合同生效后到本公司直销中心查询，或</w:t>
      </w:r>
      <w:r>
        <w:rPr>
          <w:rFonts w:ascii="宋体" w:hAnsi="宋体" w:hint="eastAsia"/>
          <w:sz w:val="24"/>
        </w:rPr>
        <w:t>通过</w:t>
      </w:r>
      <w:r>
        <w:rPr>
          <w:rFonts w:ascii="宋体" w:hAnsi="宋体"/>
          <w:sz w:val="24"/>
        </w:rPr>
        <w:t>本公司客户服务中心</w:t>
      </w:r>
      <w:r>
        <w:rPr>
          <w:rFonts w:ascii="宋体" w:hAnsi="宋体" w:hint="eastAsia"/>
          <w:sz w:val="24"/>
        </w:rPr>
        <w:t>、电子直销交易系统</w:t>
      </w:r>
      <w:r>
        <w:rPr>
          <w:rFonts w:ascii="宋体" w:hAnsi="宋体"/>
          <w:sz w:val="24"/>
        </w:rPr>
        <w:t>查询。</w:t>
      </w:r>
    </w:p>
    <w:p w14:paraId="6046D89E"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（三）代销机构</w:t>
      </w:r>
    </w:p>
    <w:p w14:paraId="18F0FE57" w14:textId="77777777" w:rsidR="008B1E3F" w:rsidRDefault="005B0A08">
      <w:pPr>
        <w:widowControl/>
        <w:snapToGrid w:val="0"/>
        <w:spacing w:line="360" w:lineRule="auto"/>
        <w:ind w:firstLineChars="200" w:firstLine="480"/>
        <w:rPr>
          <w:rFonts w:ascii="宋体" w:hAnsi="宋体"/>
          <w:sz w:val="24"/>
        </w:rPr>
      </w:pPr>
      <w:r>
        <w:rPr>
          <w:rFonts w:ascii="宋体" w:hAnsi="宋体" w:hint="eastAsia"/>
          <w:sz w:val="24"/>
        </w:rPr>
        <w:t>投资者在代销机构办理开立基金账户及认购手续以各代销机构的规定为准。</w:t>
      </w:r>
    </w:p>
    <w:p w14:paraId="705A1A62" w14:textId="77777777" w:rsidR="008B1E3F" w:rsidRDefault="008B1E3F">
      <w:pPr>
        <w:widowControl/>
        <w:snapToGrid w:val="0"/>
        <w:spacing w:line="360" w:lineRule="auto"/>
        <w:ind w:firstLineChars="200" w:firstLine="480"/>
        <w:rPr>
          <w:rFonts w:ascii="宋体" w:hAnsi="宋体"/>
          <w:sz w:val="24"/>
        </w:rPr>
      </w:pPr>
    </w:p>
    <w:p w14:paraId="4BB30614" w14:textId="77777777" w:rsidR="008B1E3F" w:rsidRDefault="005B0A08">
      <w:pPr>
        <w:spacing w:line="360" w:lineRule="auto"/>
        <w:ind w:firstLineChars="200" w:firstLine="562"/>
        <w:rPr>
          <w:b/>
          <w:sz w:val="28"/>
          <w:szCs w:val="28"/>
        </w:rPr>
      </w:pPr>
      <w:r>
        <w:rPr>
          <w:rFonts w:hint="eastAsia"/>
          <w:b/>
          <w:sz w:val="28"/>
          <w:szCs w:val="28"/>
        </w:rPr>
        <w:t>四、清算与交割</w:t>
      </w:r>
    </w:p>
    <w:p w14:paraId="2DFD1D6F" w14:textId="77777777" w:rsidR="008B1E3F" w:rsidRDefault="005B0A08">
      <w:pPr>
        <w:spacing w:line="360" w:lineRule="auto"/>
        <w:ind w:firstLineChars="200" w:firstLine="480"/>
        <w:rPr>
          <w:sz w:val="24"/>
        </w:rPr>
      </w:pPr>
      <w:r>
        <w:rPr>
          <w:sz w:val="24"/>
        </w:rPr>
        <w:t>1.</w:t>
      </w:r>
      <w:r>
        <w:rPr>
          <w:rFonts w:hint="eastAsia"/>
          <w:sz w:val="24"/>
        </w:rPr>
        <w:t>基金募集期间募集的资金应当存入专门账户，在基金募集行为结束前，任何人不得动用。</w:t>
      </w:r>
    </w:p>
    <w:p w14:paraId="625F01F1" w14:textId="77777777" w:rsidR="008B1E3F" w:rsidRDefault="005B0A08">
      <w:pPr>
        <w:spacing w:line="360" w:lineRule="auto"/>
        <w:ind w:firstLineChars="200" w:firstLine="480"/>
        <w:rPr>
          <w:sz w:val="24"/>
        </w:rPr>
      </w:pPr>
      <w:r>
        <w:rPr>
          <w:sz w:val="24"/>
        </w:rPr>
        <w:t>2.</w:t>
      </w:r>
      <w:r>
        <w:rPr>
          <w:rFonts w:hint="eastAsia"/>
          <w:sz w:val="24"/>
        </w:rPr>
        <w:t>本基金权益登记由基金登记机构（华商基金管理有限公司）在募集结束后完成过户登记。</w:t>
      </w:r>
    </w:p>
    <w:p w14:paraId="71DA537D" w14:textId="77777777" w:rsidR="008B1E3F" w:rsidRDefault="008B1E3F">
      <w:pPr>
        <w:spacing w:line="360" w:lineRule="auto"/>
        <w:ind w:firstLineChars="200" w:firstLine="480"/>
        <w:rPr>
          <w:sz w:val="24"/>
        </w:rPr>
      </w:pPr>
    </w:p>
    <w:p w14:paraId="5FC1D38D" w14:textId="77777777" w:rsidR="008B1E3F" w:rsidRDefault="005B0A08">
      <w:pPr>
        <w:spacing w:line="360" w:lineRule="auto"/>
        <w:ind w:firstLineChars="200" w:firstLine="562"/>
        <w:rPr>
          <w:b/>
          <w:sz w:val="28"/>
          <w:szCs w:val="28"/>
        </w:rPr>
      </w:pPr>
      <w:r>
        <w:rPr>
          <w:rFonts w:hint="eastAsia"/>
          <w:b/>
          <w:sz w:val="28"/>
          <w:szCs w:val="28"/>
        </w:rPr>
        <w:t>五、退款</w:t>
      </w:r>
    </w:p>
    <w:p w14:paraId="29DDACDA" w14:textId="77777777" w:rsidR="008B1E3F" w:rsidRDefault="005B0A08">
      <w:pPr>
        <w:adjustRightInd w:val="0"/>
        <w:snapToGrid w:val="0"/>
        <w:spacing w:line="360" w:lineRule="auto"/>
        <w:ind w:firstLineChars="200" w:firstLine="480"/>
        <w:rPr>
          <w:sz w:val="24"/>
        </w:rPr>
      </w:pPr>
      <w:r>
        <w:rPr>
          <w:sz w:val="24"/>
        </w:rPr>
        <w:t>1.</w:t>
      </w:r>
      <w:r>
        <w:rPr>
          <w:rFonts w:hint="eastAsia"/>
          <w:sz w:val="24"/>
        </w:rPr>
        <w:t>投资者通过直销机构进行认购时产生的无效认购资金，将于基金结束募集后的</w:t>
      </w:r>
      <w:r>
        <w:rPr>
          <w:sz w:val="24"/>
        </w:rPr>
        <w:t>7</w:t>
      </w:r>
      <w:r>
        <w:rPr>
          <w:rFonts w:hint="eastAsia"/>
          <w:sz w:val="24"/>
        </w:rPr>
        <w:t>个工作日内退回至投资者原交易预留支付渠道。</w:t>
      </w:r>
    </w:p>
    <w:p w14:paraId="383CFEDD" w14:textId="77777777" w:rsidR="008B1E3F" w:rsidRDefault="005B0A08">
      <w:pPr>
        <w:adjustRightInd w:val="0"/>
        <w:snapToGrid w:val="0"/>
        <w:spacing w:line="360" w:lineRule="auto"/>
        <w:ind w:firstLineChars="200" w:firstLine="480"/>
        <w:rPr>
          <w:sz w:val="24"/>
        </w:rPr>
      </w:pPr>
      <w:r>
        <w:rPr>
          <w:sz w:val="24"/>
        </w:rPr>
        <w:t>2.</w:t>
      </w:r>
      <w:r>
        <w:rPr>
          <w:rFonts w:hint="eastAsia"/>
          <w:sz w:val="24"/>
        </w:rPr>
        <w:t>投资者通过代销机构进行认购时产生的无效认购资金的退款时间和方式详见各代销机构业务规则。</w:t>
      </w:r>
    </w:p>
    <w:p w14:paraId="170A2BB2" w14:textId="77777777" w:rsidR="008B1E3F" w:rsidRDefault="005B0A08">
      <w:pPr>
        <w:spacing w:line="360" w:lineRule="auto"/>
        <w:ind w:firstLineChars="200" w:firstLine="480"/>
        <w:rPr>
          <w:sz w:val="24"/>
        </w:rPr>
      </w:pPr>
      <w:r>
        <w:rPr>
          <w:sz w:val="24"/>
        </w:rPr>
        <w:t>3.</w:t>
      </w:r>
      <w:r>
        <w:rPr>
          <w:rFonts w:hint="eastAsia"/>
          <w:sz w:val="24"/>
        </w:rPr>
        <w:t>基金募集期限届满，未达到基金合同生效条件，或设立募集期内发生使基金合同无法生效的不可抗力，则基金募集失败。</w:t>
      </w:r>
    </w:p>
    <w:p w14:paraId="7C3B031C" w14:textId="77777777" w:rsidR="008B1E3F" w:rsidRDefault="005B0A08">
      <w:pPr>
        <w:spacing w:line="360" w:lineRule="auto"/>
        <w:ind w:firstLineChars="200" w:firstLine="480"/>
        <w:rPr>
          <w:sz w:val="24"/>
        </w:rPr>
      </w:pPr>
      <w:r>
        <w:rPr>
          <w:rFonts w:hint="eastAsia"/>
          <w:sz w:val="24"/>
        </w:rPr>
        <w:t>如本基金募集失</w:t>
      </w:r>
      <w:r>
        <w:rPr>
          <w:rFonts w:hint="eastAsia"/>
          <w:sz w:val="24"/>
        </w:rPr>
        <w:t>败，需在基金募集期限届满后</w:t>
      </w:r>
      <w:r>
        <w:rPr>
          <w:sz w:val="24"/>
        </w:rPr>
        <w:t>30</w:t>
      </w:r>
      <w:r>
        <w:rPr>
          <w:rFonts w:hint="eastAsia"/>
          <w:sz w:val="24"/>
        </w:rPr>
        <w:t>日内返还基金投资者已交纳的款项，并加计银行同期活期存款利息（税后）。</w:t>
      </w:r>
    </w:p>
    <w:p w14:paraId="7EF332E4" w14:textId="77777777" w:rsidR="008B1E3F" w:rsidRDefault="008B1E3F">
      <w:pPr>
        <w:spacing w:line="360" w:lineRule="auto"/>
        <w:ind w:firstLineChars="200" w:firstLine="562"/>
        <w:rPr>
          <w:b/>
          <w:sz w:val="28"/>
          <w:szCs w:val="28"/>
        </w:rPr>
      </w:pPr>
    </w:p>
    <w:p w14:paraId="52F4606B" w14:textId="77777777" w:rsidR="008B1E3F" w:rsidRDefault="005B0A08">
      <w:pPr>
        <w:spacing w:line="360" w:lineRule="auto"/>
        <w:ind w:firstLineChars="200" w:firstLine="562"/>
        <w:rPr>
          <w:b/>
          <w:sz w:val="28"/>
          <w:szCs w:val="28"/>
        </w:rPr>
      </w:pPr>
      <w:r>
        <w:rPr>
          <w:rFonts w:hint="eastAsia"/>
          <w:b/>
          <w:sz w:val="28"/>
          <w:szCs w:val="28"/>
        </w:rPr>
        <w:t>六、基金的验资与基金合同的生效</w:t>
      </w:r>
    </w:p>
    <w:p w14:paraId="0423D200" w14:textId="77777777" w:rsidR="008B1E3F" w:rsidRDefault="005B0A08">
      <w:pPr>
        <w:spacing w:line="360" w:lineRule="auto"/>
        <w:ind w:firstLineChars="200" w:firstLine="480"/>
        <w:outlineLvl w:val="0"/>
        <w:rPr>
          <w:sz w:val="24"/>
        </w:rPr>
      </w:pPr>
      <w:r>
        <w:rPr>
          <w:rFonts w:hint="eastAsia"/>
          <w:sz w:val="24"/>
        </w:rPr>
        <w:lastRenderedPageBreak/>
        <w:t>（一）验资</w:t>
      </w:r>
    </w:p>
    <w:p w14:paraId="6D3BF767" w14:textId="77777777" w:rsidR="008B1E3F" w:rsidRDefault="005B0A08">
      <w:pPr>
        <w:spacing w:line="360" w:lineRule="auto"/>
        <w:ind w:firstLineChars="200" w:firstLine="480"/>
        <w:rPr>
          <w:sz w:val="24"/>
        </w:rPr>
      </w:pPr>
      <w:r>
        <w:rPr>
          <w:rFonts w:hint="eastAsia"/>
          <w:sz w:val="24"/>
        </w:rPr>
        <w:t>本基金自基金份额发售之日起</w:t>
      </w:r>
      <w:r>
        <w:rPr>
          <w:sz w:val="24"/>
        </w:rPr>
        <w:t>3</w:t>
      </w:r>
      <w:r>
        <w:rPr>
          <w:rFonts w:hint="eastAsia"/>
          <w:sz w:val="24"/>
        </w:rPr>
        <w:t>个月内，在基金募集份额总额不少于</w:t>
      </w:r>
      <w:r>
        <w:rPr>
          <w:sz w:val="24"/>
        </w:rPr>
        <w:t>2</w:t>
      </w:r>
      <w:r>
        <w:rPr>
          <w:rFonts w:hint="eastAsia"/>
          <w:sz w:val="24"/>
        </w:rPr>
        <w:t>亿份，基金募集金额不少于</w:t>
      </w:r>
      <w:r>
        <w:rPr>
          <w:sz w:val="24"/>
        </w:rPr>
        <w:t>2</w:t>
      </w:r>
      <w:r>
        <w:rPr>
          <w:rFonts w:hint="eastAsia"/>
          <w:sz w:val="24"/>
        </w:rPr>
        <w:t>亿元人民币且基金认购人数不少于</w:t>
      </w:r>
      <w:r>
        <w:rPr>
          <w:sz w:val="24"/>
        </w:rPr>
        <w:t>200</w:t>
      </w:r>
      <w:r>
        <w:rPr>
          <w:rFonts w:hint="eastAsia"/>
          <w:sz w:val="24"/>
        </w:rPr>
        <w:t>人的条件下，基金募集期届满或基金管理人依据法律法规及招募说明书可以决定停止基金发售，并在</w:t>
      </w:r>
      <w:r>
        <w:rPr>
          <w:sz w:val="24"/>
        </w:rPr>
        <w:t>10</w:t>
      </w:r>
      <w:r>
        <w:rPr>
          <w:rFonts w:hint="eastAsia"/>
          <w:sz w:val="24"/>
        </w:rPr>
        <w:t>日内聘请法定验资机构验资，自收到验资报告之日起</w:t>
      </w:r>
      <w:r>
        <w:rPr>
          <w:sz w:val="24"/>
        </w:rPr>
        <w:t>10</w:t>
      </w:r>
      <w:r>
        <w:rPr>
          <w:rFonts w:hint="eastAsia"/>
          <w:sz w:val="24"/>
        </w:rPr>
        <w:t>日内，向中国证监会办理基金备案手续。</w:t>
      </w:r>
    </w:p>
    <w:p w14:paraId="308F2D78" w14:textId="77777777" w:rsidR="008B1E3F" w:rsidRDefault="005B0A08">
      <w:pPr>
        <w:spacing w:line="360" w:lineRule="auto"/>
        <w:ind w:firstLineChars="200" w:firstLine="480"/>
        <w:outlineLvl w:val="0"/>
        <w:rPr>
          <w:sz w:val="24"/>
        </w:rPr>
      </w:pPr>
      <w:r>
        <w:rPr>
          <w:rFonts w:hint="eastAsia"/>
          <w:sz w:val="24"/>
        </w:rPr>
        <w:t>（二）合同生效</w:t>
      </w:r>
    </w:p>
    <w:p w14:paraId="6ECBFE6D" w14:textId="77777777" w:rsidR="008B1E3F" w:rsidRDefault="005B0A08">
      <w:pPr>
        <w:spacing w:line="360" w:lineRule="auto"/>
        <w:ind w:firstLineChars="200" w:firstLine="480"/>
        <w:rPr>
          <w:bCs/>
          <w:sz w:val="24"/>
        </w:rPr>
      </w:pPr>
      <w:r>
        <w:rPr>
          <w:rFonts w:hint="eastAsia"/>
          <w:sz w:val="24"/>
        </w:rPr>
        <w:t>基金募集达到基金备案条件的，自基金管理人办理完毕基金备案手续并取得中国证监会书面确认之日起，《基金合同》生效；否则《基金合同》不生效。</w:t>
      </w:r>
      <w:r>
        <w:rPr>
          <w:bCs/>
          <w:sz w:val="24"/>
        </w:rPr>
        <w:t>基金管理人在收到中国证监会确认文件的次日对《基金合同》生效事宜予以公告。基金管理人应将基金募集期间募集的资金存入专门账户，在基金募集行为结束前，任何人不得动用。</w:t>
      </w:r>
    </w:p>
    <w:p w14:paraId="540B2EBD" w14:textId="77777777" w:rsidR="008B1E3F" w:rsidRDefault="008B1E3F">
      <w:pPr>
        <w:spacing w:line="360" w:lineRule="auto"/>
        <w:ind w:firstLineChars="200" w:firstLine="562"/>
        <w:rPr>
          <w:b/>
          <w:sz w:val="28"/>
          <w:szCs w:val="28"/>
        </w:rPr>
      </w:pPr>
    </w:p>
    <w:p w14:paraId="22EC9A4E" w14:textId="77777777" w:rsidR="008B1E3F" w:rsidRDefault="005B0A08">
      <w:pPr>
        <w:spacing w:line="360" w:lineRule="auto"/>
        <w:ind w:firstLineChars="200" w:firstLine="562"/>
        <w:rPr>
          <w:b/>
          <w:sz w:val="28"/>
          <w:szCs w:val="28"/>
        </w:rPr>
      </w:pPr>
      <w:r>
        <w:rPr>
          <w:rFonts w:hint="eastAsia"/>
          <w:b/>
          <w:sz w:val="28"/>
          <w:szCs w:val="28"/>
        </w:rPr>
        <w:t>七、本次募集当事人或中介机构</w:t>
      </w:r>
    </w:p>
    <w:p w14:paraId="69E85BCE" w14:textId="77777777" w:rsidR="008B1E3F" w:rsidRDefault="005B0A08">
      <w:pPr>
        <w:spacing w:line="360" w:lineRule="auto"/>
        <w:ind w:firstLineChars="200" w:firstLine="480"/>
        <w:outlineLvl w:val="0"/>
        <w:rPr>
          <w:sz w:val="24"/>
        </w:rPr>
      </w:pPr>
      <w:r>
        <w:rPr>
          <w:rFonts w:hint="eastAsia"/>
          <w:sz w:val="24"/>
        </w:rPr>
        <w:t>（一）基金管理人</w:t>
      </w:r>
    </w:p>
    <w:p w14:paraId="1216D3E4" w14:textId="77777777" w:rsidR="008B1E3F" w:rsidRDefault="005B0A08">
      <w:pPr>
        <w:spacing w:line="360" w:lineRule="auto"/>
        <w:ind w:firstLineChars="200" w:firstLine="480"/>
        <w:rPr>
          <w:sz w:val="24"/>
        </w:rPr>
      </w:pPr>
      <w:r>
        <w:rPr>
          <w:rFonts w:hint="eastAsia"/>
          <w:sz w:val="24"/>
        </w:rPr>
        <w:t>名称：华商基金管理有限公司</w:t>
      </w:r>
    </w:p>
    <w:p w14:paraId="10CB9471" w14:textId="77777777" w:rsidR="008B1E3F" w:rsidRDefault="005B0A08">
      <w:pPr>
        <w:spacing w:line="360" w:lineRule="auto"/>
        <w:ind w:firstLineChars="200" w:firstLine="480"/>
        <w:rPr>
          <w:sz w:val="24"/>
        </w:rPr>
      </w:pPr>
      <w:r>
        <w:rPr>
          <w:rFonts w:hint="eastAsia"/>
          <w:sz w:val="24"/>
        </w:rPr>
        <w:t>注册地址：北京市西城区平安里西大街</w:t>
      </w:r>
      <w:r>
        <w:rPr>
          <w:sz w:val="24"/>
        </w:rPr>
        <w:t>28</w:t>
      </w:r>
      <w:r>
        <w:rPr>
          <w:rFonts w:hint="eastAsia"/>
          <w:sz w:val="24"/>
        </w:rPr>
        <w:t>号楼</w:t>
      </w:r>
      <w:r>
        <w:rPr>
          <w:sz w:val="24"/>
        </w:rPr>
        <w:t>19</w:t>
      </w:r>
      <w:r>
        <w:rPr>
          <w:rFonts w:hint="eastAsia"/>
          <w:sz w:val="24"/>
        </w:rPr>
        <w:t>层</w:t>
      </w:r>
    </w:p>
    <w:p w14:paraId="6D0A78E2" w14:textId="77777777" w:rsidR="008B1E3F" w:rsidRDefault="005B0A08">
      <w:pPr>
        <w:spacing w:line="360" w:lineRule="auto"/>
        <w:ind w:firstLineChars="200" w:firstLine="480"/>
        <w:rPr>
          <w:sz w:val="24"/>
        </w:rPr>
      </w:pPr>
      <w:r>
        <w:rPr>
          <w:rFonts w:hint="eastAsia"/>
          <w:sz w:val="24"/>
        </w:rPr>
        <w:t>法定代表人：苏金奎</w:t>
      </w:r>
    </w:p>
    <w:p w14:paraId="45CC5B08" w14:textId="77777777" w:rsidR="008B1E3F" w:rsidRDefault="005B0A08">
      <w:pPr>
        <w:spacing w:line="360" w:lineRule="auto"/>
        <w:ind w:firstLineChars="200" w:firstLine="480"/>
        <w:rPr>
          <w:sz w:val="24"/>
        </w:rPr>
      </w:pPr>
      <w:r>
        <w:rPr>
          <w:rFonts w:hint="eastAsia"/>
          <w:sz w:val="24"/>
        </w:rPr>
        <w:t>客服电话：</w:t>
      </w:r>
      <w:r>
        <w:rPr>
          <w:sz w:val="24"/>
        </w:rPr>
        <w:t>400-700-8880</w:t>
      </w:r>
      <w:r>
        <w:rPr>
          <w:rFonts w:hint="eastAsia"/>
          <w:sz w:val="24"/>
        </w:rPr>
        <w:t>、</w:t>
      </w:r>
      <w:r>
        <w:rPr>
          <w:sz w:val="24"/>
        </w:rPr>
        <w:t>010-58573300</w:t>
      </w:r>
    </w:p>
    <w:p w14:paraId="4BCD0F28" w14:textId="77777777" w:rsidR="008B1E3F" w:rsidRDefault="005B0A08">
      <w:pPr>
        <w:spacing w:line="360" w:lineRule="auto"/>
        <w:ind w:firstLineChars="200" w:firstLine="480"/>
        <w:rPr>
          <w:sz w:val="24"/>
        </w:rPr>
      </w:pPr>
      <w:r>
        <w:rPr>
          <w:rFonts w:hint="eastAsia"/>
          <w:sz w:val="24"/>
        </w:rPr>
        <w:t>公司网址：</w:t>
      </w:r>
      <w:hyperlink r:id="rId11" w:history="1">
        <w:r>
          <w:rPr>
            <w:sz w:val="24"/>
          </w:rPr>
          <w:t>www.hsfund.com</w:t>
        </w:r>
      </w:hyperlink>
    </w:p>
    <w:p w14:paraId="14CB55CA" w14:textId="77777777" w:rsidR="008B1E3F" w:rsidRDefault="005B0A08">
      <w:pPr>
        <w:spacing w:line="360" w:lineRule="auto"/>
        <w:ind w:firstLineChars="200" w:firstLine="480"/>
        <w:rPr>
          <w:sz w:val="24"/>
        </w:rPr>
      </w:pPr>
      <w:r>
        <w:rPr>
          <w:rFonts w:hint="eastAsia"/>
          <w:sz w:val="24"/>
        </w:rPr>
        <w:t>（二）基金托管人</w:t>
      </w:r>
    </w:p>
    <w:p w14:paraId="57A6DB35" w14:textId="77777777" w:rsidR="008B1E3F" w:rsidRDefault="005B0A08">
      <w:pPr>
        <w:spacing w:line="360" w:lineRule="auto"/>
        <w:ind w:firstLineChars="200" w:firstLine="480"/>
        <w:rPr>
          <w:sz w:val="24"/>
        </w:rPr>
      </w:pPr>
      <w:r>
        <w:rPr>
          <w:rFonts w:hint="eastAsia"/>
          <w:sz w:val="24"/>
        </w:rPr>
        <w:t>名称：</w:t>
      </w:r>
      <w:r>
        <w:rPr>
          <w:rFonts w:ascii="宋体" w:hAnsi="宋体" w:hint="eastAsia"/>
          <w:sz w:val="24"/>
        </w:rPr>
        <w:t>中国工商银行股份有限公司</w:t>
      </w:r>
    </w:p>
    <w:p w14:paraId="4A5E6B8F" w14:textId="77777777" w:rsidR="008B1E3F" w:rsidRDefault="005B0A08">
      <w:pPr>
        <w:spacing w:line="360" w:lineRule="auto"/>
        <w:ind w:firstLineChars="200" w:firstLine="480"/>
        <w:rPr>
          <w:bCs/>
          <w:sz w:val="24"/>
        </w:rPr>
      </w:pPr>
      <w:r>
        <w:rPr>
          <w:rFonts w:hint="eastAsia"/>
          <w:sz w:val="24"/>
        </w:rPr>
        <w:t>住所：</w:t>
      </w:r>
      <w:r>
        <w:rPr>
          <w:rFonts w:ascii="宋体" w:hAnsi="宋体" w:hint="eastAsia"/>
          <w:sz w:val="24"/>
        </w:rPr>
        <w:t>北京市西城区复兴门内大街</w:t>
      </w:r>
      <w:r>
        <w:rPr>
          <w:rFonts w:ascii="宋体" w:hAnsi="宋体"/>
          <w:sz w:val="24"/>
        </w:rPr>
        <w:t>55</w:t>
      </w:r>
      <w:r>
        <w:rPr>
          <w:rFonts w:ascii="宋体" w:hAnsi="宋体" w:hint="eastAsia"/>
          <w:sz w:val="24"/>
        </w:rPr>
        <w:t>号（</w:t>
      </w:r>
      <w:r>
        <w:rPr>
          <w:rFonts w:ascii="宋体" w:hAnsi="宋体" w:hint="eastAsia"/>
          <w:sz w:val="24"/>
        </w:rPr>
        <w:t>100032</w:t>
      </w:r>
      <w:r>
        <w:rPr>
          <w:rFonts w:ascii="宋体" w:hAnsi="宋体" w:hint="eastAsia"/>
          <w:sz w:val="24"/>
        </w:rPr>
        <w:t>）</w:t>
      </w:r>
    </w:p>
    <w:p w14:paraId="7D056EBC" w14:textId="77777777" w:rsidR="008B1E3F" w:rsidRDefault="005B0A08">
      <w:pPr>
        <w:spacing w:line="360" w:lineRule="auto"/>
        <w:ind w:firstLineChars="200" w:firstLine="480"/>
        <w:rPr>
          <w:sz w:val="24"/>
        </w:rPr>
      </w:pPr>
      <w:r>
        <w:rPr>
          <w:rFonts w:hint="eastAsia"/>
          <w:bCs/>
          <w:sz w:val="24"/>
        </w:rPr>
        <w:t>办公地址：北京市西城区复兴门内大街</w:t>
      </w:r>
      <w:r>
        <w:rPr>
          <w:rFonts w:hint="eastAsia"/>
          <w:bCs/>
          <w:sz w:val="24"/>
        </w:rPr>
        <w:t>55</w:t>
      </w:r>
      <w:r>
        <w:rPr>
          <w:rFonts w:hint="eastAsia"/>
          <w:bCs/>
          <w:sz w:val="24"/>
        </w:rPr>
        <w:t>号</w:t>
      </w:r>
    </w:p>
    <w:p w14:paraId="6EC478A3" w14:textId="77777777" w:rsidR="008B1E3F" w:rsidRDefault="005B0A08">
      <w:pPr>
        <w:spacing w:line="360" w:lineRule="auto"/>
        <w:ind w:firstLineChars="200" w:firstLine="480"/>
        <w:rPr>
          <w:bCs/>
          <w:sz w:val="24"/>
        </w:rPr>
      </w:pPr>
      <w:r>
        <w:rPr>
          <w:rFonts w:hint="eastAsia"/>
          <w:sz w:val="24"/>
        </w:rPr>
        <w:t>法定代表人：</w:t>
      </w:r>
      <w:r>
        <w:rPr>
          <w:rFonts w:ascii="宋体" w:hAnsi="宋体" w:hint="eastAsia"/>
          <w:sz w:val="24"/>
        </w:rPr>
        <w:t>廖林</w:t>
      </w:r>
    </w:p>
    <w:p w14:paraId="0255008D" w14:textId="77777777" w:rsidR="008B1E3F" w:rsidRDefault="005B0A08">
      <w:pPr>
        <w:spacing w:line="360" w:lineRule="auto"/>
        <w:ind w:firstLineChars="200" w:firstLine="480"/>
        <w:rPr>
          <w:sz w:val="24"/>
        </w:rPr>
      </w:pPr>
      <w:r>
        <w:rPr>
          <w:rFonts w:hint="eastAsia"/>
          <w:sz w:val="24"/>
        </w:rPr>
        <w:t>成立时间：</w:t>
      </w:r>
      <w:r>
        <w:rPr>
          <w:rFonts w:ascii="宋体" w:hAnsi="宋体"/>
          <w:sz w:val="24"/>
        </w:rPr>
        <w:t>1984</w:t>
      </w:r>
      <w:r>
        <w:rPr>
          <w:rFonts w:ascii="宋体" w:hAnsi="宋体" w:hint="eastAsia"/>
          <w:sz w:val="24"/>
        </w:rPr>
        <w:t>年</w:t>
      </w:r>
      <w:r>
        <w:rPr>
          <w:rFonts w:ascii="宋体" w:hAnsi="宋体"/>
          <w:sz w:val="24"/>
        </w:rPr>
        <w:t>1</w:t>
      </w:r>
      <w:r>
        <w:rPr>
          <w:rFonts w:ascii="宋体" w:hAnsi="宋体" w:hint="eastAsia"/>
          <w:sz w:val="24"/>
        </w:rPr>
        <w:t>月</w:t>
      </w:r>
      <w:r>
        <w:rPr>
          <w:rFonts w:ascii="宋体" w:hAnsi="宋体"/>
          <w:sz w:val="24"/>
        </w:rPr>
        <w:t>1</w:t>
      </w:r>
      <w:r>
        <w:rPr>
          <w:rFonts w:ascii="宋体" w:hAnsi="宋体" w:hint="eastAsia"/>
          <w:sz w:val="24"/>
        </w:rPr>
        <w:t>日</w:t>
      </w:r>
    </w:p>
    <w:p w14:paraId="1202D41A" w14:textId="77777777" w:rsidR="008B1E3F" w:rsidRDefault="005B0A08">
      <w:pPr>
        <w:spacing w:line="360" w:lineRule="auto"/>
        <w:ind w:firstLineChars="200" w:firstLine="480"/>
        <w:rPr>
          <w:sz w:val="24"/>
        </w:rPr>
      </w:pPr>
      <w:r>
        <w:rPr>
          <w:rFonts w:hint="eastAsia"/>
          <w:sz w:val="24"/>
        </w:rPr>
        <w:t>组织形式：股份有限公司</w:t>
      </w:r>
    </w:p>
    <w:p w14:paraId="118FA9BD" w14:textId="77777777" w:rsidR="008B1E3F" w:rsidRDefault="005B0A08">
      <w:pPr>
        <w:spacing w:line="360" w:lineRule="auto"/>
        <w:ind w:firstLineChars="200" w:firstLine="480"/>
        <w:rPr>
          <w:sz w:val="24"/>
        </w:rPr>
      </w:pPr>
      <w:r>
        <w:rPr>
          <w:rFonts w:hint="eastAsia"/>
          <w:sz w:val="24"/>
        </w:rPr>
        <w:t>注</w:t>
      </w:r>
      <w:r>
        <w:rPr>
          <w:rFonts w:hint="eastAsia"/>
          <w:bCs/>
          <w:sz w:val="24"/>
        </w:rPr>
        <w:t>册资本：</w:t>
      </w:r>
      <w:r>
        <w:rPr>
          <w:rFonts w:ascii="宋体" w:hAnsi="宋体" w:hint="eastAsia"/>
          <w:sz w:val="24"/>
        </w:rPr>
        <w:t>人民</w:t>
      </w:r>
      <w:r>
        <w:rPr>
          <w:rFonts w:ascii="宋体" w:hAnsi="宋体"/>
          <w:sz w:val="24"/>
        </w:rPr>
        <w:t>币</w:t>
      </w:r>
      <w:r>
        <w:rPr>
          <w:rFonts w:ascii="宋体" w:hAnsi="宋体"/>
          <w:sz w:val="24"/>
        </w:rPr>
        <w:t>35,640,625.71</w:t>
      </w:r>
      <w:r>
        <w:rPr>
          <w:rFonts w:ascii="宋体" w:hAnsi="宋体"/>
          <w:sz w:val="24"/>
        </w:rPr>
        <w:t>万</w:t>
      </w:r>
      <w:r>
        <w:rPr>
          <w:rFonts w:ascii="宋体" w:hAnsi="宋体" w:hint="eastAsia"/>
          <w:sz w:val="24"/>
        </w:rPr>
        <w:t>元</w:t>
      </w:r>
    </w:p>
    <w:p w14:paraId="4F6F7C4B" w14:textId="77777777" w:rsidR="008B1E3F" w:rsidRDefault="005B0A08">
      <w:pPr>
        <w:spacing w:line="360" w:lineRule="auto"/>
        <w:ind w:firstLineChars="200" w:firstLine="480"/>
        <w:rPr>
          <w:bCs/>
          <w:sz w:val="24"/>
        </w:rPr>
      </w:pPr>
      <w:r>
        <w:rPr>
          <w:rFonts w:hint="eastAsia"/>
          <w:sz w:val="24"/>
        </w:rPr>
        <w:t>存续期间：</w:t>
      </w:r>
      <w:r>
        <w:rPr>
          <w:rFonts w:ascii="宋体" w:hAnsi="宋体" w:hint="eastAsia"/>
          <w:sz w:val="24"/>
        </w:rPr>
        <w:t>持续经营</w:t>
      </w:r>
    </w:p>
    <w:p w14:paraId="2C4B2AC6" w14:textId="77777777" w:rsidR="008B1E3F" w:rsidRDefault="005B0A08">
      <w:pPr>
        <w:spacing w:line="360" w:lineRule="auto"/>
        <w:ind w:firstLineChars="200" w:firstLine="480"/>
        <w:rPr>
          <w:bCs/>
          <w:sz w:val="24"/>
        </w:rPr>
      </w:pPr>
      <w:r>
        <w:rPr>
          <w:rFonts w:hint="eastAsia"/>
          <w:sz w:val="24"/>
        </w:rPr>
        <w:lastRenderedPageBreak/>
        <w:t>基金托管业务批准文号：</w:t>
      </w:r>
      <w:r>
        <w:rPr>
          <w:bCs/>
          <w:sz w:val="24"/>
        </w:rPr>
        <w:t>中国证监会和中国人民银行证监基字【</w:t>
      </w:r>
      <w:r>
        <w:rPr>
          <w:bCs/>
          <w:sz w:val="24"/>
        </w:rPr>
        <w:t>1998</w:t>
      </w:r>
      <w:r>
        <w:rPr>
          <w:bCs/>
          <w:sz w:val="24"/>
        </w:rPr>
        <w:t>】</w:t>
      </w:r>
      <w:r>
        <w:rPr>
          <w:bCs/>
          <w:sz w:val="24"/>
        </w:rPr>
        <w:t>3</w:t>
      </w:r>
      <w:r>
        <w:rPr>
          <w:bCs/>
          <w:sz w:val="24"/>
        </w:rPr>
        <w:t>号</w:t>
      </w:r>
    </w:p>
    <w:p w14:paraId="030031C6" w14:textId="77777777" w:rsidR="008B1E3F" w:rsidRDefault="005B0A08">
      <w:pPr>
        <w:spacing w:line="360" w:lineRule="auto"/>
        <w:ind w:firstLineChars="200" w:firstLine="480"/>
        <w:rPr>
          <w:sz w:val="24"/>
        </w:rPr>
      </w:pPr>
      <w:r>
        <w:rPr>
          <w:bCs/>
          <w:sz w:val="24"/>
        </w:rPr>
        <w:t>批准设立机关及批准设立文号：</w:t>
      </w:r>
      <w:r>
        <w:rPr>
          <w:rFonts w:ascii="宋体" w:hAnsi="宋体" w:hint="eastAsia"/>
          <w:sz w:val="24"/>
        </w:rPr>
        <w:t>国务院《关</w:t>
      </w:r>
      <w:r>
        <w:rPr>
          <w:rFonts w:ascii="宋体" w:hAnsi="宋体" w:hint="eastAsia"/>
          <w:sz w:val="24"/>
        </w:rPr>
        <w:t>于中国人民银行专门行使中央银行职能的决定》</w:t>
      </w:r>
      <w:r>
        <w:rPr>
          <w:rFonts w:ascii="宋体" w:hAnsi="宋体" w:hint="eastAsia"/>
          <w:sz w:val="24"/>
          <w:szCs w:val="21"/>
        </w:rPr>
        <w:t>（国发</w:t>
      </w:r>
      <w:r>
        <w:rPr>
          <w:rFonts w:ascii="宋体" w:hAnsi="宋体" w:hint="eastAsia"/>
          <w:sz w:val="24"/>
          <w:szCs w:val="21"/>
        </w:rPr>
        <w:t>[1983]146</w:t>
      </w:r>
      <w:r>
        <w:rPr>
          <w:rFonts w:ascii="宋体" w:hAnsi="宋体" w:hint="eastAsia"/>
          <w:sz w:val="24"/>
          <w:szCs w:val="21"/>
        </w:rPr>
        <w:t>号）</w:t>
      </w:r>
    </w:p>
    <w:p w14:paraId="0E9BBDA0" w14:textId="77777777" w:rsidR="008B1E3F" w:rsidRDefault="005B0A08">
      <w:pPr>
        <w:spacing w:line="360" w:lineRule="auto"/>
        <w:ind w:firstLineChars="200" w:firstLine="480"/>
        <w:rPr>
          <w:sz w:val="24"/>
        </w:rPr>
      </w:pPr>
      <w:r>
        <w:rPr>
          <w:rFonts w:hint="eastAsia"/>
          <w:sz w:val="24"/>
        </w:rPr>
        <w:t>客服电话：</w:t>
      </w:r>
      <w:r>
        <w:rPr>
          <w:sz w:val="24"/>
        </w:rPr>
        <w:t>95588</w:t>
      </w:r>
    </w:p>
    <w:p w14:paraId="0854016E" w14:textId="77777777" w:rsidR="008B1E3F" w:rsidRDefault="005B0A08">
      <w:pPr>
        <w:spacing w:line="360" w:lineRule="auto"/>
        <w:ind w:firstLineChars="200" w:firstLine="480"/>
        <w:rPr>
          <w:sz w:val="24"/>
        </w:rPr>
      </w:pPr>
      <w:r>
        <w:rPr>
          <w:rFonts w:hint="eastAsia"/>
          <w:sz w:val="24"/>
        </w:rPr>
        <w:t>公司网址：</w:t>
      </w:r>
      <w:r>
        <w:rPr>
          <w:sz w:val="24"/>
        </w:rPr>
        <w:t>www.icbc.com.cn</w:t>
      </w:r>
    </w:p>
    <w:p w14:paraId="35E62A48" w14:textId="77777777" w:rsidR="008B1E3F" w:rsidRDefault="005B0A08">
      <w:pPr>
        <w:spacing w:line="360" w:lineRule="auto"/>
        <w:ind w:firstLineChars="200" w:firstLine="480"/>
        <w:outlineLvl w:val="0"/>
        <w:rPr>
          <w:sz w:val="24"/>
        </w:rPr>
      </w:pPr>
      <w:r>
        <w:rPr>
          <w:rFonts w:hint="eastAsia"/>
          <w:sz w:val="24"/>
        </w:rPr>
        <w:t>（三）销售机构</w:t>
      </w:r>
    </w:p>
    <w:p w14:paraId="59F0CE9E" w14:textId="77777777" w:rsidR="008B1E3F" w:rsidRDefault="005B0A08">
      <w:pPr>
        <w:spacing w:line="360" w:lineRule="auto"/>
        <w:ind w:firstLineChars="200" w:firstLine="480"/>
        <w:rPr>
          <w:sz w:val="24"/>
        </w:rPr>
      </w:pPr>
      <w:r>
        <w:rPr>
          <w:sz w:val="24"/>
        </w:rPr>
        <w:t>1.</w:t>
      </w:r>
      <w:r>
        <w:rPr>
          <w:rFonts w:hint="eastAsia"/>
          <w:sz w:val="24"/>
        </w:rPr>
        <w:t>直销机构（仅发售本基金</w:t>
      </w:r>
      <w:r>
        <w:rPr>
          <w:rFonts w:hint="eastAsia"/>
          <w:sz w:val="24"/>
        </w:rPr>
        <w:t>A</w:t>
      </w:r>
      <w:r>
        <w:rPr>
          <w:rFonts w:hint="eastAsia"/>
          <w:sz w:val="24"/>
        </w:rPr>
        <w:t>类基金份额，</w:t>
      </w:r>
      <w:r>
        <w:rPr>
          <w:rFonts w:hint="eastAsia"/>
          <w:sz w:val="24"/>
        </w:rPr>
        <w:t>C</w:t>
      </w:r>
      <w:r>
        <w:rPr>
          <w:rFonts w:hint="eastAsia"/>
          <w:sz w:val="24"/>
        </w:rPr>
        <w:t>类基金份额暂不通过直销机构发售。</w:t>
      </w:r>
      <w:r>
        <w:rPr>
          <w:rFonts w:hint="eastAsia"/>
          <w:sz w:val="24"/>
        </w:rPr>
        <w:t>C</w:t>
      </w:r>
      <w:r>
        <w:rPr>
          <w:rFonts w:hint="eastAsia"/>
          <w:sz w:val="24"/>
        </w:rPr>
        <w:t>类基金份额后续在直销机构上线的具体情况将另行公告）</w:t>
      </w:r>
    </w:p>
    <w:p w14:paraId="063361A9" w14:textId="77777777" w:rsidR="008B1E3F" w:rsidRDefault="005B0A08">
      <w:pPr>
        <w:spacing w:line="360" w:lineRule="auto"/>
        <w:ind w:firstLineChars="200" w:firstLine="480"/>
        <w:rPr>
          <w:sz w:val="24"/>
        </w:rPr>
      </w:pPr>
      <w:r>
        <w:rPr>
          <w:rFonts w:hint="eastAsia"/>
          <w:sz w:val="24"/>
        </w:rPr>
        <w:t>（</w:t>
      </w:r>
      <w:r>
        <w:rPr>
          <w:rFonts w:hint="eastAsia"/>
          <w:sz w:val="24"/>
        </w:rPr>
        <w:t>1</w:t>
      </w:r>
      <w:r>
        <w:rPr>
          <w:rFonts w:hint="eastAsia"/>
          <w:sz w:val="24"/>
        </w:rPr>
        <w:t>）直销柜台</w:t>
      </w:r>
    </w:p>
    <w:p w14:paraId="7C365733" w14:textId="77777777" w:rsidR="008B1E3F" w:rsidRDefault="005B0A08">
      <w:pPr>
        <w:spacing w:line="360" w:lineRule="auto"/>
        <w:ind w:firstLineChars="200" w:firstLine="480"/>
        <w:rPr>
          <w:sz w:val="24"/>
        </w:rPr>
      </w:pPr>
      <w:r>
        <w:rPr>
          <w:rFonts w:hint="eastAsia"/>
          <w:sz w:val="24"/>
        </w:rPr>
        <w:t>直销中心地址：北京市西城区平安里西大街</w:t>
      </w:r>
      <w:r>
        <w:rPr>
          <w:sz w:val="24"/>
        </w:rPr>
        <w:t>28</w:t>
      </w:r>
      <w:r>
        <w:rPr>
          <w:rFonts w:hint="eastAsia"/>
          <w:sz w:val="24"/>
        </w:rPr>
        <w:t>号中海国际中心</w:t>
      </w:r>
      <w:r>
        <w:rPr>
          <w:sz w:val="24"/>
        </w:rPr>
        <w:t>9</w:t>
      </w:r>
      <w:r>
        <w:rPr>
          <w:rFonts w:hint="eastAsia"/>
          <w:sz w:val="24"/>
        </w:rPr>
        <w:t>层</w:t>
      </w:r>
    </w:p>
    <w:p w14:paraId="4BBC3251" w14:textId="77777777" w:rsidR="008B1E3F" w:rsidRDefault="005B0A08">
      <w:pPr>
        <w:spacing w:line="360" w:lineRule="auto"/>
        <w:ind w:firstLineChars="200" w:firstLine="480"/>
        <w:rPr>
          <w:sz w:val="24"/>
        </w:rPr>
      </w:pPr>
      <w:r>
        <w:rPr>
          <w:rFonts w:hint="eastAsia"/>
          <w:sz w:val="24"/>
        </w:rPr>
        <w:t>直销电话：</w:t>
      </w:r>
      <w:r>
        <w:rPr>
          <w:sz w:val="24"/>
        </w:rPr>
        <w:t>010-58573768</w:t>
      </w:r>
    </w:p>
    <w:p w14:paraId="0DE331C2" w14:textId="77777777" w:rsidR="008B1E3F" w:rsidRDefault="005B0A08">
      <w:pPr>
        <w:spacing w:line="360" w:lineRule="auto"/>
        <w:ind w:firstLineChars="200" w:firstLine="480"/>
        <w:rPr>
          <w:sz w:val="24"/>
        </w:rPr>
      </w:pPr>
      <w:r>
        <w:rPr>
          <w:rFonts w:hint="eastAsia"/>
          <w:sz w:val="24"/>
        </w:rPr>
        <w:t>客服电话：</w:t>
      </w:r>
      <w:r>
        <w:rPr>
          <w:sz w:val="24"/>
        </w:rPr>
        <w:t>400-700-8880</w:t>
      </w:r>
      <w:r>
        <w:rPr>
          <w:rFonts w:hint="eastAsia"/>
          <w:sz w:val="24"/>
        </w:rPr>
        <w:t>、</w:t>
      </w:r>
      <w:r>
        <w:rPr>
          <w:sz w:val="24"/>
        </w:rPr>
        <w:t>010-58573300</w:t>
      </w:r>
    </w:p>
    <w:p w14:paraId="5FF89B45" w14:textId="77777777" w:rsidR="008B1E3F" w:rsidRDefault="005B0A08">
      <w:pPr>
        <w:spacing w:line="360" w:lineRule="auto"/>
        <w:ind w:firstLineChars="200" w:firstLine="480"/>
        <w:rPr>
          <w:sz w:val="24"/>
        </w:rPr>
      </w:pPr>
      <w:r>
        <w:rPr>
          <w:rFonts w:hint="eastAsia"/>
          <w:sz w:val="24"/>
        </w:rPr>
        <w:t>传真号码：</w:t>
      </w:r>
      <w:r>
        <w:rPr>
          <w:sz w:val="24"/>
        </w:rPr>
        <w:t>010-58573737</w:t>
      </w:r>
    </w:p>
    <w:p w14:paraId="5F697DF5" w14:textId="77777777" w:rsidR="008B1E3F" w:rsidRDefault="005B0A08">
      <w:pPr>
        <w:spacing w:line="360" w:lineRule="auto"/>
        <w:ind w:firstLineChars="200" w:firstLine="480"/>
        <w:rPr>
          <w:sz w:val="24"/>
        </w:rPr>
      </w:pPr>
      <w:r>
        <w:rPr>
          <w:rFonts w:hint="eastAsia"/>
          <w:sz w:val="24"/>
        </w:rPr>
        <w:t>公司网址：</w:t>
      </w:r>
      <w:hyperlink r:id="rId12" w:history="1">
        <w:r>
          <w:rPr>
            <w:sz w:val="24"/>
          </w:rPr>
          <w:t>www.hsfund.com</w:t>
        </w:r>
      </w:hyperlink>
    </w:p>
    <w:p w14:paraId="6D11FC50" w14:textId="77777777" w:rsidR="008B1E3F" w:rsidRDefault="005B0A08">
      <w:pPr>
        <w:spacing w:line="360" w:lineRule="auto"/>
        <w:ind w:firstLineChars="200" w:firstLine="480"/>
        <w:rPr>
          <w:sz w:val="24"/>
        </w:rPr>
      </w:pPr>
      <w:r>
        <w:rPr>
          <w:rFonts w:hint="eastAsia"/>
          <w:sz w:val="24"/>
        </w:rPr>
        <w:t>（</w:t>
      </w:r>
      <w:r>
        <w:rPr>
          <w:sz w:val="24"/>
        </w:rPr>
        <w:t>2</w:t>
      </w:r>
      <w:r>
        <w:rPr>
          <w:rFonts w:hint="eastAsia"/>
          <w:sz w:val="24"/>
        </w:rPr>
        <w:t>）电子直销交易系统</w:t>
      </w:r>
    </w:p>
    <w:p w14:paraId="660980DF" w14:textId="77777777" w:rsidR="008B1E3F" w:rsidRDefault="005B0A08">
      <w:pPr>
        <w:spacing w:line="360" w:lineRule="auto"/>
        <w:ind w:firstLineChars="200" w:firstLine="480"/>
        <w:rPr>
          <w:kern w:val="0"/>
          <w:sz w:val="24"/>
        </w:rPr>
      </w:pPr>
      <w:r>
        <w:rPr>
          <w:rFonts w:hint="eastAsia"/>
          <w:sz w:val="24"/>
        </w:rPr>
        <w:t>网上交易系统</w:t>
      </w:r>
      <w:hyperlink r:id="rId13" w:history="1">
        <w:r>
          <w:rPr>
            <w:sz w:val="24"/>
          </w:rPr>
          <w:t>www.hsfund.com</w:t>
        </w:r>
      </w:hyperlink>
      <w:r>
        <w:rPr>
          <w:rFonts w:hint="eastAsia"/>
          <w:sz w:val="24"/>
        </w:rPr>
        <w:t>、微信交易系统微信号：</w:t>
      </w:r>
      <w:r>
        <w:rPr>
          <w:rFonts w:hint="eastAsia"/>
          <w:sz w:val="24"/>
        </w:rPr>
        <w:t>hsfund</w:t>
      </w:r>
      <w:r>
        <w:rPr>
          <w:rFonts w:hint="eastAsia"/>
          <w:sz w:val="24"/>
        </w:rPr>
        <w:t>以及华商基金</w:t>
      </w:r>
      <w:r>
        <w:rPr>
          <w:rFonts w:hint="eastAsia"/>
          <w:sz w:val="24"/>
        </w:rPr>
        <w:t>APP</w:t>
      </w:r>
      <w:r>
        <w:rPr>
          <w:rFonts w:hint="eastAsia"/>
          <w:sz w:val="24"/>
        </w:rPr>
        <w:t>。</w:t>
      </w:r>
    </w:p>
    <w:p w14:paraId="4ADD52F5" w14:textId="77777777" w:rsidR="008B1E3F" w:rsidRDefault="005B0A08">
      <w:pPr>
        <w:spacing w:line="360" w:lineRule="auto"/>
        <w:ind w:firstLineChars="200" w:firstLine="480"/>
        <w:rPr>
          <w:sz w:val="24"/>
        </w:rPr>
      </w:pPr>
      <w:r>
        <w:rPr>
          <w:sz w:val="24"/>
        </w:rPr>
        <w:t>2.</w:t>
      </w:r>
      <w:r>
        <w:rPr>
          <w:rFonts w:hint="eastAsia"/>
          <w:sz w:val="24"/>
        </w:rPr>
        <w:t>代销机构：办理本基金基金份额的认购业务代理销售机构，请以本公司官网为准。</w:t>
      </w:r>
    </w:p>
    <w:p w14:paraId="79AEEBE4" w14:textId="77777777" w:rsidR="008B1E3F" w:rsidRDefault="005B0A08">
      <w:pPr>
        <w:spacing w:line="360" w:lineRule="auto"/>
        <w:ind w:firstLineChars="200" w:firstLine="480"/>
        <w:rPr>
          <w:sz w:val="24"/>
        </w:rPr>
      </w:pPr>
      <w:r>
        <w:rPr>
          <w:rFonts w:hint="eastAsia"/>
          <w:sz w:val="24"/>
        </w:rPr>
        <w:t>（四）登记机构</w:t>
      </w:r>
    </w:p>
    <w:p w14:paraId="469C920C" w14:textId="77777777" w:rsidR="008B1E3F" w:rsidRDefault="005B0A08">
      <w:pPr>
        <w:tabs>
          <w:tab w:val="left" w:pos="426"/>
        </w:tabs>
        <w:spacing w:line="360" w:lineRule="auto"/>
        <w:ind w:firstLineChars="200" w:firstLine="480"/>
        <w:rPr>
          <w:sz w:val="24"/>
        </w:rPr>
      </w:pPr>
      <w:r>
        <w:rPr>
          <w:rFonts w:hint="eastAsia"/>
          <w:sz w:val="24"/>
        </w:rPr>
        <w:t>名称：华商基金管理有限公司</w:t>
      </w:r>
    </w:p>
    <w:p w14:paraId="7F9BB8E3" w14:textId="77777777" w:rsidR="008B1E3F" w:rsidRDefault="005B0A08">
      <w:pPr>
        <w:tabs>
          <w:tab w:val="left" w:pos="426"/>
        </w:tabs>
        <w:spacing w:line="360" w:lineRule="auto"/>
        <w:ind w:firstLineChars="200" w:firstLine="480"/>
        <w:rPr>
          <w:sz w:val="24"/>
        </w:rPr>
      </w:pPr>
      <w:r>
        <w:rPr>
          <w:rFonts w:hint="eastAsia"/>
          <w:sz w:val="24"/>
        </w:rPr>
        <w:t>注册地址：北京市西城区平安里西大街</w:t>
      </w:r>
      <w:r>
        <w:rPr>
          <w:sz w:val="24"/>
        </w:rPr>
        <w:t>28</w:t>
      </w:r>
      <w:r>
        <w:rPr>
          <w:rFonts w:hint="eastAsia"/>
          <w:sz w:val="24"/>
        </w:rPr>
        <w:t>号楼</w:t>
      </w:r>
      <w:r>
        <w:rPr>
          <w:sz w:val="24"/>
        </w:rPr>
        <w:t>19</w:t>
      </w:r>
      <w:r>
        <w:rPr>
          <w:rFonts w:hint="eastAsia"/>
          <w:sz w:val="24"/>
        </w:rPr>
        <w:t>层</w:t>
      </w:r>
    </w:p>
    <w:p w14:paraId="1410D733" w14:textId="77777777" w:rsidR="008B1E3F" w:rsidRDefault="005B0A08">
      <w:pPr>
        <w:tabs>
          <w:tab w:val="left" w:pos="426"/>
          <w:tab w:val="left" w:pos="5010"/>
        </w:tabs>
        <w:spacing w:line="360" w:lineRule="auto"/>
        <w:ind w:firstLineChars="200" w:firstLine="480"/>
        <w:rPr>
          <w:sz w:val="24"/>
        </w:rPr>
      </w:pPr>
      <w:r>
        <w:rPr>
          <w:rFonts w:hint="eastAsia"/>
          <w:sz w:val="24"/>
        </w:rPr>
        <w:t>法定代表人：苏金奎</w:t>
      </w:r>
    </w:p>
    <w:p w14:paraId="651C8762" w14:textId="77777777" w:rsidR="008B1E3F" w:rsidRDefault="005B0A08">
      <w:pPr>
        <w:tabs>
          <w:tab w:val="left" w:pos="426"/>
        </w:tabs>
        <w:spacing w:line="360" w:lineRule="auto"/>
        <w:ind w:firstLineChars="200" w:firstLine="480"/>
        <w:rPr>
          <w:sz w:val="24"/>
        </w:rPr>
      </w:pPr>
      <w:r>
        <w:rPr>
          <w:rFonts w:hint="eastAsia"/>
          <w:sz w:val="24"/>
        </w:rPr>
        <w:t>电话：</w:t>
      </w:r>
      <w:r>
        <w:rPr>
          <w:sz w:val="24"/>
        </w:rPr>
        <w:t>010-58573571</w:t>
      </w:r>
    </w:p>
    <w:p w14:paraId="12829BDD" w14:textId="77777777" w:rsidR="008B1E3F" w:rsidRDefault="005B0A08">
      <w:pPr>
        <w:tabs>
          <w:tab w:val="left" w:pos="426"/>
        </w:tabs>
        <w:spacing w:line="360" w:lineRule="auto"/>
        <w:ind w:firstLineChars="200" w:firstLine="480"/>
        <w:rPr>
          <w:sz w:val="24"/>
        </w:rPr>
      </w:pPr>
      <w:r>
        <w:rPr>
          <w:rFonts w:hint="eastAsia"/>
          <w:sz w:val="24"/>
        </w:rPr>
        <w:t>传真：</w:t>
      </w:r>
      <w:r>
        <w:rPr>
          <w:sz w:val="24"/>
        </w:rPr>
        <w:t>010-58573580</w:t>
      </w:r>
    </w:p>
    <w:p w14:paraId="37A217EC" w14:textId="77777777" w:rsidR="008B1E3F" w:rsidRDefault="005B0A08">
      <w:pPr>
        <w:tabs>
          <w:tab w:val="left" w:pos="426"/>
        </w:tabs>
        <w:spacing w:line="360" w:lineRule="auto"/>
        <w:ind w:firstLineChars="200" w:firstLine="480"/>
        <w:rPr>
          <w:sz w:val="24"/>
        </w:rPr>
      </w:pPr>
      <w:r>
        <w:rPr>
          <w:rFonts w:hint="eastAsia"/>
          <w:sz w:val="24"/>
        </w:rPr>
        <w:t>联系人：董士伟</w:t>
      </w:r>
    </w:p>
    <w:p w14:paraId="607C79C5" w14:textId="77777777" w:rsidR="008B1E3F" w:rsidRDefault="005B0A08">
      <w:pPr>
        <w:tabs>
          <w:tab w:val="left" w:pos="426"/>
        </w:tabs>
        <w:spacing w:line="360" w:lineRule="auto"/>
        <w:ind w:firstLineChars="200" w:firstLine="480"/>
        <w:rPr>
          <w:sz w:val="24"/>
        </w:rPr>
      </w:pPr>
      <w:r>
        <w:rPr>
          <w:rFonts w:hint="eastAsia"/>
          <w:sz w:val="24"/>
        </w:rPr>
        <w:t>公司网址：</w:t>
      </w:r>
      <w:r>
        <w:rPr>
          <w:sz w:val="24"/>
        </w:rPr>
        <w:t>www.hsfund.com</w:t>
      </w:r>
    </w:p>
    <w:p w14:paraId="22586DE2" w14:textId="77777777" w:rsidR="008B1E3F" w:rsidRDefault="005B0A08">
      <w:pPr>
        <w:autoSpaceDE w:val="0"/>
        <w:autoSpaceDN w:val="0"/>
        <w:adjustRightInd w:val="0"/>
        <w:spacing w:line="360" w:lineRule="auto"/>
        <w:ind w:firstLineChars="200" w:firstLine="480"/>
        <w:rPr>
          <w:kern w:val="0"/>
          <w:sz w:val="24"/>
        </w:rPr>
      </w:pPr>
      <w:r>
        <w:rPr>
          <w:rFonts w:hint="eastAsia"/>
          <w:kern w:val="0"/>
          <w:sz w:val="24"/>
        </w:rPr>
        <w:t>（五）律师事务所和经办律师</w:t>
      </w:r>
    </w:p>
    <w:p w14:paraId="357C3F7C" w14:textId="77777777" w:rsidR="008B1E3F" w:rsidRDefault="005B0A08">
      <w:pPr>
        <w:tabs>
          <w:tab w:val="left" w:pos="426"/>
        </w:tabs>
        <w:spacing w:line="360" w:lineRule="auto"/>
        <w:ind w:firstLineChars="200" w:firstLine="480"/>
        <w:rPr>
          <w:sz w:val="24"/>
        </w:rPr>
      </w:pPr>
      <w:r>
        <w:rPr>
          <w:rFonts w:hint="eastAsia"/>
          <w:sz w:val="24"/>
        </w:rPr>
        <w:t>名称：</w:t>
      </w:r>
      <w:r>
        <w:rPr>
          <w:rFonts w:hAnsi="宋体"/>
          <w:kern w:val="0"/>
          <w:sz w:val="24"/>
        </w:rPr>
        <w:t>上海源泰律师事务所</w:t>
      </w:r>
    </w:p>
    <w:p w14:paraId="7A9C3D5A" w14:textId="77777777" w:rsidR="008B1E3F" w:rsidRDefault="005B0A08">
      <w:pPr>
        <w:tabs>
          <w:tab w:val="left" w:pos="426"/>
        </w:tabs>
        <w:spacing w:line="360" w:lineRule="auto"/>
        <w:ind w:firstLineChars="200" w:firstLine="480"/>
        <w:rPr>
          <w:sz w:val="24"/>
        </w:rPr>
      </w:pPr>
      <w:r>
        <w:rPr>
          <w:rFonts w:hint="eastAsia"/>
          <w:sz w:val="24"/>
        </w:rPr>
        <w:lastRenderedPageBreak/>
        <w:t>注册地：</w:t>
      </w:r>
      <w:r>
        <w:rPr>
          <w:rFonts w:hAnsi="宋体"/>
          <w:kern w:val="0"/>
          <w:sz w:val="24"/>
        </w:rPr>
        <w:t>上海市浦东南路</w:t>
      </w:r>
      <w:r>
        <w:rPr>
          <w:kern w:val="0"/>
          <w:sz w:val="24"/>
        </w:rPr>
        <w:t>256</w:t>
      </w:r>
      <w:r>
        <w:rPr>
          <w:rFonts w:hAnsi="宋体"/>
          <w:kern w:val="0"/>
          <w:sz w:val="24"/>
        </w:rPr>
        <w:t>号华夏银行大厦</w:t>
      </w:r>
      <w:r>
        <w:rPr>
          <w:kern w:val="0"/>
          <w:sz w:val="24"/>
        </w:rPr>
        <w:t>14</w:t>
      </w:r>
      <w:r>
        <w:rPr>
          <w:rFonts w:hAnsi="宋体"/>
          <w:kern w:val="0"/>
          <w:sz w:val="24"/>
        </w:rPr>
        <w:t>楼</w:t>
      </w:r>
    </w:p>
    <w:p w14:paraId="56EAA692" w14:textId="77777777" w:rsidR="008B1E3F" w:rsidRDefault="005B0A08">
      <w:pPr>
        <w:tabs>
          <w:tab w:val="left" w:pos="426"/>
        </w:tabs>
        <w:spacing w:line="360" w:lineRule="auto"/>
        <w:ind w:firstLineChars="200" w:firstLine="480"/>
        <w:rPr>
          <w:sz w:val="24"/>
        </w:rPr>
      </w:pPr>
      <w:r>
        <w:rPr>
          <w:rFonts w:hint="eastAsia"/>
          <w:sz w:val="24"/>
        </w:rPr>
        <w:t>办公地：</w:t>
      </w:r>
      <w:r>
        <w:rPr>
          <w:rFonts w:hAnsi="宋体"/>
          <w:kern w:val="0"/>
          <w:sz w:val="24"/>
        </w:rPr>
        <w:t>上海市浦东南路</w:t>
      </w:r>
      <w:r>
        <w:rPr>
          <w:kern w:val="0"/>
          <w:sz w:val="24"/>
        </w:rPr>
        <w:t>256</w:t>
      </w:r>
      <w:r>
        <w:rPr>
          <w:rFonts w:hAnsi="宋体"/>
          <w:kern w:val="0"/>
          <w:sz w:val="24"/>
        </w:rPr>
        <w:t>号华夏银行大厦</w:t>
      </w:r>
      <w:r>
        <w:rPr>
          <w:kern w:val="0"/>
          <w:sz w:val="24"/>
        </w:rPr>
        <w:t>14</w:t>
      </w:r>
      <w:r>
        <w:rPr>
          <w:rFonts w:hAnsi="宋体"/>
          <w:kern w:val="0"/>
          <w:sz w:val="24"/>
        </w:rPr>
        <w:t>楼</w:t>
      </w:r>
    </w:p>
    <w:p w14:paraId="03051911" w14:textId="77777777" w:rsidR="008B1E3F" w:rsidRDefault="005B0A08">
      <w:pPr>
        <w:tabs>
          <w:tab w:val="left" w:pos="426"/>
        </w:tabs>
        <w:spacing w:line="360" w:lineRule="auto"/>
        <w:ind w:firstLineChars="200" w:firstLine="480"/>
        <w:rPr>
          <w:sz w:val="24"/>
        </w:rPr>
      </w:pPr>
      <w:r>
        <w:rPr>
          <w:rFonts w:hint="eastAsia"/>
          <w:sz w:val="24"/>
        </w:rPr>
        <w:t>负责人：</w:t>
      </w:r>
      <w:r>
        <w:rPr>
          <w:rFonts w:hAnsi="宋体"/>
          <w:kern w:val="0"/>
          <w:sz w:val="24"/>
        </w:rPr>
        <w:t>廖海</w:t>
      </w:r>
    </w:p>
    <w:p w14:paraId="759F5579" w14:textId="77777777" w:rsidR="008B1E3F" w:rsidRDefault="005B0A08">
      <w:pPr>
        <w:tabs>
          <w:tab w:val="left" w:pos="426"/>
        </w:tabs>
        <w:spacing w:line="360" w:lineRule="auto"/>
        <w:ind w:firstLineChars="200" w:firstLine="480"/>
        <w:rPr>
          <w:sz w:val="24"/>
        </w:rPr>
      </w:pPr>
      <w:r>
        <w:rPr>
          <w:rFonts w:hint="eastAsia"/>
          <w:sz w:val="24"/>
        </w:rPr>
        <w:t>电话：</w:t>
      </w:r>
      <w:r>
        <w:rPr>
          <w:kern w:val="0"/>
          <w:sz w:val="24"/>
        </w:rPr>
        <w:t>021-51150298</w:t>
      </w:r>
    </w:p>
    <w:p w14:paraId="7C9EFAEB" w14:textId="77777777" w:rsidR="008B1E3F" w:rsidRDefault="005B0A08">
      <w:pPr>
        <w:tabs>
          <w:tab w:val="left" w:pos="426"/>
        </w:tabs>
        <w:spacing w:line="360" w:lineRule="auto"/>
        <w:ind w:firstLineChars="200" w:firstLine="480"/>
        <w:rPr>
          <w:sz w:val="24"/>
        </w:rPr>
      </w:pPr>
      <w:r>
        <w:rPr>
          <w:rFonts w:hint="eastAsia"/>
          <w:sz w:val="24"/>
        </w:rPr>
        <w:t>传真：</w:t>
      </w:r>
      <w:r>
        <w:rPr>
          <w:kern w:val="0"/>
          <w:sz w:val="24"/>
        </w:rPr>
        <w:t>021-51150398</w:t>
      </w:r>
    </w:p>
    <w:p w14:paraId="7A0CF2CB" w14:textId="77777777" w:rsidR="008B1E3F" w:rsidRDefault="005B0A08">
      <w:pPr>
        <w:tabs>
          <w:tab w:val="left" w:pos="426"/>
        </w:tabs>
        <w:spacing w:line="360" w:lineRule="auto"/>
        <w:ind w:firstLineChars="200" w:firstLine="480"/>
        <w:rPr>
          <w:sz w:val="24"/>
        </w:rPr>
      </w:pPr>
      <w:r>
        <w:rPr>
          <w:rFonts w:hint="eastAsia"/>
          <w:sz w:val="24"/>
        </w:rPr>
        <w:t>经办律师：</w:t>
      </w:r>
      <w:r>
        <w:rPr>
          <w:rFonts w:hAnsi="宋体"/>
          <w:kern w:val="0"/>
          <w:sz w:val="24"/>
        </w:rPr>
        <w:t>刘佳、姜亚萍</w:t>
      </w:r>
    </w:p>
    <w:p w14:paraId="5DCB4576" w14:textId="77777777" w:rsidR="008B1E3F" w:rsidRDefault="005B0A08">
      <w:pPr>
        <w:tabs>
          <w:tab w:val="left" w:pos="426"/>
        </w:tabs>
        <w:spacing w:line="360" w:lineRule="auto"/>
        <w:ind w:firstLineChars="200" w:firstLine="480"/>
        <w:rPr>
          <w:sz w:val="24"/>
        </w:rPr>
      </w:pPr>
      <w:r>
        <w:rPr>
          <w:rFonts w:hint="eastAsia"/>
          <w:sz w:val="24"/>
        </w:rPr>
        <w:t>联系人：</w:t>
      </w:r>
      <w:r>
        <w:rPr>
          <w:rFonts w:hAnsi="宋体"/>
          <w:kern w:val="0"/>
          <w:sz w:val="24"/>
        </w:rPr>
        <w:t>刘佳</w:t>
      </w:r>
    </w:p>
    <w:p w14:paraId="55CFF6CF" w14:textId="77777777" w:rsidR="008B1E3F" w:rsidRDefault="005B0A08">
      <w:pPr>
        <w:autoSpaceDE w:val="0"/>
        <w:autoSpaceDN w:val="0"/>
        <w:adjustRightInd w:val="0"/>
        <w:spacing w:line="360" w:lineRule="auto"/>
        <w:ind w:firstLineChars="200" w:firstLine="480"/>
        <w:rPr>
          <w:rFonts w:ascii="宋体" w:hAnsi="宋体"/>
          <w:kern w:val="0"/>
          <w:sz w:val="24"/>
        </w:rPr>
      </w:pPr>
      <w:r>
        <w:rPr>
          <w:rFonts w:hint="eastAsia"/>
          <w:kern w:val="0"/>
          <w:sz w:val="24"/>
        </w:rPr>
        <w:t>（六）会计师事务所和经办注册会计师</w:t>
      </w:r>
    </w:p>
    <w:p w14:paraId="263C419C"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名称：安永华明会计师事务所（特殊普通合伙）</w:t>
      </w:r>
    </w:p>
    <w:p w14:paraId="70ADD26A"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住所：北京市东长安街</w:t>
      </w:r>
      <w:r>
        <w:rPr>
          <w:rFonts w:ascii="宋体" w:hAnsi="宋体" w:hint="eastAsia"/>
          <w:kern w:val="0"/>
          <w:sz w:val="24"/>
        </w:rPr>
        <w:t>1</w:t>
      </w:r>
      <w:r>
        <w:rPr>
          <w:rFonts w:ascii="宋体" w:hAnsi="宋体" w:hint="eastAsia"/>
          <w:kern w:val="0"/>
          <w:sz w:val="24"/>
        </w:rPr>
        <w:t>号东方广场安永大楼</w:t>
      </w:r>
      <w:r>
        <w:rPr>
          <w:rFonts w:ascii="宋体" w:hAnsi="宋体" w:hint="eastAsia"/>
          <w:kern w:val="0"/>
          <w:sz w:val="24"/>
        </w:rPr>
        <w:t>17</w:t>
      </w:r>
      <w:r>
        <w:rPr>
          <w:rFonts w:ascii="宋体" w:hAnsi="宋体" w:hint="eastAsia"/>
          <w:kern w:val="0"/>
          <w:sz w:val="24"/>
        </w:rPr>
        <w:t>层</w:t>
      </w:r>
    </w:p>
    <w:p w14:paraId="576E170E"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办公地址：北京市东长安街</w:t>
      </w:r>
      <w:r>
        <w:rPr>
          <w:rFonts w:ascii="宋体" w:hAnsi="宋体" w:hint="eastAsia"/>
          <w:kern w:val="0"/>
          <w:sz w:val="24"/>
        </w:rPr>
        <w:t>1</w:t>
      </w:r>
      <w:r>
        <w:rPr>
          <w:rFonts w:ascii="宋体" w:hAnsi="宋体" w:hint="eastAsia"/>
          <w:kern w:val="0"/>
          <w:sz w:val="24"/>
        </w:rPr>
        <w:t>号东方广场安永大楼</w:t>
      </w:r>
      <w:r>
        <w:rPr>
          <w:rFonts w:ascii="宋体" w:hAnsi="宋体" w:hint="eastAsia"/>
          <w:kern w:val="0"/>
          <w:sz w:val="24"/>
        </w:rPr>
        <w:t>17</w:t>
      </w:r>
      <w:r>
        <w:rPr>
          <w:rFonts w:ascii="宋体" w:hAnsi="宋体" w:hint="eastAsia"/>
          <w:kern w:val="0"/>
          <w:sz w:val="24"/>
        </w:rPr>
        <w:t>层</w:t>
      </w:r>
    </w:p>
    <w:p w14:paraId="35775951"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执行事务合伙人：毛鞍宁</w:t>
      </w:r>
    </w:p>
    <w:p w14:paraId="3EAA3B1D"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联系电话：（</w:t>
      </w:r>
      <w:r>
        <w:rPr>
          <w:rFonts w:ascii="宋体" w:hAnsi="宋体" w:hint="eastAsia"/>
          <w:kern w:val="0"/>
          <w:sz w:val="24"/>
        </w:rPr>
        <w:t>010</w:t>
      </w:r>
      <w:r>
        <w:rPr>
          <w:rFonts w:ascii="宋体" w:hAnsi="宋体" w:hint="eastAsia"/>
          <w:kern w:val="0"/>
          <w:sz w:val="24"/>
        </w:rPr>
        <w:t>）</w:t>
      </w:r>
      <w:r>
        <w:rPr>
          <w:rFonts w:ascii="宋体" w:hAnsi="宋体" w:hint="eastAsia"/>
          <w:kern w:val="0"/>
          <w:sz w:val="24"/>
        </w:rPr>
        <w:t>58153000</w:t>
      </w:r>
    </w:p>
    <w:p w14:paraId="23AA9457"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传真：（</w:t>
      </w:r>
      <w:r>
        <w:rPr>
          <w:rFonts w:ascii="宋体" w:hAnsi="宋体" w:hint="eastAsia"/>
          <w:kern w:val="0"/>
          <w:sz w:val="24"/>
        </w:rPr>
        <w:t>010</w:t>
      </w:r>
      <w:r>
        <w:rPr>
          <w:rFonts w:ascii="宋体" w:hAnsi="宋体" w:hint="eastAsia"/>
          <w:kern w:val="0"/>
          <w:sz w:val="24"/>
        </w:rPr>
        <w:t>）</w:t>
      </w:r>
      <w:r>
        <w:rPr>
          <w:rFonts w:ascii="宋体" w:hAnsi="宋体" w:hint="eastAsia"/>
          <w:kern w:val="0"/>
          <w:sz w:val="24"/>
        </w:rPr>
        <w:t>85188298</w:t>
      </w:r>
    </w:p>
    <w:p w14:paraId="6209880C"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经办注册会计师：王珊珊、王蕊</w:t>
      </w:r>
    </w:p>
    <w:p w14:paraId="22B52847" w14:textId="77777777" w:rsidR="008B1E3F" w:rsidRDefault="005B0A08">
      <w:pPr>
        <w:widowControl/>
        <w:snapToGrid w:val="0"/>
        <w:spacing w:line="360" w:lineRule="auto"/>
        <w:ind w:firstLineChars="200" w:firstLine="480"/>
        <w:rPr>
          <w:rFonts w:ascii="宋体" w:hAnsi="宋体"/>
          <w:kern w:val="0"/>
          <w:sz w:val="24"/>
        </w:rPr>
      </w:pPr>
      <w:r>
        <w:rPr>
          <w:rFonts w:ascii="宋体" w:hAnsi="宋体" w:hint="eastAsia"/>
          <w:kern w:val="0"/>
          <w:sz w:val="24"/>
        </w:rPr>
        <w:t>联系人：王珊珊</w:t>
      </w:r>
    </w:p>
    <w:p w14:paraId="72116B2F" w14:textId="77777777" w:rsidR="008B1E3F" w:rsidRDefault="008B1E3F">
      <w:pPr>
        <w:widowControl/>
        <w:snapToGrid w:val="0"/>
        <w:spacing w:line="360" w:lineRule="auto"/>
        <w:ind w:firstLine="480"/>
        <w:rPr>
          <w:rFonts w:ascii="宋体" w:hAnsi="宋体"/>
          <w:kern w:val="0"/>
          <w:sz w:val="24"/>
        </w:rPr>
      </w:pPr>
    </w:p>
    <w:p w14:paraId="69C7D81D" w14:textId="77777777" w:rsidR="008B1E3F" w:rsidRDefault="008B1E3F">
      <w:pPr>
        <w:tabs>
          <w:tab w:val="left" w:pos="5505"/>
        </w:tabs>
        <w:wordWrap w:val="0"/>
        <w:spacing w:line="360" w:lineRule="auto"/>
        <w:jc w:val="right"/>
        <w:rPr>
          <w:bCs/>
          <w:sz w:val="24"/>
        </w:rPr>
      </w:pPr>
    </w:p>
    <w:p w14:paraId="04815DD9" w14:textId="77777777" w:rsidR="008B1E3F" w:rsidRDefault="005B0A08">
      <w:pPr>
        <w:tabs>
          <w:tab w:val="left" w:pos="5505"/>
        </w:tabs>
        <w:wordWrap w:val="0"/>
        <w:spacing w:line="360" w:lineRule="auto"/>
        <w:jc w:val="right"/>
        <w:rPr>
          <w:bCs/>
          <w:sz w:val="24"/>
        </w:rPr>
      </w:pPr>
      <w:r>
        <w:rPr>
          <w:rFonts w:hint="eastAsia"/>
          <w:bCs/>
          <w:sz w:val="24"/>
        </w:rPr>
        <w:t>华商基金管理有限公司</w:t>
      </w:r>
    </w:p>
    <w:p w14:paraId="71FA12B0" w14:textId="77777777" w:rsidR="008B1E3F" w:rsidRDefault="005B0A08">
      <w:pPr>
        <w:tabs>
          <w:tab w:val="left" w:pos="5505"/>
        </w:tabs>
        <w:spacing w:line="360" w:lineRule="auto"/>
        <w:ind w:right="120" w:firstLineChars="2600" w:firstLine="6240"/>
        <w:rPr>
          <w:bCs/>
          <w:sz w:val="24"/>
        </w:rPr>
      </w:pPr>
      <w:r>
        <w:rPr>
          <w:bCs/>
          <w:sz w:val="24"/>
        </w:rPr>
        <w:t>2026</w:t>
      </w:r>
      <w:r>
        <w:rPr>
          <w:bCs/>
          <w:sz w:val="24"/>
        </w:rPr>
        <w:t>年</w:t>
      </w:r>
      <w:r>
        <w:rPr>
          <w:bCs/>
          <w:sz w:val="24"/>
        </w:rPr>
        <w:t>9</w:t>
      </w:r>
      <w:r>
        <w:rPr>
          <w:bCs/>
          <w:sz w:val="24"/>
        </w:rPr>
        <w:t>月</w:t>
      </w:r>
      <w:r>
        <w:rPr>
          <w:bCs/>
          <w:sz w:val="24"/>
        </w:rPr>
        <w:t>11</w:t>
      </w:r>
      <w:r>
        <w:rPr>
          <w:bCs/>
          <w:sz w:val="24"/>
        </w:rPr>
        <w:t>日</w:t>
      </w:r>
    </w:p>
    <w:sectPr w:rsidR="008B1E3F">
      <w:headerReference w:type="even" r:id="rId14"/>
      <w:headerReference w:type="default" r:id="rId15"/>
      <w:footerReference w:type="even" r:id="rId16"/>
      <w:footerReference w:type="default" r:id="rId17"/>
      <w:headerReference w:type="first" r:id="rId18"/>
      <w:footerReference w:type="first" r:id="rId19"/>
      <w:pgSz w:w="11906" w:h="16838"/>
      <w:pgMar w:top="1440" w:right="1797" w:bottom="1440" w:left="1797"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5F25A" w14:textId="77777777" w:rsidR="005B0A08" w:rsidRDefault="005B0A08">
      <w:r>
        <w:separator/>
      </w:r>
    </w:p>
  </w:endnote>
  <w:endnote w:type="continuationSeparator" w:id="0">
    <w:p w14:paraId="2C974A96" w14:textId="77777777" w:rsidR="005B0A08" w:rsidRDefault="005B0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DA7B2" w14:textId="77777777" w:rsidR="008B1E3F" w:rsidRDefault="005B0A08">
    <w:pPr>
      <w:pStyle w:val="a8"/>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37974A3B" w14:textId="77777777" w:rsidR="008B1E3F" w:rsidRDefault="008B1E3F">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2814" w14:textId="77777777" w:rsidR="008B1E3F" w:rsidRDefault="008B1E3F">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EF7D6" w14:textId="77777777" w:rsidR="008B1E3F" w:rsidRDefault="005B0A08">
    <w:pPr>
      <w:pStyle w:val="a8"/>
      <w:framePr w:wrap="around" w:vAnchor="text" w:hAnchor="margin" w:xAlign="center" w:y="1"/>
      <w:ind w:firstLine="360"/>
      <w:rPr>
        <w:rStyle w:val="ad"/>
      </w:rPr>
    </w:pPr>
    <w:r>
      <w:rPr>
        <w:rStyle w:val="ad"/>
      </w:rPr>
      <w:fldChar w:fldCharType="begin"/>
    </w:r>
    <w:r>
      <w:rPr>
        <w:rStyle w:val="ad"/>
      </w:rPr>
      <w:instrText xml:space="preserve">PAGE  </w:instrText>
    </w:r>
    <w:r>
      <w:rPr>
        <w:rStyle w:val="ad"/>
      </w:rPr>
      <w:fldChar w:fldCharType="end"/>
    </w:r>
  </w:p>
  <w:p w14:paraId="4BF6AD8D" w14:textId="77777777" w:rsidR="008B1E3F" w:rsidRDefault="008B1E3F">
    <w:pPr>
      <w:ind w:firstLine="420"/>
    </w:pPr>
  </w:p>
  <w:p w14:paraId="4778C9C2" w14:textId="77777777" w:rsidR="008B1E3F" w:rsidRDefault="008B1E3F">
    <w:pPr>
      <w:ind w:firstLine="420"/>
    </w:pPr>
  </w:p>
  <w:p w14:paraId="6EE4355C" w14:textId="77777777" w:rsidR="008B1E3F" w:rsidRDefault="008B1E3F">
    <w:pPr>
      <w:ind w:firstLine="420"/>
    </w:pPr>
  </w:p>
  <w:p w14:paraId="44A0E3BA" w14:textId="77777777" w:rsidR="008B1E3F" w:rsidRDefault="008B1E3F">
    <w:pPr>
      <w:ind w:firstLine="420"/>
    </w:pPr>
  </w:p>
  <w:p w14:paraId="449E3143" w14:textId="77777777" w:rsidR="008B1E3F" w:rsidRDefault="008B1E3F">
    <w:pPr>
      <w:ind w:firstLine="420"/>
    </w:pPr>
  </w:p>
  <w:p w14:paraId="46D29376" w14:textId="77777777" w:rsidR="008B1E3F" w:rsidRDefault="008B1E3F">
    <w:pPr>
      <w:ind w:firstLine="4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8D0B1" w14:textId="77777777" w:rsidR="008B1E3F" w:rsidRDefault="005B0A08">
    <w:pPr>
      <w:pStyle w:val="a8"/>
      <w:framePr w:wrap="around" w:vAnchor="text" w:hAnchor="margin" w:xAlign="center" w:y="1"/>
      <w:ind w:firstLine="360"/>
      <w:rPr>
        <w:rStyle w:val="ad"/>
      </w:rPr>
    </w:pPr>
    <w:r>
      <w:rPr>
        <w:rStyle w:val="ad"/>
      </w:rPr>
      <w:fldChar w:fldCharType="begin"/>
    </w:r>
    <w:r>
      <w:rPr>
        <w:rStyle w:val="ad"/>
      </w:rPr>
      <w:instrText xml:space="preserve">PAGE  </w:instrText>
    </w:r>
    <w:r>
      <w:rPr>
        <w:rStyle w:val="ad"/>
      </w:rPr>
      <w:fldChar w:fldCharType="separate"/>
    </w:r>
    <w:r w:rsidR="00B231F4">
      <w:rPr>
        <w:rStyle w:val="ad"/>
        <w:noProof/>
      </w:rPr>
      <w:t>2</w:t>
    </w:r>
    <w:r>
      <w:rPr>
        <w:rStyle w:val="ad"/>
      </w:rPr>
      <w:fldChar w:fldCharType="end"/>
    </w:r>
  </w:p>
  <w:p w14:paraId="0A2B93C4" w14:textId="77777777" w:rsidR="008B1E3F" w:rsidRDefault="008B1E3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5A47B" w14:textId="77777777" w:rsidR="008B1E3F" w:rsidRDefault="005B0A08">
    <w:pPr>
      <w:ind w:firstLine="420"/>
      <w:jc w:val="center"/>
    </w:pPr>
    <w:r>
      <w:rPr>
        <w:rFonts w:hint="eastAsia"/>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7C1C1" w14:textId="77777777" w:rsidR="005B0A08" w:rsidRDefault="005B0A08">
      <w:r>
        <w:separator/>
      </w:r>
    </w:p>
  </w:footnote>
  <w:footnote w:type="continuationSeparator" w:id="0">
    <w:p w14:paraId="40DA19BF" w14:textId="77777777" w:rsidR="005B0A08" w:rsidRDefault="005B0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43FC8" w14:textId="77777777" w:rsidR="008B1E3F" w:rsidRDefault="008B1E3F">
    <w:pPr>
      <w:ind w:firstLine="420"/>
    </w:pPr>
  </w:p>
  <w:p w14:paraId="20FCACF4" w14:textId="77777777" w:rsidR="008B1E3F" w:rsidRDefault="008B1E3F">
    <w:pPr>
      <w:ind w:firstLine="420"/>
    </w:pPr>
  </w:p>
  <w:p w14:paraId="69423A0F" w14:textId="77777777" w:rsidR="008B1E3F" w:rsidRDefault="008B1E3F">
    <w:pPr>
      <w:ind w:firstLine="420"/>
    </w:pPr>
  </w:p>
  <w:p w14:paraId="37236B71" w14:textId="77777777" w:rsidR="008B1E3F" w:rsidRDefault="008B1E3F">
    <w:pPr>
      <w:ind w:firstLine="420"/>
    </w:pPr>
  </w:p>
  <w:p w14:paraId="016C0D33" w14:textId="77777777" w:rsidR="008B1E3F" w:rsidRDefault="008B1E3F">
    <w:pPr>
      <w:ind w:firstLine="420"/>
    </w:pPr>
  </w:p>
  <w:p w14:paraId="5C01658D" w14:textId="77777777" w:rsidR="008B1E3F" w:rsidRDefault="008B1E3F">
    <w:pPr>
      <w:ind w:firstLine="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C68CA" w14:textId="77777777" w:rsidR="008B1E3F" w:rsidRDefault="008B1E3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5E73F" w14:textId="77777777" w:rsidR="008B1E3F" w:rsidRDefault="008B1E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EB2679"/>
    <w:multiLevelType w:val="multilevel"/>
    <w:tmpl w:val="39EB2679"/>
    <w:lvl w:ilvl="0">
      <w:start w:val="1"/>
      <w:numFmt w:val="none"/>
      <w:pStyle w:val="1"/>
      <w:suff w:val="nothing"/>
      <w:lvlText w:val=""/>
      <w:lvlJc w:val="left"/>
      <w:rPr>
        <w:rFonts w:hint="eastAsia"/>
      </w:rPr>
    </w:lvl>
    <w:lvl w:ilvl="1">
      <w:start w:val="1"/>
      <w:numFmt w:val="chineseCountingThousand"/>
      <w:suff w:val="nothing"/>
      <w:lvlText w:val="%2、"/>
      <w:lvlJc w:val="left"/>
      <w:rPr>
        <w:rFonts w:ascii="宋体" w:eastAsia="宋体" w:hint="eastAsia"/>
        <w:b/>
        <w:i w:val="0"/>
        <w:sz w:val="28"/>
      </w:rPr>
    </w:lvl>
    <w:lvl w:ilvl="2">
      <w:start w:val="1"/>
      <w:numFmt w:val="chineseCountingThousand"/>
      <w:suff w:val="nothing"/>
      <w:lvlText w:val="（%3）"/>
      <w:lvlJc w:val="left"/>
      <w:pPr>
        <w:ind w:firstLine="510"/>
      </w:pPr>
      <w:rPr>
        <w:rFonts w:hint="eastAsia"/>
      </w:rPr>
    </w:lvl>
    <w:lvl w:ilvl="3">
      <w:start w:val="1"/>
      <w:numFmt w:val="decimal"/>
      <w:pStyle w:val="4"/>
      <w:suff w:val="nothing"/>
      <w:lvlText w:val="%4．"/>
      <w:lvlJc w:val="left"/>
      <w:pPr>
        <w:ind w:firstLine="624"/>
      </w:pPr>
      <w:rPr>
        <w:rFonts w:hint="eastAsia"/>
      </w:rPr>
    </w:lvl>
    <w:lvl w:ilvl="4">
      <w:start w:val="1"/>
      <w:numFmt w:val="decimal"/>
      <w:pStyle w:val="5"/>
      <w:suff w:val="nothing"/>
      <w:lvlText w:val="（%5）"/>
      <w:lvlJc w:val="left"/>
      <w:pPr>
        <w:ind w:firstLine="510"/>
      </w:pPr>
      <w:rPr>
        <w:rFonts w:hint="eastAsia"/>
      </w:rPr>
    </w:lvl>
    <w:lvl w:ilvl="5">
      <w:start w:val="1"/>
      <w:numFmt w:val="none"/>
      <w:pStyle w:val="6"/>
      <w:suff w:val="nothing"/>
      <w:lvlText w:val=""/>
      <w:lvlJc w:val="left"/>
      <w:rPr>
        <w:rFonts w:hint="eastAsia"/>
      </w:rPr>
    </w:lvl>
    <w:lvl w:ilvl="6">
      <w:start w:val="1"/>
      <w:numFmt w:val="none"/>
      <w:pStyle w:val="7"/>
      <w:suff w:val="nothing"/>
      <w:lvlText w:val=""/>
      <w:lvlJc w:val="left"/>
      <w:rPr>
        <w:rFonts w:hint="eastAsia"/>
      </w:rPr>
    </w:lvl>
    <w:lvl w:ilvl="7">
      <w:start w:val="1"/>
      <w:numFmt w:val="none"/>
      <w:pStyle w:val="8"/>
      <w:suff w:val="nothing"/>
      <w:lvlText w:val=""/>
      <w:lvlJc w:val="left"/>
      <w:rPr>
        <w:rFonts w:hint="eastAsia"/>
      </w:rPr>
    </w:lvl>
    <w:lvl w:ilvl="8">
      <w:start w:val="1"/>
      <w:numFmt w:val="none"/>
      <w:pStyle w:val="9"/>
      <w:suff w:val="nothing"/>
      <w:lvlText w:val=""/>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iYzRjZDg4ODIxMmZkMzVjYzYxNzIzMDEwYjJjY2IifQ=="/>
  </w:docVars>
  <w:rsids>
    <w:rsidRoot w:val="00CA6ADC"/>
    <w:rsid w:val="0000009D"/>
    <w:rsid w:val="00000BCF"/>
    <w:rsid w:val="00000BDE"/>
    <w:rsid w:val="00000C07"/>
    <w:rsid w:val="00000EAC"/>
    <w:rsid w:val="0000176F"/>
    <w:rsid w:val="00002453"/>
    <w:rsid w:val="00002BF7"/>
    <w:rsid w:val="00002E5B"/>
    <w:rsid w:val="00002EB9"/>
    <w:rsid w:val="00002FED"/>
    <w:rsid w:val="00003146"/>
    <w:rsid w:val="000033CE"/>
    <w:rsid w:val="00004B43"/>
    <w:rsid w:val="00004B46"/>
    <w:rsid w:val="0000518D"/>
    <w:rsid w:val="0000521A"/>
    <w:rsid w:val="00005A13"/>
    <w:rsid w:val="00005A67"/>
    <w:rsid w:val="00005CF7"/>
    <w:rsid w:val="00005FC8"/>
    <w:rsid w:val="00006131"/>
    <w:rsid w:val="000061C7"/>
    <w:rsid w:val="00006438"/>
    <w:rsid w:val="000064CE"/>
    <w:rsid w:val="00006650"/>
    <w:rsid w:val="000068C7"/>
    <w:rsid w:val="000071BF"/>
    <w:rsid w:val="00007375"/>
    <w:rsid w:val="00007625"/>
    <w:rsid w:val="000078E6"/>
    <w:rsid w:val="00007981"/>
    <w:rsid w:val="00007A49"/>
    <w:rsid w:val="00007D5E"/>
    <w:rsid w:val="00010907"/>
    <w:rsid w:val="00010A19"/>
    <w:rsid w:val="00011243"/>
    <w:rsid w:val="00011D1C"/>
    <w:rsid w:val="00011E28"/>
    <w:rsid w:val="000120FB"/>
    <w:rsid w:val="000122A0"/>
    <w:rsid w:val="000122E7"/>
    <w:rsid w:val="00012651"/>
    <w:rsid w:val="0001277B"/>
    <w:rsid w:val="000127D1"/>
    <w:rsid w:val="000128B7"/>
    <w:rsid w:val="0001396F"/>
    <w:rsid w:val="00013C11"/>
    <w:rsid w:val="00013E81"/>
    <w:rsid w:val="00014639"/>
    <w:rsid w:val="00014A6C"/>
    <w:rsid w:val="00014CF0"/>
    <w:rsid w:val="0001508E"/>
    <w:rsid w:val="000152B7"/>
    <w:rsid w:val="000157C9"/>
    <w:rsid w:val="000158EC"/>
    <w:rsid w:val="00015B60"/>
    <w:rsid w:val="00016B02"/>
    <w:rsid w:val="00016C2D"/>
    <w:rsid w:val="00017130"/>
    <w:rsid w:val="000176B6"/>
    <w:rsid w:val="00017986"/>
    <w:rsid w:val="00017A03"/>
    <w:rsid w:val="00017C97"/>
    <w:rsid w:val="00017EB1"/>
    <w:rsid w:val="00021391"/>
    <w:rsid w:val="00021709"/>
    <w:rsid w:val="000217AE"/>
    <w:rsid w:val="000219A6"/>
    <w:rsid w:val="0002288D"/>
    <w:rsid w:val="00022A30"/>
    <w:rsid w:val="000233DB"/>
    <w:rsid w:val="00023696"/>
    <w:rsid w:val="00023799"/>
    <w:rsid w:val="00023CA4"/>
    <w:rsid w:val="000240DB"/>
    <w:rsid w:val="00024346"/>
    <w:rsid w:val="0002483C"/>
    <w:rsid w:val="00024A7E"/>
    <w:rsid w:val="000255EF"/>
    <w:rsid w:val="00025867"/>
    <w:rsid w:val="000259B0"/>
    <w:rsid w:val="00025BBB"/>
    <w:rsid w:val="00026459"/>
    <w:rsid w:val="00026AEA"/>
    <w:rsid w:val="00026BAC"/>
    <w:rsid w:val="00026CC8"/>
    <w:rsid w:val="00026EB4"/>
    <w:rsid w:val="000270F6"/>
    <w:rsid w:val="00027197"/>
    <w:rsid w:val="000276D4"/>
    <w:rsid w:val="000303E9"/>
    <w:rsid w:val="000309FB"/>
    <w:rsid w:val="00031464"/>
    <w:rsid w:val="000318EE"/>
    <w:rsid w:val="00031912"/>
    <w:rsid w:val="000319C8"/>
    <w:rsid w:val="000324F8"/>
    <w:rsid w:val="000333DC"/>
    <w:rsid w:val="000337A6"/>
    <w:rsid w:val="00033A3B"/>
    <w:rsid w:val="00034371"/>
    <w:rsid w:val="0003484E"/>
    <w:rsid w:val="00034A80"/>
    <w:rsid w:val="00034BED"/>
    <w:rsid w:val="00034EFF"/>
    <w:rsid w:val="000350BA"/>
    <w:rsid w:val="0003533E"/>
    <w:rsid w:val="00035694"/>
    <w:rsid w:val="00035998"/>
    <w:rsid w:val="00035A22"/>
    <w:rsid w:val="00036452"/>
    <w:rsid w:val="00036874"/>
    <w:rsid w:val="000368E0"/>
    <w:rsid w:val="00036949"/>
    <w:rsid w:val="000369C6"/>
    <w:rsid w:val="00036C34"/>
    <w:rsid w:val="00036E34"/>
    <w:rsid w:val="00036ED8"/>
    <w:rsid w:val="00037374"/>
    <w:rsid w:val="000378AC"/>
    <w:rsid w:val="00037CD1"/>
    <w:rsid w:val="00037FAC"/>
    <w:rsid w:val="00040F16"/>
    <w:rsid w:val="00041373"/>
    <w:rsid w:val="0004144F"/>
    <w:rsid w:val="00041539"/>
    <w:rsid w:val="0004190D"/>
    <w:rsid w:val="00041ABF"/>
    <w:rsid w:val="00042906"/>
    <w:rsid w:val="00042D5E"/>
    <w:rsid w:val="000437CE"/>
    <w:rsid w:val="00043A82"/>
    <w:rsid w:val="00043DD7"/>
    <w:rsid w:val="00043E94"/>
    <w:rsid w:val="00044627"/>
    <w:rsid w:val="00045830"/>
    <w:rsid w:val="00045A0D"/>
    <w:rsid w:val="00045D90"/>
    <w:rsid w:val="000460AA"/>
    <w:rsid w:val="00046C9E"/>
    <w:rsid w:val="00046FB9"/>
    <w:rsid w:val="00047595"/>
    <w:rsid w:val="000475F6"/>
    <w:rsid w:val="00047BBB"/>
    <w:rsid w:val="00047D5B"/>
    <w:rsid w:val="00047E15"/>
    <w:rsid w:val="00051097"/>
    <w:rsid w:val="00051345"/>
    <w:rsid w:val="00051748"/>
    <w:rsid w:val="00051ADC"/>
    <w:rsid w:val="00052145"/>
    <w:rsid w:val="000521B1"/>
    <w:rsid w:val="0005232B"/>
    <w:rsid w:val="0005240D"/>
    <w:rsid w:val="0005344F"/>
    <w:rsid w:val="0005360A"/>
    <w:rsid w:val="00053621"/>
    <w:rsid w:val="00053D90"/>
    <w:rsid w:val="000542ED"/>
    <w:rsid w:val="0005472B"/>
    <w:rsid w:val="00054B88"/>
    <w:rsid w:val="00054BC7"/>
    <w:rsid w:val="00054E11"/>
    <w:rsid w:val="00054F1B"/>
    <w:rsid w:val="00054FC4"/>
    <w:rsid w:val="000553C1"/>
    <w:rsid w:val="00055D85"/>
    <w:rsid w:val="00055F24"/>
    <w:rsid w:val="00056704"/>
    <w:rsid w:val="000567DE"/>
    <w:rsid w:val="00056CFC"/>
    <w:rsid w:val="00056DD3"/>
    <w:rsid w:val="00056F18"/>
    <w:rsid w:val="000570AA"/>
    <w:rsid w:val="00057240"/>
    <w:rsid w:val="00060507"/>
    <w:rsid w:val="000609B9"/>
    <w:rsid w:val="00061052"/>
    <w:rsid w:val="00061249"/>
    <w:rsid w:val="00061983"/>
    <w:rsid w:val="0006221F"/>
    <w:rsid w:val="00062400"/>
    <w:rsid w:val="00062534"/>
    <w:rsid w:val="000627E9"/>
    <w:rsid w:val="00062A4A"/>
    <w:rsid w:val="00063722"/>
    <w:rsid w:val="00063EAE"/>
    <w:rsid w:val="00064177"/>
    <w:rsid w:val="00064857"/>
    <w:rsid w:val="00064AA6"/>
    <w:rsid w:val="00064DFE"/>
    <w:rsid w:val="00064F9A"/>
    <w:rsid w:val="00065327"/>
    <w:rsid w:val="0006532B"/>
    <w:rsid w:val="00065E57"/>
    <w:rsid w:val="00065E68"/>
    <w:rsid w:val="00065F41"/>
    <w:rsid w:val="00065F5F"/>
    <w:rsid w:val="00066D95"/>
    <w:rsid w:val="00067153"/>
    <w:rsid w:val="00067332"/>
    <w:rsid w:val="00067B60"/>
    <w:rsid w:val="00067B64"/>
    <w:rsid w:val="000700DD"/>
    <w:rsid w:val="0007027A"/>
    <w:rsid w:val="000703DF"/>
    <w:rsid w:val="00070506"/>
    <w:rsid w:val="0007092E"/>
    <w:rsid w:val="000709E9"/>
    <w:rsid w:val="000715B2"/>
    <w:rsid w:val="0007186A"/>
    <w:rsid w:val="00071DE2"/>
    <w:rsid w:val="00071F30"/>
    <w:rsid w:val="00071F3E"/>
    <w:rsid w:val="00072573"/>
    <w:rsid w:val="00072750"/>
    <w:rsid w:val="00073197"/>
    <w:rsid w:val="000733EC"/>
    <w:rsid w:val="00073D80"/>
    <w:rsid w:val="00073E72"/>
    <w:rsid w:val="00074BDF"/>
    <w:rsid w:val="00074E1E"/>
    <w:rsid w:val="00074EEA"/>
    <w:rsid w:val="00074F93"/>
    <w:rsid w:val="00075391"/>
    <w:rsid w:val="00075B06"/>
    <w:rsid w:val="00076867"/>
    <w:rsid w:val="00076D16"/>
    <w:rsid w:val="000771CE"/>
    <w:rsid w:val="000776D6"/>
    <w:rsid w:val="00077EC5"/>
    <w:rsid w:val="0008026F"/>
    <w:rsid w:val="00080424"/>
    <w:rsid w:val="000805C1"/>
    <w:rsid w:val="000807CB"/>
    <w:rsid w:val="0008163B"/>
    <w:rsid w:val="0008210B"/>
    <w:rsid w:val="00082485"/>
    <w:rsid w:val="0008257D"/>
    <w:rsid w:val="0008292E"/>
    <w:rsid w:val="00082CF8"/>
    <w:rsid w:val="00083712"/>
    <w:rsid w:val="000840CD"/>
    <w:rsid w:val="00084985"/>
    <w:rsid w:val="00084AAB"/>
    <w:rsid w:val="00084B56"/>
    <w:rsid w:val="00084B96"/>
    <w:rsid w:val="00084F14"/>
    <w:rsid w:val="000858CA"/>
    <w:rsid w:val="00085B97"/>
    <w:rsid w:val="000860A0"/>
    <w:rsid w:val="00086119"/>
    <w:rsid w:val="00086137"/>
    <w:rsid w:val="00086961"/>
    <w:rsid w:val="00086AA7"/>
    <w:rsid w:val="00086F77"/>
    <w:rsid w:val="00087188"/>
    <w:rsid w:val="000871E0"/>
    <w:rsid w:val="000876CB"/>
    <w:rsid w:val="00087A65"/>
    <w:rsid w:val="00087E96"/>
    <w:rsid w:val="00090298"/>
    <w:rsid w:val="0009068A"/>
    <w:rsid w:val="000906D6"/>
    <w:rsid w:val="00090709"/>
    <w:rsid w:val="00090937"/>
    <w:rsid w:val="00091596"/>
    <w:rsid w:val="0009176E"/>
    <w:rsid w:val="000919A7"/>
    <w:rsid w:val="000925F6"/>
    <w:rsid w:val="0009292F"/>
    <w:rsid w:val="0009298E"/>
    <w:rsid w:val="000932BD"/>
    <w:rsid w:val="0009335F"/>
    <w:rsid w:val="00093368"/>
    <w:rsid w:val="00093485"/>
    <w:rsid w:val="00093560"/>
    <w:rsid w:val="0009370A"/>
    <w:rsid w:val="00093B75"/>
    <w:rsid w:val="00093C80"/>
    <w:rsid w:val="00094CB5"/>
    <w:rsid w:val="00094EF3"/>
    <w:rsid w:val="000953E9"/>
    <w:rsid w:val="00096302"/>
    <w:rsid w:val="00096CBA"/>
    <w:rsid w:val="00096E5D"/>
    <w:rsid w:val="000977E3"/>
    <w:rsid w:val="00097827"/>
    <w:rsid w:val="00097832"/>
    <w:rsid w:val="000978E6"/>
    <w:rsid w:val="00097B48"/>
    <w:rsid w:val="00097B6A"/>
    <w:rsid w:val="00097B9C"/>
    <w:rsid w:val="00097FD0"/>
    <w:rsid w:val="000A0446"/>
    <w:rsid w:val="000A0931"/>
    <w:rsid w:val="000A0C28"/>
    <w:rsid w:val="000A1526"/>
    <w:rsid w:val="000A1C55"/>
    <w:rsid w:val="000A2255"/>
    <w:rsid w:val="000A23E8"/>
    <w:rsid w:val="000A2442"/>
    <w:rsid w:val="000A24B8"/>
    <w:rsid w:val="000A25F4"/>
    <w:rsid w:val="000A2789"/>
    <w:rsid w:val="000A2AC2"/>
    <w:rsid w:val="000A2F7C"/>
    <w:rsid w:val="000A306F"/>
    <w:rsid w:val="000A32C1"/>
    <w:rsid w:val="000A39AF"/>
    <w:rsid w:val="000A3A8E"/>
    <w:rsid w:val="000A3B80"/>
    <w:rsid w:val="000A3EDF"/>
    <w:rsid w:val="000A4066"/>
    <w:rsid w:val="000A40B6"/>
    <w:rsid w:val="000A458A"/>
    <w:rsid w:val="000A4AA0"/>
    <w:rsid w:val="000A4B18"/>
    <w:rsid w:val="000A4D25"/>
    <w:rsid w:val="000A4D4E"/>
    <w:rsid w:val="000A5065"/>
    <w:rsid w:val="000A5125"/>
    <w:rsid w:val="000A517A"/>
    <w:rsid w:val="000A5741"/>
    <w:rsid w:val="000A5FE1"/>
    <w:rsid w:val="000A6D70"/>
    <w:rsid w:val="000A6F05"/>
    <w:rsid w:val="000A6F78"/>
    <w:rsid w:val="000A73B6"/>
    <w:rsid w:val="000A75E7"/>
    <w:rsid w:val="000A7715"/>
    <w:rsid w:val="000A7D3A"/>
    <w:rsid w:val="000A7EC2"/>
    <w:rsid w:val="000B0287"/>
    <w:rsid w:val="000B0729"/>
    <w:rsid w:val="000B08A8"/>
    <w:rsid w:val="000B0D7B"/>
    <w:rsid w:val="000B0F35"/>
    <w:rsid w:val="000B215D"/>
    <w:rsid w:val="000B25D4"/>
    <w:rsid w:val="000B272B"/>
    <w:rsid w:val="000B2823"/>
    <w:rsid w:val="000B2B10"/>
    <w:rsid w:val="000B30BB"/>
    <w:rsid w:val="000B323E"/>
    <w:rsid w:val="000B32EF"/>
    <w:rsid w:val="000B3BF0"/>
    <w:rsid w:val="000B489F"/>
    <w:rsid w:val="000B4B11"/>
    <w:rsid w:val="000B53E2"/>
    <w:rsid w:val="000B5732"/>
    <w:rsid w:val="000B6993"/>
    <w:rsid w:val="000B6FED"/>
    <w:rsid w:val="000B7105"/>
    <w:rsid w:val="000B76A3"/>
    <w:rsid w:val="000B7CE1"/>
    <w:rsid w:val="000C02FE"/>
    <w:rsid w:val="000C069C"/>
    <w:rsid w:val="000C0737"/>
    <w:rsid w:val="000C0814"/>
    <w:rsid w:val="000C0FAF"/>
    <w:rsid w:val="000C1213"/>
    <w:rsid w:val="000C1506"/>
    <w:rsid w:val="000C1852"/>
    <w:rsid w:val="000C1883"/>
    <w:rsid w:val="000C18AF"/>
    <w:rsid w:val="000C21F0"/>
    <w:rsid w:val="000C2C43"/>
    <w:rsid w:val="000C30D5"/>
    <w:rsid w:val="000C32B3"/>
    <w:rsid w:val="000C3702"/>
    <w:rsid w:val="000C3892"/>
    <w:rsid w:val="000C3939"/>
    <w:rsid w:val="000C3988"/>
    <w:rsid w:val="000C453D"/>
    <w:rsid w:val="000C45E5"/>
    <w:rsid w:val="000C4A63"/>
    <w:rsid w:val="000C4EC8"/>
    <w:rsid w:val="000C5922"/>
    <w:rsid w:val="000C60ED"/>
    <w:rsid w:val="000C6231"/>
    <w:rsid w:val="000C635C"/>
    <w:rsid w:val="000C7051"/>
    <w:rsid w:val="000C719B"/>
    <w:rsid w:val="000C71B8"/>
    <w:rsid w:val="000C7D95"/>
    <w:rsid w:val="000D0506"/>
    <w:rsid w:val="000D05EC"/>
    <w:rsid w:val="000D0715"/>
    <w:rsid w:val="000D1DB2"/>
    <w:rsid w:val="000D1DFF"/>
    <w:rsid w:val="000D1E2F"/>
    <w:rsid w:val="000D23EA"/>
    <w:rsid w:val="000D25D2"/>
    <w:rsid w:val="000D2B2D"/>
    <w:rsid w:val="000D2F6A"/>
    <w:rsid w:val="000D32EC"/>
    <w:rsid w:val="000D360B"/>
    <w:rsid w:val="000D371F"/>
    <w:rsid w:val="000D392A"/>
    <w:rsid w:val="000D3BE8"/>
    <w:rsid w:val="000D3CC7"/>
    <w:rsid w:val="000D3DFD"/>
    <w:rsid w:val="000D3FAD"/>
    <w:rsid w:val="000D43E6"/>
    <w:rsid w:val="000D4409"/>
    <w:rsid w:val="000D441E"/>
    <w:rsid w:val="000D456C"/>
    <w:rsid w:val="000D470F"/>
    <w:rsid w:val="000D503F"/>
    <w:rsid w:val="000D510E"/>
    <w:rsid w:val="000D5796"/>
    <w:rsid w:val="000D5E53"/>
    <w:rsid w:val="000D5EC2"/>
    <w:rsid w:val="000D5FBB"/>
    <w:rsid w:val="000D6B08"/>
    <w:rsid w:val="000D6BFE"/>
    <w:rsid w:val="000D7151"/>
    <w:rsid w:val="000D7289"/>
    <w:rsid w:val="000D7B6E"/>
    <w:rsid w:val="000D7F91"/>
    <w:rsid w:val="000E054E"/>
    <w:rsid w:val="000E0AF0"/>
    <w:rsid w:val="000E0F4B"/>
    <w:rsid w:val="000E17E3"/>
    <w:rsid w:val="000E206E"/>
    <w:rsid w:val="000E2839"/>
    <w:rsid w:val="000E2D46"/>
    <w:rsid w:val="000E2D66"/>
    <w:rsid w:val="000E2DD9"/>
    <w:rsid w:val="000E2FED"/>
    <w:rsid w:val="000E32D2"/>
    <w:rsid w:val="000E3C4E"/>
    <w:rsid w:val="000E449D"/>
    <w:rsid w:val="000E4573"/>
    <w:rsid w:val="000E465B"/>
    <w:rsid w:val="000E479A"/>
    <w:rsid w:val="000E49A3"/>
    <w:rsid w:val="000E4A7C"/>
    <w:rsid w:val="000E52D3"/>
    <w:rsid w:val="000E547C"/>
    <w:rsid w:val="000E54BB"/>
    <w:rsid w:val="000E5B93"/>
    <w:rsid w:val="000E5E60"/>
    <w:rsid w:val="000E609F"/>
    <w:rsid w:val="000E649D"/>
    <w:rsid w:val="000E6891"/>
    <w:rsid w:val="000E696D"/>
    <w:rsid w:val="000E6B7F"/>
    <w:rsid w:val="000E6C9F"/>
    <w:rsid w:val="000E6DF5"/>
    <w:rsid w:val="000E6F36"/>
    <w:rsid w:val="000E71FA"/>
    <w:rsid w:val="000E728A"/>
    <w:rsid w:val="000E73BE"/>
    <w:rsid w:val="000E7422"/>
    <w:rsid w:val="000E7459"/>
    <w:rsid w:val="000E7B4D"/>
    <w:rsid w:val="000F0372"/>
    <w:rsid w:val="000F07AF"/>
    <w:rsid w:val="000F08DB"/>
    <w:rsid w:val="000F0968"/>
    <w:rsid w:val="000F0B5E"/>
    <w:rsid w:val="000F0E1C"/>
    <w:rsid w:val="000F103B"/>
    <w:rsid w:val="000F111D"/>
    <w:rsid w:val="000F120F"/>
    <w:rsid w:val="000F1290"/>
    <w:rsid w:val="000F1584"/>
    <w:rsid w:val="000F1635"/>
    <w:rsid w:val="000F23D8"/>
    <w:rsid w:val="000F2CED"/>
    <w:rsid w:val="000F307F"/>
    <w:rsid w:val="000F34B8"/>
    <w:rsid w:val="000F3E91"/>
    <w:rsid w:val="000F4103"/>
    <w:rsid w:val="000F44B8"/>
    <w:rsid w:val="000F4D54"/>
    <w:rsid w:val="000F5055"/>
    <w:rsid w:val="000F54B6"/>
    <w:rsid w:val="000F54EF"/>
    <w:rsid w:val="000F5538"/>
    <w:rsid w:val="000F6118"/>
    <w:rsid w:val="000F7529"/>
    <w:rsid w:val="000F7937"/>
    <w:rsid w:val="000F7A91"/>
    <w:rsid w:val="000F7EC4"/>
    <w:rsid w:val="001002FA"/>
    <w:rsid w:val="00100646"/>
    <w:rsid w:val="00100E04"/>
    <w:rsid w:val="00101024"/>
    <w:rsid w:val="00101BAA"/>
    <w:rsid w:val="00101FD9"/>
    <w:rsid w:val="00102C05"/>
    <w:rsid w:val="00103819"/>
    <w:rsid w:val="0010392F"/>
    <w:rsid w:val="00103A19"/>
    <w:rsid w:val="00103BD6"/>
    <w:rsid w:val="001054A5"/>
    <w:rsid w:val="00105BD6"/>
    <w:rsid w:val="00106586"/>
    <w:rsid w:val="001066D2"/>
    <w:rsid w:val="00106A48"/>
    <w:rsid w:val="001070AB"/>
    <w:rsid w:val="0010729B"/>
    <w:rsid w:val="00107354"/>
    <w:rsid w:val="00107A3B"/>
    <w:rsid w:val="00107B9A"/>
    <w:rsid w:val="00107C6C"/>
    <w:rsid w:val="00107D78"/>
    <w:rsid w:val="0011006F"/>
    <w:rsid w:val="00111AA5"/>
    <w:rsid w:val="00111B2A"/>
    <w:rsid w:val="00111C8D"/>
    <w:rsid w:val="00111E97"/>
    <w:rsid w:val="00111EA9"/>
    <w:rsid w:val="0011313C"/>
    <w:rsid w:val="00113235"/>
    <w:rsid w:val="001137C3"/>
    <w:rsid w:val="001143A8"/>
    <w:rsid w:val="001149A2"/>
    <w:rsid w:val="00114D7A"/>
    <w:rsid w:val="00114E14"/>
    <w:rsid w:val="00115070"/>
    <w:rsid w:val="00115A8A"/>
    <w:rsid w:val="00115E0B"/>
    <w:rsid w:val="0011673B"/>
    <w:rsid w:val="00116C00"/>
    <w:rsid w:val="001170CC"/>
    <w:rsid w:val="00117129"/>
    <w:rsid w:val="00117436"/>
    <w:rsid w:val="00117595"/>
    <w:rsid w:val="00117855"/>
    <w:rsid w:val="001178BD"/>
    <w:rsid w:val="00117E1A"/>
    <w:rsid w:val="00120017"/>
    <w:rsid w:val="0012040D"/>
    <w:rsid w:val="00120A60"/>
    <w:rsid w:val="00120F3B"/>
    <w:rsid w:val="0012113C"/>
    <w:rsid w:val="00121376"/>
    <w:rsid w:val="00121887"/>
    <w:rsid w:val="00121AC9"/>
    <w:rsid w:val="00121D9E"/>
    <w:rsid w:val="00121ED8"/>
    <w:rsid w:val="00122A4F"/>
    <w:rsid w:val="00122BD3"/>
    <w:rsid w:val="00123175"/>
    <w:rsid w:val="0012323D"/>
    <w:rsid w:val="00124063"/>
    <w:rsid w:val="00124092"/>
    <w:rsid w:val="00124202"/>
    <w:rsid w:val="001243E7"/>
    <w:rsid w:val="0012471D"/>
    <w:rsid w:val="00124F6A"/>
    <w:rsid w:val="00124F9C"/>
    <w:rsid w:val="00125270"/>
    <w:rsid w:val="00126180"/>
    <w:rsid w:val="0012628D"/>
    <w:rsid w:val="001264BE"/>
    <w:rsid w:val="00127A3A"/>
    <w:rsid w:val="001300BD"/>
    <w:rsid w:val="001302D0"/>
    <w:rsid w:val="00130A51"/>
    <w:rsid w:val="00130A92"/>
    <w:rsid w:val="00130B90"/>
    <w:rsid w:val="00130DAF"/>
    <w:rsid w:val="00130DF4"/>
    <w:rsid w:val="001314FE"/>
    <w:rsid w:val="00131747"/>
    <w:rsid w:val="00131953"/>
    <w:rsid w:val="00131DA0"/>
    <w:rsid w:val="00132148"/>
    <w:rsid w:val="0013221A"/>
    <w:rsid w:val="00132584"/>
    <w:rsid w:val="00132731"/>
    <w:rsid w:val="00132A48"/>
    <w:rsid w:val="00133899"/>
    <w:rsid w:val="00133DC4"/>
    <w:rsid w:val="00134655"/>
    <w:rsid w:val="0013484D"/>
    <w:rsid w:val="001354CB"/>
    <w:rsid w:val="001357A3"/>
    <w:rsid w:val="00135B18"/>
    <w:rsid w:val="00135E86"/>
    <w:rsid w:val="00136E90"/>
    <w:rsid w:val="0013720C"/>
    <w:rsid w:val="00137242"/>
    <w:rsid w:val="001374A9"/>
    <w:rsid w:val="00137526"/>
    <w:rsid w:val="00137AA1"/>
    <w:rsid w:val="00137CF7"/>
    <w:rsid w:val="00140058"/>
    <w:rsid w:val="001406E5"/>
    <w:rsid w:val="00140D24"/>
    <w:rsid w:val="00140D69"/>
    <w:rsid w:val="00140ECB"/>
    <w:rsid w:val="001410FC"/>
    <w:rsid w:val="00141306"/>
    <w:rsid w:val="0014143A"/>
    <w:rsid w:val="00141568"/>
    <w:rsid w:val="0014160C"/>
    <w:rsid w:val="00141F2F"/>
    <w:rsid w:val="00141F57"/>
    <w:rsid w:val="00142157"/>
    <w:rsid w:val="001429AB"/>
    <w:rsid w:val="0014321C"/>
    <w:rsid w:val="001438BA"/>
    <w:rsid w:val="00143A42"/>
    <w:rsid w:val="00143BF0"/>
    <w:rsid w:val="00143D19"/>
    <w:rsid w:val="00144562"/>
    <w:rsid w:val="0014495B"/>
    <w:rsid w:val="00144A8C"/>
    <w:rsid w:val="00144CB3"/>
    <w:rsid w:val="00144F78"/>
    <w:rsid w:val="001454DC"/>
    <w:rsid w:val="001455D1"/>
    <w:rsid w:val="001455E6"/>
    <w:rsid w:val="001457B9"/>
    <w:rsid w:val="00145B07"/>
    <w:rsid w:val="00145C69"/>
    <w:rsid w:val="00145D87"/>
    <w:rsid w:val="00145E87"/>
    <w:rsid w:val="0014682B"/>
    <w:rsid w:val="00146959"/>
    <w:rsid w:val="00146ADA"/>
    <w:rsid w:val="0014758C"/>
    <w:rsid w:val="00147D67"/>
    <w:rsid w:val="00147E21"/>
    <w:rsid w:val="00150205"/>
    <w:rsid w:val="001502B1"/>
    <w:rsid w:val="0015098B"/>
    <w:rsid w:val="00151379"/>
    <w:rsid w:val="00151D97"/>
    <w:rsid w:val="00152131"/>
    <w:rsid w:val="00152527"/>
    <w:rsid w:val="00152718"/>
    <w:rsid w:val="00152BC8"/>
    <w:rsid w:val="001534D4"/>
    <w:rsid w:val="001538DC"/>
    <w:rsid w:val="001539F2"/>
    <w:rsid w:val="00154382"/>
    <w:rsid w:val="0015439B"/>
    <w:rsid w:val="0015468F"/>
    <w:rsid w:val="00154C37"/>
    <w:rsid w:val="001551CA"/>
    <w:rsid w:val="001553B8"/>
    <w:rsid w:val="0015543D"/>
    <w:rsid w:val="001557F7"/>
    <w:rsid w:val="00155CC5"/>
    <w:rsid w:val="00155FAE"/>
    <w:rsid w:val="00156230"/>
    <w:rsid w:val="00156397"/>
    <w:rsid w:val="0015645F"/>
    <w:rsid w:val="001566DB"/>
    <w:rsid w:val="00156BC3"/>
    <w:rsid w:val="0015707D"/>
    <w:rsid w:val="00157673"/>
    <w:rsid w:val="00157711"/>
    <w:rsid w:val="00160A48"/>
    <w:rsid w:val="00160C5C"/>
    <w:rsid w:val="00160E88"/>
    <w:rsid w:val="001612F1"/>
    <w:rsid w:val="00161391"/>
    <w:rsid w:val="001615CA"/>
    <w:rsid w:val="00161ED6"/>
    <w:rsid w:val="00162E81"/>
    <w:rsid w:val="00162F8E"/>
    <w:rsid w:val="00163C49"/>
    <w:rsid w:val="00164076"/>
    <w:rsid w:val="00164164"/>
    <w:rsid w:val="001642FB"/>
    <w:rsid w:val="001646FD"/>
    <w:rsid w:val="001647FB"/>
    <w:rsid w:val="00164AB5"/>
    <w:rsid w:val="00165D8F"/>
    <w:rsid w:val="00166195"/>
    <w:rsid w:val="001665F2"/>
    <w:rsid w:val="00166E34"/>
    <w:rsid w:val="00167997"/>
    <w:rsid w:val="00167F76"/>
    <w:rsid w:val="0017014F"/>
    <w:rsid w:val="0017025F"/>
    <w:rsid w:val="001703B1"/>
    <w:rsid w:val="00170E46"/>
    <w:rsid w:val="0017110A"/>
    <w:rsid w:val="001711E8"/>
    <w:rsid w:val="00171666"/>
    <w:rsid w:val="001716C3"/>
    <w:rsid w:val="00171736"/>
    <w:rsid w:val="00171A01"/>
    <w:rsid w:val="00173386"/>
    <w:rsid w:val="00173677"/>
    <w:rsid w:val="00173868"/>
    <w:rsid w:val="00173880"/>
    <w:rsid w:val="00173BBD"/>
    <w:rsid w:val="0017442C"/>
    <w:rsid w:val="00174516"/>
    <w:rsid w:val="00174D5D"/>
    <w:rsid w:val="00174DBC"/>
    <w:rsid w:val="00175039"/>
    <w:rsid w:val="001751EB"/>
    <w:rsid w:val="0017528B"/>
    <w:rsid w:val="00175766"/>
    <w:rsid w:val="0017581A"/>
    <w:rsid w:val="001758BB"/>
    <w:rsid w:val="001758EE"/>
    <w:rsid w:val="00175F3F"/>
    <w:rsid w:val="00175FF4"/>
    <w:rsid w:val="001761A5"/>
    <w:rsid w:val="001769BF"/>
    <w:rsid w:val="00176BAA"/>
    <w:rsid w:val="00176D36"/>
    <w:rsid w:val="001773F1"/>
    <w:rsid w:val="00177976"/>
    <w:rsid w:val="00177A22"/>
    <w:rsid w:val="00177F08"/>
    <w:rsid w:val="00180984"/>
    <w:rsid w:val="00180A20"/>
    <w:rsid w:val="00180B3E"/>
    <w:rsid w:val="00180D12"/>
    <w:rsid w:val="001812FC"/>
    <w:rsid w:val="00181390"/>
    <w:rsid w:val="00181B02"/>
    <w:rsid w:val="00181C11"/>
    <w:rsid w:val="00181CA0"/>
    <w:rsid w:val="00181CFD"/>
    <w:rsid w:val="00181E45"/>
    <w:rsid w:val="00181F85"/>
    <w:rsid w:val="00182422"/>
    <w:rsid w:val="00182E89"/>
    <w:rsid w:val="00183022"/>
    <w:rsid w:val="00183899"/>
    <w:rsid w:val="00183EDF"/>
    <w:rsid w:val="0018438F"/>
    <w:rsid w:val="001847B8"/>
    <w:rsid w:val="00184A86"/>
    <w:rsid w:val="00185319"/>
    <w:rsid w:val="00185B93"/>
    <w:rsid w:val="001867A2"/>
    <w:rsid w:val="00186B20"/>
    <w:rsid w:val="001900CB"/>
    <w:rsid w:val="0019055C"/>
    <w:rsid w:val="001911ED"/>
    <w:rsid w:val="001918C6"/>
    <w:rsid w:val="00191A43"/>
    <w:rsid w:val="00191B10"/>
    <w:rsid w:val="0019249B"/>
    <w:rsid w:val="00193AA9"/>
    <w:rsid w:val="00193BAF"/>
    <w:rsid w:val="00193EE4"/>
    <w:rsid w:val="00194110"/>
    <w:rsid w:val="00194639"/>
    <w:rsid w:val="0019484B"/>
    <w:rsid w:val="00194855"/>
    <w:rsid w:val="001949E5"/>
    <w:rsid w:val="00194D22"/>
    <w:rsid w:val="00194F06"/>
    <w:rsid w:val="00194FA1"/>
    <w:rsid w:val="00195088"/>
    <w:rsid w:val="001953A1"/>
    <w:rsid w:val="00195851"/>
    <w:rsid w:val="00195D17"/>
    <w:rsid w:val="00195DC1"/>
    <w:rsid w:val="00196ADD"/>
    <w:rsid w:val="001971DF"/>
    <w:rsid w:val="001975E4"/>
    <w:rsid w:val="00197916"/>
    <w:rsid w:val="00197D77"/>
    <w:rsid w:val="001A0007"/>
    <w:rsid w:val="001A00E8"/>
    <w:rsid w:val="001A01EC"/>
    <w:rsid w:val="001A0340"/>
    <w:rsid w:val="001A09D1"/>
    <w:rsid w:val="001A0D6F"/>
    <w:rsid w:val="001A0E82"/>
    <w:rsid w:val="001A19EF"/>
    <w:rsid w:val="001A2AF0"/>
    <w:rsid w:val="001A2C48"/>
    <w:rsid w:val="001A33E7"/>
    <w:rsid w:val="001A3566"/>
    <w:rsid w:val="001A3B37"/>
    <w:rsid w:val="001A3BE1"/>
    <w:rsid w:val="001A4022"/>
    <w:rsid w:val="001A41FC"/>
    <w:rsid w:val="001A4233"/>
    <w:rsid w:val="001A459D"/>
    <w:rsid w:val="001A459F"/>
    <w:rsid w:val="001A484B"/>
    <w:rsid w:val="001A4EEA"/>
    <w:rsid w:val="001A50D2"/>
    <w:rsid w:val="001A5163"/>
    <w:rsid w:val="001A52D4"/>
    <w:rsid w:val="001A57EB"/>
    <w:rsid w:val="001A6256"/>
    <w:rsid w:val="001A6502"/>
    <w:rsid w:val="001A6C65"/>
    <w:rsid w:val="001A7062"/>
    <w:rsid w:val="001A733A"/>
    <w:rsid w:val="001A7EEB"/>
    <w:rsid w:val="001B02EF"/>
    <w:rsid w:val="001B0828"/>
    <w:rsid w:val="001B0EA8"/>
    <w:rsid w:val="001B1035"/>
    <w:rsid w:val="001B252A"/>
    <w:rsid w:val="001B25AE"/>
    <w:rsid w:val="001B31E4"/>
    <w:rsid w:val="001B327D"/>
    <w:rsid w:val="001B331F"/>
    <w:rsid w:val="001B33C0"/>
    <w:rsid w:val="001B3562"/>
    <w:rsid w:val="001B3F20"/>
    <w:rsid w:val="001B4012"/>
    <w:rsid w:val="001B4B96"/>
    <w:rsid w:val="001B5048"/>
    <w:rsid w:val="001B5165"/>
    <w:rsid w:val="001B51AA"/>
    <w:rsid w:val="001B5381"/>
    <w:rsid w:val="001B58A6"/>
    <w:rsid w:val="001B6151"/>
    <w:rsid w:val="001B6519"/>
    <w:rsid w:val="001B692D"/>
    <w:rsid w:val="001B6D3D"/>
    <w:rsid w:val="001B6FC7"/>
    <w:rsid w:val="001B7732"/>
    <w:rsid w:val="001B7CC6"/>
    <w:rsid w:val="001B7F7D"/>
    <w:rsid w:val="001C02BF"/>
    <w:rsid w:val="001C03EF"/>
    <w:rsid w:val="001C0654"/>
    <w:rsid w:val="001C0BED"/>
    <w:rsid w:val="001C1C7D"/>
    <w:rsid w:val="001C23A2"/>
    <w:rsid w:val="001C2646"/>
    <w:rsid w:val="001C2A9F"/>
    <w:rsid w:val="001C2B6C"/>
    <w:rsid w:val="001C2C28"/>
    <w:rsid w:val="001C2E48"/>
    <w:rsid w:val="001C34FE"/>
    <w:rsid w:val="001C35A3"/>
    <w:rsid w:val="001C36CF"/>
    <w:rsid w:val="001C3B94"/>
    <w:rsid w:val="001C469F"/>
    <w:rsid w:val="001C485B"/>
    <w:rsid w:val="001C498D"/>
    <w:rsid w:val="001C4E95"/>
    <w:rsid w:val="001C4F1C"/>
    <w:rsid w:val="001C5450"/>
    <w:rsid w:val="001C551F"/>
    <w:rsid w:val="001C5523"/>
    <w:rsid w:val="001C5F8A"/>
    <w:rsid w:val="001C6071"/>
    <w:rsid w:val="001C6145"/>
    <w:rsid w:val="001C6D4D"/>
    <w:rsid w:val="001C77FE"/>
    <w:rsid w:val="001D0579"/>
    <w:rsid w:val="001D05E4"/>
    <w:rsid w:val="001D09F4"/>
    <w:rsid w:val="001D16E1"/>
    <w:rsid w:val="001D22CC"/>
    <w:rsid w:val="001D277F"/>
    <w:rsid w:val="001D2C4A"/>
    <w:rsid w:val="001D2FB0"/>
    <w:rsid w:val="001D3332"/>
    <w:rsid w:val="001D37E8"/>
    <w:rsid w:val="001D38EB"/>
    <w:rsid w:val="001D3C86"/>
    <w:rsid w:val="001D43F1"/>
    <w:rsid w:val="001D456C"/>
    <w:rsid w:val="001D4D2D"/>
    <w:rsid w:val="001D5A72"/>
    <w:rsid w:val="001D5C83"/>
    <w:rsid w:val="001D5EF3"/>
    <w:rsid w:val="001D6106"/>
    <w:rsid w:val="001D649A"/>
    <w:rsid w:val="001D64DA"/>
    <w:rsid w:val="001D6909"/>
    <w:rsid w:val="001D70B8"/>
    <w:rsid w:val="001D72B9"/>
    <w:rsid w:val="001D7872"/>
    <w:rsid w:val="001E056A"/>
    <w:rsid w:val="001E0B1E"/>
    <w:rsid w:val="001E1444"/>
    <w:rsid w:val="001E16E2"/>
    <w:rsid w:val="001E18C3"/>
    <w:rsid w:val="001E1C37"/>
    <w:rsid w:val="001E1C89"/>
    <w:rsid w:val="001E1E23"/>
    <w:rsid w:val="001E1E82"/>
    <w:rsid w:val="001E2077"/>
    <w:rsid w:val="001E2893"/>
    <w:rsid w:val="001E2C64"/>
    <w:rsid w:val="001E2E2B"/>
    <w:rsid w:val="001E351D"/>
    <w:rsid w:val="001E3DBE"/>
    <w:rsid w:val="001E40C8"/>
    <w:rsid w:val="001E492A"/>
    <w:rsid w:val="001E49F0"/>
    <w:rsid w:val="001E4E75"/>
    <w:rsid w:val="001E50ED"/>
    <w:rsid w:val="001E5B8D"/>
    <w:rsid w:val="001E5E02"/>
    <w:rsid w:val="001E6F49"/>
    <w:rsid w:val="001E6F70"/>
    <w:rsid w:val="001E7292"/>
    <w:rsid w:val="001F0A83"/>
    <w:rsid w:val="001F0F94"/>
    <w:rsid w:val="001F1013"/>
    <w:rsid w:val="001F109E"/>
    <w:rsid w:val="001F1261"/>
    <w:rsid w:val="001F1D1A"/>
    <w:rsid w:val="001F1DC5"/>
    <w:rsid w:val="001F2125"/>
    <w:rsid w:val="001F28C6"/>
    <w:rsid w:val="001F2CF9"/>
    <w:rsid w:val="001F2F25"/>
    <w:rsid w:val="001F3827"/>
    <w:rsid w:val="001F3AA8"/>
    <w:rsid w:val="001F3BDD"/>
    <w:rsid w:val="001F4345"/>
    <w:rsid w:val="001F4DBF"/>
    <w:rsid w:val="001F4E36"/>
    <w:rsid w:val="001F563A"/>
    <w:rsid w:val="001F5946"/>
    <w:rsid w:val="001F5D88"/>
    <w:rsid w:val="001F62BF"/>
    <w:rsid w:val="001F69DF"/>
    <w:rsid w:val="001F6B88"/>
    <w:rsid w:val="001F6E48"/>
    <w:rsid w:val="001F730C"/>
    <w:rsid w:val="001F7FC6"/>
    <w:rsid w:val="00200555"/>
    <w:rsid w:val="00200DDD"/>
    <w:rsid w:val="00201447"/>
    <w:rsid w:val="00201C03"/>
    <w:rsid w:val="00201F8D"/>
    <w:rsid w:val="00202009"/>
    <w:rsid w:val="0020254A"/>
    <w:rsid w:val="002026BF"/>
    <w:rsid w:val="002029DF"/>
    <w:rsid w:val="00202A36"/>
    <w:rsid w:val="00202D7F"/>
    <w:rsid w:val="002033B0"/>
    <w:rsid w:val="00203808"/>
    <w:rsid w:val="00203A59"/>
    <w:rsid w:val="00203C06"/>
    <w:rsid w:val="00204184"/>
    <w:rsid w:val="00204342"/>
    <w:rsid w:val="002043C9"/>
    <w:rsid w:val="002048FD"/>
    <w:rsid w:val="0020492E"/>
    <w:rsid w:val="00204948"/>
    <w:rsid w:val="002052CE"/>
    <w:rsid w:val="002052FB"/>
    <w:rsid w:val="00205829"/>
    <w:rsid w:val="00205B7D"/>
    <w:rsid w:val="00205E54"/>
    <w:rsid w:val="00206F36"/>
    <w:rsid w:val="00206F5E"/>
    <w:rsid w:val="00206F6F"/>
    <w:rsid w:val="00207CDA"/>
    <w:rsid w:val="00210514"/>
    <w:rsid w:val="00210B69"/>
    <w:rsid w:val="0021114F"/>
    <w:rsid w:val="002111C9"/>
    <w:rsid w:val="00211A74"/>
    <w:rsid w:val="00211E28"/>
    <w:rsid w:val="00211E4F"/>
    <w:rsid w:val="00211F8F"/>
    <w:rsid w:val="00211FE8"/>
    <w:rsid w:val="00212360"/>
    <w:rsid w:val="002124EE"/>
    <w:rsid w:val="002128D2"/>
    <w:rsid w:val="002132E4"/>
    <w:rsid w:val="002136EE"/>
    <w:rsid w:val="00213986"/>
    <w:rsid w:val="0021399B"/>
    <w:rsid w:val="00213DD3"/>
    <w:rsid w:val="00213E70"/>
    <w:rsid w:val="00213F45"/>
    <w:rsid w:val="002143D8"/>
    <w:rsid w:val="002147EE"/>
    <w:rsid w:val="00214B07"/>
    <w:rsid w:val="0021517D"/>
    <w:rsid w:val="00215240"/>
    <w:rsid w:val="00215395"/>
    <w:rsid w:val="002153CA"/>
    <w:rsid w:val="00217317"/>
    <w:rsid w:val="002173C2"/>
    <w:rsid w:val="002175E7"/>
    <w:rsid w:val="0021760C"/>
    <w:rsid w:val="00217751"/>
    <w:rsid w:val="00217A65"/>
    <w:rsid w:val="00217E94"/>
    <w:rsid w:val="00220235"/>
    <w:rsid w:val="002204F4"/>
    <w:rsid w:val="002209DD"/>
    <w:rsid w:val="00220F45"/>
    <w:rsid w:val="00221025"/>
    <w:rsid w:val="0022148B"/>
    <w:rsid w:val="002216D3"/>
    <w:rsid w:val="00221D87"/>
    <w:rsid w:val="00221F2A"/>
    <w:rsid w:val="00222296"/>
    <w:rsid w:val="002222D8"/>
    <w:rsid w:val="002228EA"/>
    <w:rsid w:val="00222952"/>
    <w:rsid w:val="00222FE7"/>
    <w:rsid w:val="00223AEA"/>
    <w:rsid w:val="00223E80"/>
    <w:rsid w:val="00224792"/>
    <w:rsid w:val="00224C43"/>
    <w:rsid w:val="002253DA"/>
    <w:rsid w:val="0022565F"/>
    <w:rsid w:val="00225685"/>
    <w:rsid w:val="00225F59"/>
    <w:rsid w:val="0022602D"/>
    <w:rsid w:val="002261A9"/>
    <w:rsid w:val="002262AE"/>
    <w:rsid w:val="002263AE"/>
    <w:rsid w:val="0022666C"/>
    <w:rsid w:val="0022693F"/>
    <w:rsid w:val="00226AD3"/>
    <w:rsid w:val="00226E7C"/>
    <w:rsid w:val="00227554"/>
    <w:rsid w:val="00230322"/>
    <w:rsid w:val="00230808"/>
    <w:rsid w:val="0023080F"/>
    <w:rsid w:val="00231670"/>
    <w:rsid w:val="00231DB4"/>
    <w:rsid w:val="00232110"/>
    <w:rsid w:val="00232454"/>
    <w:rsid w:val="00232861"/>
    <w:rsid w:val="002329BB"/>
    <w:rsid w:val="00233371"/>
    <w:rsid w:val="0023382A"/>
    <w:rsid w:val="00233C50"/>
    <w:rsid w:val="00233F7A"/>
    <w:rsid w:val="002340AD"/>
    <w:rsid w:val="00234354"/>
    <w:rsid w:val="002344AA"/>
    <w:rsid w:val="00234783"/>
    <w:rsid w:val="002349FB"/>
    <w:rsid w:val="002350B8"/>
    <w:rsid w:val="0023526D"/>
    <w:rsid w:val="0023573D"/>
    <w:rsid w:val="00235D51"/>
    <w:rsid w:val="00235E92"/>
    <w:rsid w:val="00236012"/>
    <w:rsid w:val="002360D9"/>
    <w:rsid w:val="002366F1"/>
    <w:rsid w:val="00236A81"/>
    <w:rsid w:val="00236C95"/>
    <w:rsid w:val="00237048"/>
    <w:rsid w:val="00237049"/>
    <w:rsid w:val="00237223"/>
    <w:rsid w:val="00237365"/>
    <w:rsid w:val="0023769B"/>
    <w:rsid w:val="002378AB"/>
    <w:rsid w:val="00240EF0"/>
    <w:rsid w:val="002412C2"/>
    <w:rsid w:val="002413BD"/>
    <w:rsid w:val="002419E6"/>
    <w:rsid w:val="00241FE1"/>
    <w:rsid w:val="00242779"/>
    <w:rsid w:val="00242CF3"/>
    <w:rsid w:val="00242F39"/>
    <w:rsid w:val="00243351"/>
    <w:rsid w:val="00243F3A"/>
    <w:rsid w:val="00244788"/>
    <w:rsid w:val="00244DE2"/>
    <w:rsid w:val="0024558C"/>
    <w:rsid w:val="00245A7B"/>
    <w:rsid w:val="002462B2"/>
    <w:rsid w:val="00246668"/>
    <w:rsid w:val="002466E8"/>
    <w:rsid w:val="00246FC9"/>
    <w:rsid w:val="0024797C"/>
    <w:rsid w:val="002479B2"/>
    <w:rsid w:val="00247C97"/>
    <w:rsid w:val="00247F57"/>
    <w:rsid w:val="0025073E"/>
    <w:rsid w:val="0025118F"/>
    <w:rsid w:val="002513C5"/>
    <w:rsid w:val="002514BC"/>
    <w:rsid w:val="0025168B"/>
    <w:rsid w:val="00251F0B"/>
    <w:rsid w:val="002528BA"/>
    <w:rsid w:val="002529D4"/>
    <w:rsid w:val="00253276"/>
    <w:rsid w:val="00253ABA"/>
    <w:rsid w:val="002543F6"/>
    <w:rsid w:val="00254761"/>
    <w:rsid w:val="002547BB"/>
    <w:rsid w:val="00254ABD"/>
    <w:rsid w:val="00254CA1"/>
    <w:rsid w:val="00254E25"/>
    <w:rsid w:val="0025561A"/>
    <w:rsid w:val="00255E9F"/>
    <w:rsid w:val="00256069"/>
    <w:rsid w:val="002560B7"/>
    <w:rsid w:val="00256687"/>
    <w:rsid w:val="002566A2"/>
    <w:rsid w:val="00257432"/>
    <w:rsid w:val="00257860"/>
    <w:rsid w:val="00257862"/>
    <w:rsid w:val="00260BAE"/>
    <w:rsid w:val="002612D8"/>
    <w:rsid w:val="0026159D"/>
    <w:rsid w:val="002617F4"/>
    <w:rsid w:val="00261DA4"/>
    <w:rsid w:val="00262011"/>
    <w:rsid w:val="002621AE"/>
    <w:rsid w:val="0026233D"/>
    <w:rsid w:val="00262532"/>
    <w:rsid w:val="002625B4"/>
    <w:rsid w:val="00262683"/>
    <w:rsid w:val="00262AF8"/>
    <w:rsid w:val="00262D21"/>
    <w:rsid w:val="00263226"/>
    <w:rsid w:val="00263767"/>
    <w:rsid w:val="00263935"/>
    <w:rsid w:val="00263E45"/>
    <w:rsid w:val="0026451D"/>
    <w:rsid w:val="00264594"/>
    <w:rsid w:val="002645BD"/>
    <w:rsid w:val="00264722"/>
    <w:rsid w:val="002649E7"/>
    <w:rsid w:val="00264DD4"/>
    <w:rsid w:val="00264DFE"/>
    <w:rsid w:val="002664BA"/>
    <w:rsid w:val="00266789"/>
    <w:rsid w:val="002668DB"/>
    <w:rsid w:val="00267376"/>
    <w:rsid w:val="0026769A"/>
    <w:rsid w:val="00267887"/>
    <w:rsid w:val="002706DE"/>
    <w:rsid w:val="0027083F"/>
    <w:rsid w:val="0027089E"/>
    <w:rsid w:val="00270A9F"/>
    <w:rsid w:val="00270CB8"/>
    <w:rsid w:val="00271712"/>
    <w:rsid w:val="002719E1"/>
    <w:rsid w:val="00271F93"/>
    <w:rsid w:val="0027203C"/>
    <w:rsid w:val="0027271C"/>
    <w:rsid w:val="00272941"/>
    <w:rsid w:val="00272B49"/>
    <w:rsid w:val="00272CD4"/>
    <w:rsid w:val="00272F94"/>
    <w:rsid w:val="002730FB"/>
    <w:rsid w:val="0027330B"/>
    <w:rsid w:val="0027363A"/>
    <w:rsid w:val="002736F6"/>
    <w:rsid w:val="0027464C"/>
    <w:rsid w:val="00274732"/>
    <w:rsid w:val="00274871"/>
    <w:rsid w:val="002754C6"/>
    <w:rsid w:val="00275B4D"/>
    <w:rsid w:val="00275CBE"/>
    <w:rsid w:val="00275D19"/>
    <w:rsid w:val="00275EF8"/>
    <w:rsid w:val="00275F7C"/>
    <w:rsid w:val="00276B6B"/>
    <w:rsid w:val="002803A2"/>
    <w:rsid w:val="0028043C"/>
    <w:rsid w:val="00280C0B"/>
    <w:rsid w:val="00281700"/>
    <w:rsid w:val="00281A6E"/>
    <w:rsid w:val="00281AD3"/>
    <w:rsid w:val="00281C71"/>
    <w:rsid w:val="00281DF3"/>
    <w:rsid w:val="00282397"/>
    <w:rsid w:val="00282537"/>
    <w:rsid w:val="00283000"/>
    <w:rsid w:val="00283569"/>
    <w:rsid w:val="002836A2"/>
    <w:rsid w:val="002836E2"/>
    <w:rsid w:val="0028376C"/>
    <w:rsid w:val="00283C64"/>
    <w:rsid w:val="00284203"/>
    <w:rsid w:val="00284A4A"/>
    <w:rsid w:val="00284BED"/>
    <w:rsid w:val="00284CEC"/>
    <w:rsid w:val="00285457"/>
    <w:rsid w:val="00285671"/>
    <w:rsid w:val="00286030"/>
    <w:rsid w:val="002860DD"/>
    <w:rsid w:val="00286285"/>
    <w:rsid w:val="002863F6"/>
    <w:rsid w:val="002866AA"/>
    <w:rsid w:val="00286B5B"/>
    <w:rsid w:val="00287768"/>
    <w:rsid w:val="00287FD9"/>
    <w:rsid w:val="00290206"/>
    <w:rsid w:val="00290825"/>
    <w:rsid w:val="00290A3B"/>
    <w:rsid w:val="00290B9B"/>
    <w:rsid w:val="00290FE8"/>
    <w:rsid w:val="0029172F"/>
    <w:rsid w:val="002918CE"/>
    <w:rsid w:val="00291DE5"/>
    <w:rsid w:val="00291E2E"/>
    <w:rsid w:val="002920DC"/>
    <w:rsid w:val="002925CB"/>
    <w:rsid w:val="0029291E"/>
    <w:rsid w:val="00292F0B"/>
    <w:rsid w:val="00293FA6"/>
    <w:rsid w:val="002944A4"/>
    <w:rsid w:val="002944BF"/>
    <w:rsid w:val="00294533"/>
    <w:rsid w:val="00294972"/>
    <w:rsid w:val="00294A1E"/>
    <w:rsid w:val="00294DBA"/>
    <w:rsid w:val="0029553D"/>
    <w:rsid w:val="00295C28"/>
    <w:rsid w:val="002961D7"/>
    <w:rsid w:val="002962DC"/>
    <w:rsid w:val="00296BB1"/>
    <w:rsid w:val="00297A7E"/>
    <w:rsid w:val="002A00D2"/>
    <w:rsid w:val="002A04FD"/>
    <w:rsid w:val="002A0DD1"/>
    <w:rsid w:val="002A1881"/>
    <w:rsid w:val="002A1CD0"/>
    <w:rsid w:val="002A1D3B"/>
    <w:rsid w:val="002A1F54"/>
    <w:rsid w:val="002A2130"/>
    <w:rsid w:val="002A2B03"/>
    <w:rsid w:val="002A33AD"/>
    <w:rsid w:val="002A3DA8"/>
    <w:rsid w:val="002A3F78"/>
    <w:rsid w:val="002A442B"/>
    <w:rsid w:val="002A46B8"/>
    <w:rsid w:val="002A4C4B"/>
    <w:rsid w:val="002A5145"/>
    <w:rsid w:val="002A53FA"/>
    <w:rsid w:val="002A540B"/>
    <w:rsid w:val="002A55BA"/>
    <w:rsid w:val="002A5ACA"/>
    <w:rsid w:val="002A60F0"/>
    <w:rsid w:val="002A696B"/>
    <w:rsid w:val="002A7C54"/>
    <w:rsid w:val="002A7FE6"/>
    <w:rsid w:val="002B094E"/>
    <w:rsid w:val="002B0A40"/>
    <w:rsid w:val="002B0F47"/>
    <w:rsid w:val="002B16A0"/>
    <w:rsid w:val="002B1AA8"/>
    <w:rsid w:val="002B1AE9"/>
    <w:rsid w:val="002B1F3A"/>
    <w:rsid w:val="002B21F9"/>
    <w:rsid w:val="002B23ED"/>
    <w:rsid w:val="002B28CD"/>
    <w:rsid w:val="002B299D"/>
    <w:rsid w:val="002B2F8D"/>
    <w:rsid w:val="002B3770"/>
    <w:rsid w:val="002B37A2"/>
    <w:rsid w:val="002B3906"/>
    <w:rsid w:val="002B3F87"/>
    <w:rsid w:val="002B4336"/>
    <w:rsid w:val="002B45FC"/>
    <w:rsid w:val="002B4DFE"/>
    <w:rsid w:val="002B5243"/>
    <w:rsid w:val="002B5428"/>
    <w:rsid w:val="002B579A"/>
    <w:rsid w:val="002B5AA9"/>
    <w:rsid w:val="002B5AAE"/>
    <w:rsid w:val="002B5B7E"/>
    <w:rsid w:val="002B6465"/>
    <w:rsid w:val="002B65C9"/>
    <w:rsid w:val="002B6E55"/>
    <w:rsid w:val="002B7531"/>
    <w:rsid w:val="002C00EA"/>
    <w:rsid w:val="002C02AA"/>
    <w:rsid w:val="002C06FB"/>
    <w:rsid w:val="002C0707"/>
    <w:rsid w:val="002C079C"/>
    <w:rsid w:val="002C0C32"/>
    <w:rsid w:val="002C0CF9"/>
    <w:rsid w:val="002C1055"/>
    <w:rsid w:val="002C1339"/>
    <w:rsid w:val="002C1BC5"/>
    <w:rsid w:val="002C202F"/>
    <w:rsid w:val="002C20E5"/>
    <w:rsid w:val="002C2130"/>
    <w:rsid w:val="002C24D3"/>
    <w:rsid w:val="002C26CC"/>
    <w:rsid w:val="002C2828"/>
    <w:rsid w:val="002C2C66"/>
    <w:rsid w:val="002C2D68"/>
    <w:rsid w:val="002C2DAF"/>
    <w:rsid w:val="002C2EDF"/>
    <w:rsid w:val="002C3F6A"/>
    <w:rsid w:val="002C40A4"/>
    <w:rsid w:val="002C4482"/>
    <w:rsid w:val="002C4492"/>
    <w:rsid w:val="002C455A"/>
    <w:rsid w:val="002C4B18"/>
    <w:rsid w:val="002C4E91"/>
    <w:rsid w:val="002C53FC"/>
    <w:rsid w:val="002C5805"/>
    <w:rsid w:val="002C582D"/>
    <w:rsid w:val="002C5BF3"/>
    <w:rsid w:val="002C5E5F"/>
    <w:rsid w:val="002C5FDA"/>
    <w:rsid w:val="002C6057"/>
    <w:rsid w:val="002C6310"/>
    <w:rsid w:val="002C72E7"/>
    <w:rsid w:val="002C7413"/>
    <w:rsid w:val="002C74A5"/>
    <w:rsid w:val="002C7728"/>
    <w:rsid w:val="002C77FE"/>
    <w:rsid w:val="002C7A73"/>
    <w:rsid w:val="002C7B08"/>
    <w:rsid w:val="002C7D65"/>
    <w:rsid w:val="002C7FE4"/>
    <w:rsid w:val="002D0536"/>
    <w:rsid w:val="002D0992"/>
    <w:rsid w:val="002D0A2A"/>
    <w:rsid w:val="002D0FDF"/>
    <w:rsid w:val="002D10FB"/>
    <w:rsid w:val="002D1704"/>
    <w:rsid w:val="002D17AB"/>
    <w:rsid w:val="002D275B"/>
    <w:rsid w:val="002D27DB"/>
    <w:rsid w:val="002D3216"/>
    <w:rsid w:val="002D3410"/>
    <w:rsid w:val="002D35FD"/>
    <w:rsid w:val="002D3619"/>
    <w:rsid w:val="002D36A0"/>
    <w:rsid w:val="002D3891"/>
    <w:rsid w:val="002D3ABD"/>
    <w:rsid w:val="002D41AC"/>
    <w:rsid w:val="002D4556"/>
    <w:rsid w:val="002D55D5"/>
    <w:rsid w:val="002D56CD"/>
    <w:rsid w:val="002D58FB"/>
    <w:rsid w:val="002D5C60"/>
    <w:rsid w:val="002D5F14"/>
    <w:rsid w:val="002D6237"/>
    <w:rsid w:val="002D6F56"/>
    <w:rsid w:val="002D73ED"/>
    <w:rsid w:val="002D77CB"/>
    <w:rsid w:val="002D7800"/>
    <w:rsid w:val="002D7CF5"/>
    <w:rsid w:val="002D7D73"/>
    <w:rsid w:val="002D7EDE"/>
    <w:rsid w:val="002E082E"/>
    <w:rsid w:val="002E0B59"/>
    <w:rsid w:val="002E1411"/>
    <w:rsid w:val="002E1BB8"/>
    <w:rsid w:val="002E1CE0"/>
    <w:rsid w:val="002E1E68"/>
    <w:rsid w:val="002E2096"/>
    <w:rsid w:val="002E2209"/>
    <w:rsid w:val="002E2FD4"/>
    <w:rsid w:val="002E3286"/>
    <w:rsid w:val="002E36B1"/>
    <w:rsid w:val="002E376B"/>
    <w:rsid w:val="002E38AA"/>
    <w:rsid w:val="002E3D8E"/>
    <w:rsid w:val="002E3F93"/>
    <w:rsid w:val="002E3FF2"/>
    <w:rsid w:val="002E418E"/>
    <w:rsid w:val="002E441E"/>
    <w:rsid w:val="002E4538"/>
    <w:rsid w:val="002E49E7"/>
    <w:rsid w:val="002E4BFF"/>
    <w:rsid w:val="002E4C15"/>
    <w:rsid w:val="002E4C67"/>
    <w:rsid w:val="002E4D7D"/>
    <w:rsid w:val="002E5C14"/>
    <w:rsid w:val="002E5D1E"/>
    <w:rsid w:val="002E5E7B"/>
    <w:rsid w:val="002E5F6B"/>
    <w:rsid w:val="002E608F"/>
    <w:rsid w:val="002E60B5"/>
    <w:rsid w:val="002E6AAE"/>
    <w:rsid w:val="002E7754"/>
    <w:rsid w:val="002E7D88"/>
    <w:rsid w:val="002E7E4A"/>
    <w:rsid w:val="002F0457"/>
    <w:rsid w:val="002F0C63"/>
    <w:rsid w:val="002F1320"/>
    <w:rsid w:val="002F1906"/>
    <w:rsid w:val="002F1DAC"/>
    <w:rsid w:val="002F1EEF"/>
    <w:rsid w:val="002F23FD"/>
    <w:rsid w:val="002F290C"/>
    <w:rsid w:val="002F293E"/>
    <w:rsid w:val="002F29C1"/>
    <w:rsid w:val="002F2D8E"/>
    <w:rsid w:val="002F2E48"/>
    <w:rsid w:val="002F2E60"/>
    <w:rsid w:val="002F303A"/>
    <w:rsid w:val="002F370E"/>
    <w:rsid w:val="002F3ABB"/>
    <w:rsid w:val="002F3AEE"/>
    <w:rsid w:val="002F40C3"/>
    <w:rsid w:val="002F4ABE"/>
    <w:rsid w:val="002F5077"/>
    <w:rsid w:val="002F51A7"/>
    <w:rsid w:val="002F5338"/>
    <w:rsid w:val="002F5587"/>
    <w:rsid w:val="002F5685"/>
    <w:rsid w:val="002F57AE"/>
    <w:rsid w:val="002F5C05"/>
    <w:rsid w:val="002F5E26"/>
    <w:rsid w:val="002F646F"/>
    <w:rsid w:val="002F66E7"/>
    <w:rsid w:val="002F6792"/>
    <w:rsid w:val="002F6829"/>
    <w:rsid w:val="002F6B14"/>
    <w:rsid w:val="002F78EF"/>
    <w:rsid w:val="002F7D8A"/>
    <w:rsid w:val="002F7FE4"/>
    <w:rsid w:val="003008D7"/>
    <w:rsid w:val="00300A22"/>
    <w:rsid w:val="00300BAF"/>
    <w:rsid w:val="00300DD1"/>
    <w:rsid w:val="0030104B"/>
    <w:rsid w:val="00301A78"/>
    <w:rsid w:val="00301D43"/>
    <w:rsid w:val="003021CB"/>
    <w:rsid w:val="0030246D"/>
    <w:rsid w:val="00302B88"/>
    <w:rsid w:val="00302F6B"/>
    <w:rsid w:val="0030302D"/>
    <w:rsid w:val="00303062"/>
    <w:rsid w:val="003037DA"/>
    <w:rsid w:val="003038AE"/>
    <w:rsid w:val="00303EA5"/>
    <w:rsid w:val="00305B87"/>
    <w:rsid w:val="00305C8C"/>
    <w:rsid w:val="00306000"/>
    <w:rsid w:val="0030621D"/>
    <w:rsid w:val="003065E3"/>
    <w:rsid w:val="00306FB0"/>
    <w:rsid w:val="003075C8"/>
    <w:rsid w:val="0030763A"/>
    <w:rsid w:val="00307899"/>
    <w:rsid w:val="00307983"/>
    <w:rsid w:val="003100CE"/>
    <w:rsid w:val="00310622"/>
    <w:rsid w:val="00310911"/>
    <w:rsid w:val="00311BF5"/>
    <w:rsid w:val="00311C22"/>
    <w:rsid w:val="003125E1"/>
    <w:rsid w:val="0031294E"/>
    <w:rsid w:val="00312A9C"/>
    <w:rsid w:val="00312D81"/>
    <w:rsid w:val="00312E8F"/>
    <w:rsid w:val="00312EB0"/>
    <w:rsid w:val="00313335"/>
    <w:rsid w:val="003134E7"/>
    <w:rsid w:val="00313BA2"/>
    <w:rsid w:val="0031405F"/>
    <w:rsid w:val="003143A4"/>
    <w:rsid w:val="0031502F"/>
    <w:rsid w:val="00315F2E"/>
    <w:rsid w:val="00316189"/>
    <w:rsid w:val="00316210"/>
    <w:rsid w:val="00316481"/>
    <w:rsid w:val="003169D8"/>
    <w:rsid w:val="00316C27"/>
    <w:rsid w:val="00316DD9"/>
    <w:rsid w:val="00316FD1"/>
    <w:rsid w:val="003171CF"/>
    <w:rsid w:val="00317BE5"/>
    <w:rsid w:val="00317F23"/>
    <w:rsid w:val="00320E86"/>
    <w:rsid w:val="00320F60"/>
    <w:rsid w:val="0032104A"/>
    <w:rsid w:val="00321BEE"/>
    <w:rsid w:val="00321F49"/>
    <w:rsid w:val="00321FDD"/>
    <w:rsid w:val="003221B4"/>
    <w:rsid w:val="003223A8"/>
    <w:rsid w:val="00322430"/>
    <w:rsid w:val="0032246D"/>
    <w:rsid w:val="003225D2"/>
    <w:rsid w:val="00322A5E"/>
    <w:rsid w:val="00322BC6"/>
    <w:rsid w:val="00322FA2"/>
    <w:rsid w:val="00323247"/>
    <w:rsid w:val="003233EA"/>
    <w:rsid w:val="00323419"/>
    <w:rsid w:val="00323596"/>
    <w:rsid w:val="00323B92"/>
    <w:rsid w:val="00324011"/>
    <w:rsid w:val="00324240"/>
    <w:rsid w:val="00324E12"/>
    <w:rsid w:val="003252AC"/>
    <w:rsid w:val="00325477"/>
    <w:rsid w:val="00325EEE"/>
    <w:rsid w:val="00325F62"/>
    <w:rsid w:val="0032600D"/>
    <w:rsid w:val="00326323"/>
    <w:rsid w:val="00326923"/>
    <w:rsid w:val="00326DA4"/>
    <w:rsid w:val="00326DD2"/>
    <w:rsid w:val="00326FC6"/>
    <w:rsid w:val="0032742C"/>
    <w:rsid w:val="00327774"/>
    <w:rsid w:val="00327A73"/>
    <w:rsid w:val="00327C45"/>
    <w:rsid w:val="003308BE"/>
    <w:rsid w:val="00331075"/>
    <w:rsid w:val="003312B4"/>
    <w:rsid w:val="00331536"/>
    <w:rsid w:val="0033185C"/>
    <w:rsid w:val="00331DBA"/>
    <w:rsid w:val="003328A5"/>
    <w:rsid w:val="00332B96"/>
    <w:rsid w:val="00332D48"/>
    <w:rsid w:val="0033385D"/>
    <w:rsid w:val="00333970"/>
    <w:rsid w:val="00333ADB"/>
    <w:rsid w:val="00333D2C"/>
    <w:rsid w:val="00334499"/>
    <w:rsid w:val="00334BED"/>
    <w:rsid w:val="003353DA"/>
    <w:rsid w:val="00335733"/>
    <w:rsid w:val="00335752"/>
    <w:rsid w:val="00335A97"/>
    <w:rsid w:val="00335C7D"/>
    <w:rsid w:val="003361B8"/>
    <w:rsid w:val="00336372"/>
    <w:rsid w:val="00336F83"/>
    <w:rsid w:val="0033708C"/>
    <w:rsid w:val="003372FD"/>
    <w:rsid w:val="00337482"/>
    <w:rsid w:val="003379E1"/>
    <w:rsid w:val="00337E4F"/>
    <w:rsid w:val="00340112"/>
    <w:rsid w:val="003407FD"/>
    <w:rsid w:val="00340B6E"/>
    <w:rsid w:val="00341156"/>
    <w:rsid w:val="00341CBE"/>
    <w:rsid w:val="00341F74"/>
    <w:rsid w:val="0034225D"/>
    <w:rsid w:val="003425F7"/>
    <w:rsid w:val="00342AC7"/>
    <w:rsid w:val="00342D2B"/>
    <w:rsid w:val="00342DE4"/>
    <w:rsid w:val="00343E64"/>
    <w:rsid w:val="003442CE"/>
    <w:rsid w:val="00344F74"/>
    <w:rsid w:val="0034535D"/>
    <w:rsid w:val="00345641"/>
    <w:rsid w:val="003456FE"/>
    <w:rsid w:val="00346004"/>
    <w:rsid w:val="003462F2"/>
    <w:rsid w:val="003463CD"/>
    <w:rsid w:val="003466A5"/>
    <w:rsid w:val="0034697B"/>
    <w:rsid w:val="00346E2B"/>
    <w:rsid w:val="003476E1"/>
    <w:rsid w:val="00347814"/>
    <w:rsid w:val="00350007"/>
    <w:rsid w:val="00350E5E"/>
    <w:rsid w:val="00351357"/>
    <w:rsid w:val="00351746"/>
    <w:rsid w:val="00351A96"/>
    <w:rsid w:val="003521BF"/>
    <w:rsid w:val="00352506"/>
    <w:rsid w:val="003538AF"/>
    <w:rsid w:val="00353B40"/>
    <w:rsid w:val="00353FB5"/>
    <w:rsid w:val="00354C12"/>
    <w:rsid w:val="00355011"/>
    <w:rsid w:val="003555A7"/>
    <w:rsid w:val="003555B9"/>
    <w:rsid w:val="003557DD"/>
    <w:rsid w:val="003566FB"/>
    <w:rsid w:val="00356815"/>
    <w:rsid w:val="00356898"/>
    <w:rsid w:val="003572D2"/>
    <w:rsid w:val="00357765"/>
    <w:rsid w:val="00357AE0"/>
    <w:rsid w:val="00357B36"/>
    <w:rsid w:val="00357C61"/>
    <w:rsid w:val="00357CFA"/>
    <w:rsid w:val="00360096"/>
    <w:rsid w:val="0036036B"/>
    <w:rsid w:val="0036042C"/>
    <w:rsid w:val="0036118D"/>
    <w:rsid w:val="003612EC"/>
    <w:rsid w:val="00361555"/>
    <w:rsid w:val="00361903"/>
    <w:rsid w:val="00361E98"/>
    <w:rsid w:val="00362225"/>
    <w:rsid w:val="003623E1"/>
    <w:rsid w:val="00362414"/>
    <w:rsid w:val="0036275E"/>
    <w:rsid w:val="00362D73"/>
    <w:rsid w:val="00363086"/>
    <w:rsid w:val="00363268"/>
    <w:rsid w:val="00363703"/>
    <w:rsid w:val="00363777"/>
    <w:rsid w:val="00363DF6"/>
    <w:rsid w:val="003642D2"/>
    <w:rsid w:val="003642FA"/>
    <w:rsid w:val="0036441D"/>
    <w:rsid w:val="00364567"/>
    <w:rsid w:val="00364851"/>
    <w:rsid w:val="00364CF1"/>
    <w:rsid w:val="00365022"/>
    <w:rsid w:val="00365159"/>
    <w:rsid w:val="003655F9"/>
    <w:rsid w:val="00365CBF"/>
    <w:rsid w:val="00365DCD"/>
    <w:rsid w:val="0036611E"/>
    <w:rsid w:val="00366390"/>
    <w:rsid w:val="00367242"/>
    <w:rsid w:val="003674C1"/>
    <w:rsid w:val="0036750C"/>
    <w:rsid w:val="00367541"/>
    <w:rsid w:val="00367B0C"/>
    <w:rsid w:val="00370069"/>
    <w:rsid w:val="00370108"/>
    <w:rsid w:val="003701DC"/>
    <w:rsid w:val="00370244"/>
    <w:rsid w:val="00370940"/>
    <w:rsid w:val="003721CE"/>
    <w:rsid w:val="003726C3"/>
    <w:rsid w:val="003726C4"/>
    <w:rsid w:val="0037270C"/>
    <w:rsid w:val="003732DF"/>
    <w:rsid w:val="00373771"/>
    <w:rsid w:val="00373BEC"/>
    <w:rsid w:val="00374219"/>
    <w:rsid w:val="003744AA"/>
    <w:rsid w:val="00374A5E"/>
    <w:rsid w:val="00374E4D"/>
    <w:rsid w:val="00374F42"/>
    <w:rsid w:val="00375425"/>
    <w:rsid w:val="00375868"/>
    <w:rsid w:val="0037662E"/>
    <w:rsid w:val="0037664A"/>
    <w:rsid w:val="003766E9"/>
    <w:rsid w:val="00376A40"/>
    <w:rsid w:val="00376F2D"/>
    <w:rsid w:val="00376F33"/>
    <w:rsid w:val="0037786F"/>
    <w:rsid w:val="003778EC"/>
    <w:rsid w:val="00377BCE"/>
    <w:rsid w:val="00377D34"/>
    <w:rsid w:val="00377E36"/>
    <w:rsid w:val="0038039B"/>
    <w:rsid w:val="003808B6"/>
    <w:rsid w:val="00381515"/>
    <w:rsid w:val="003817ED"/>
    <w:rsid w:val="00382260"/>
    <w:rsid w:val="003826A7"/>
    <w:rsid w:val="0038347C"/>
    <w:rsid w:val="0038398A"/>
    <w:rsid w:val="00383A9B"/>
    <w:rsid w:val="00383B4B"/>
    <w:rsid w:val="00383D49"/>
    <w:rsid w:val="0038518C"/>
    <w:rsid w:val="00385225"/>
    <w:rsid w:val="003853F3"/>
    <w:rsid w:val="0038557C"/>
    <w:rsid w:val="00385916"/>
    <w:rsid w:val="00385A77"/>
    <w:rsid w:val="00385D0F"/>
    <w:rsid w:val="0038612D"/>
    <w:rsid w:val="00386833"/>
    <w:rsid w:val="00386C7A"/>
    <w:rsid w:val="00387042"/>
    <w:rsid w:val="003871BA"/>
    <w:rsid w:val="00387317"/>
    <w:rsid w:val="00387664"/>
    <w:rsid w:val="00391564"/>
    <w:rsid w:val="003917F2"/>
    <w:rsid w:val="003918C5"/>
    <w:rsid w:val="00391FB4"/>
    <w:rsid w:val="00392A4A"/>
    <w:rsid w:val="00392D57"/>
    <w:rsid w:val="00393AA7"/>
    <w:rsid w:val="00393F04"/>
    <w:rsid w:val="00393FB0"/>
    <w:rsid w:val="00393FF7"/>
    <w:rsid w:val="00394407"/>
    <w:rsid w:val="003948D7"/>
    <w:rsid w:val="003949E6"/>
    <w:rsid w:val="003966BA"/>
    <w:rsid w:val="003972D3"/>
    <w:rsid w:val="003975FD"/>
    <w:rsid w:val="0039797C"/>
    <w:rsid w:val="00397A4A"/>
    <w:rsid w:val="003A01C0"/>
    <w:rsid w:val="003A0522"/>
    <w:rsid w:val="003A0E6A"/>
    <w:rsid w:val="003A0EA9"/>
    <w:rsid w:val="003A14E1"/>
    <w:rsid w:val="003A192B"/>
    <w:rsid w:val="003A2024"/>
    <w:rsid w:val="003A2C3F"/>
    <w:rsid w:val="003A2E25"/>
    <w:rsid w:val="003A3126"/>
    <w:rsid w:val="003A3260"/>
    <w:rsid w:val="003A38AC"/>
    <w:rsid w:val="003A3AC8"/>
    <w:rsid w:val="003A3B46"/>
    <w:rsid w:val="003A3F5E"/>
    <w:rsid w:val="003A418F"/>
    <w:rsid w:val="003A42FD"/>
    <w:rsid w:val="003A43E6"/>
    <w:rsid w:val="003A451D"/>
    <w:rsid w:val="003A4C90"/>
    <w:rsid w:val="003A5173"/>
    <w:rsid w:val="003A544A"/>
    <w:rsid w:val="003A5729"/>
    <w:rsid w:val="003A6156"/>
    <w:rsid w:val="003A6862"/>
    <w:rsid w:val="003A692D"/>
    <w:rsid w:val="003A6ADD"/>
    <w:rsid w:val="003A6B8A"/>
    <w:rsid w:val="003B088E"/>
    <w:rsid w:val="003B0CED"/>
    <w:rsid w:val="003B0F51"/>
    <w:rsid w:val="003B101F"/>
    <w:rsid w:val="003B2721"/>
    <w:rsid w:val="003B3A06"/>
    <w:rsid w:val="003B3E00"/>
    <w:rsid w:val="003B488F"/>
    <w:rsid w:val="003B4B5F"/>
    <w:rsid w:val="003B5587"/>
    <w:rsid w:val="003B5F76"/>
    <w:rsid w:val="003B6242"/>
    <w:rsid w:val="003B681C"/>
    <w:rsid w:val="003B6B09"/>
    <w:rsid w:val="003B71EA"/>
    <w:rsid w:val="003B7897"/>
    <w:rsid w:val="003B7C5B"/>
    <w:rsid w:val="003C00EB"/>
    <w:rsid w:val="003C04FB"/>
    <w:rsid w:val="003C0CFA"/>
    <w:rsid w:val="003C1203"/>
    <w:rsid w:val="003C1613"/>
    <w:rsid w:val="003C1701"/>
    <w:rsid w:val="003C1BA7"/>
    <w:rsid w:val="003C1F93"/>
    <w:rsid w:val="003C2385"/>
    <w:rsid w:val="003C27BD"/>
    <w:rsid w:val="003C2B5A"/>
    <w:rsid w:val="003C2E13"/>
    <w:rsid w:val="003C2E48"/>
    <w:rsid w:val="003C3E20"/>
    <w:rsid w:val="003C3EFD"/>
    <w:rsid w:val="003C408C"/>
    <w:rsid w:val="003C413F"/>
    <w:rsid w:val="003C425B"/>
    <w:rsid w:val="003C45AB"/>
    <w:rsid w:val="003C4749"/>
    <w:rsid w:val="003C4AC3"/>
    <w:rsid w:val="003C4AF5"/>
    <w:rsid w:val="003C5601"/>
    <w:rsid w:val="003C5648"/>
    <w:rsid w:val="003C5680"/>
    <w:rsid w:val="003C59C2"/>
    <w:rsid w:val="003C59E1"/>
    <w:rsid w:val="003C6343"/>
    <w:rsid w:val="003C6416"/>
    <w:rsid w:val="003C677B"/>
    <w:rsid w:val="003C688A"/>
    <w:rsid w:val="003C6B98"/>
    <w:rsid w:val="003C6D18"/>
    <w:rsid w:val="003C6E04"/>
    <w:rsid w:val="003C6EFD"/>
    <w:rsid w:val="003C7B6A"/>
    <w:rsid w:val="003C7E19"/>
    <w:rsid w:val="003D0099"/>
    <w:rsid w:val="003D061C"/>
    <w:rsid w:val="003D0A35"/>
    <w:rsid w:val="003D0B6A"/>
    <w:rsid w:val="003D10A4"/>
    <w:rsid w:val="003D11BE"/>
    <w:rsid w:val="003D11C8"/>
    <w:rsid w:val="003D16D0"/>
    <w:rsid w:val="003D182E"/>
    <w:rsid w:val="003D19D9"/>
    <w:rsid w:val="003D1BDF"/>
    <w:rsid w:val="003D1CBC"/>
    <w:rsid w:val="003D20B9"/>
    <w:rsid w:val="003D22BC"/>
    <w:rsid w:val="003D231E"/>
    <w:rsid w:val="003D2562"/>
    <w:rsid w:val="003D2724"/>
    <w:rsid w:val="003D2BFE"/>
    <w:rsid w:val="003D2F62"/>
    <w:rsid w:val="003D3906"/>
    <w:rsid w:val="003D4485"/>
    <w:rsid w:val="003D49DB"/>
    <w:rsid w:val="003D4A4B"/>
    <w:rsid w:val="003D4B30"/>
    <w:rsid w:val="003D4D71"/>
    <w:rsid w:val="003D4F0F"/>
    <w:rsid w:val="003D55F7"/>
    <w:rsid w:val="003D56CA"/>
    <w:rsid w:val="003D5918"/>
    <w:rsid w:val="003D5E33"/>
    <w:rsid w:val="003D5E7E"/>
    <w:rsid w:val="003D6BCD"/>
    <w:rsid w:val="003D6CD8"/>
    <w:rsid w:val="003D6DDA"/>
    <w:rsid w:val="003D6E54"/>
    <w:rsid w:val="003D6EEF"/>
    <w:rsid w:val="003D6F95"/>
    <w:rsid w:val="003D71C7"/>
    <w:rsid w:val="003D72CA"/>
    <w:rsid w:val="003D7434"/>
    <w:rsid w:val="003E01C7"/>
    <w:rsid w:val="003E0513"/>
    <w:rsid w:val="003E0614"/>
    <w:rsid w:val="003E0920"/>
    <w:rsid w:val="003E0B04"/>
    <w:rsid w:val="003E0BDD"/>
    <w:rsid w:val="003E1214"/>
    <w:rsid w:val="003E1220"/>
    <w:rsid w:val="003E138C"/>
    <w:rsid w:val="003E13CD"/>
    <w:rsid w:val="003E1501"/>
    <w:rsid w:val="003E1EE7"/>
    <w:rsid w:val="003E2384"/>
    <w:rsid w:val="003E23CE"/>
    <w:rsid w:val="003E2830"/>
    <w:rsid w:val="003E2857"/>
    <w:rsid w:val="003E2B77"/>
    <w:rsid w:val="003E2F5D"/>
    <w:rsid w:val="003E3064"/>
    <w:rsid w:val="003E374C"/>
    <w:rsid w:val="003E3CE4"/>
    <w:rsid w:val="003E3FD5"/>
    <w:rsid w:val="003E4493"/>
    <w:rsid w:val="003E4B51"/>
    <w:rsid w:val="003E4B7F"/>
    <w:rsid w:val="003E5754"/>
    <w:rsid w:val="003E5948"/>
    <w:rsid w:val="003E5996"/>
    <w:rsid w:val="003E5A60"/>
    <w:rsid w:val="003E5AD8"/>
    <w:rsid w:val="003E7532"/>
    <w:rsid w:val="003E789E"/>
    <w:rsid w:val="003F009E"/>
    <w:rsid w:val="003F0A54"/>
    <w:rsid w:val="003F0BC4"/>
    <w:rsid w:val="003F0E97"/>
    <w:rsid w:val="003F1171"/>
    <w:rsid w:val="003F12B8"/>
    <w:rsid w:val="003F155E"/>
    <w:rsid w:val="003F1DE7"/>
    <w:rsid w:val="003F2550"/>
    <w:rsid w:val="003F2CFA"/>
    <w:rsid w:val="003F2DCA"/>
    <w:rsid w:val="003F3137"/>
    <w:rsid w:val="003F3755"/>
    <w:rsid w:val="003F3A52"/>
    <w:rsid w:val="003F3AF9"/>
    <w:rsid w:val="003F40A1"/>
    <w:rsid w:val="003F419C"/>
    <w:rsid w:val="003F42B1"/>
    <w:rsid w:val="003F4ABF"/>
    <w:rsid w:val="003F5624"/>
    <w:rsid w:val="003F57FD"/>
    <w:rsid w:val="003F5908"/>
    <w:rsid w:val="003F5B26"/>
    <w:rsid w:val="003F5D56"/>
    <w:rsid w:val="003F6529"/>
    <w:rsid w:val="003F68DD"/>
    <w:rsid w:val="003F6B2B"/>
    <w:rsid w:val="003F6BF4"/>
    <w:rsid w:val="003F76CF"/>
    <w:rsid w:val="003F7925"/>
    <w:rsid w:val="003F7A13"/>
    <w:rsid w:val="003F7D69"/>
    <w:rsid w:val="003F7E62"/>
    <w:rsid w:val="0040038A"/>
    <w:rsid w:val="0040054C"/>
    <w:rsid w:val="004009D8"/>
    <w:rsid w:val="00401BBC"/>
    <w:rsid w:val="00401C12"/>
    <w:rsid w:val="00402A62"/>
    <w:rsid w:val="00402FEE"/>
    <w:rsid w:val="00403327"/>
    <w:rsid w:val="0040339A"/>
    <w:rsid w:val="00404BF8"/>
    <w:rsid w:val="00404CC8"/>
    <w:rsid w:val="00404D74"/>
    <w:rsid w:val="00404EB9"/>
    <w:rsid w:val="00405094"/>
    <w:rsid w:val="00405201"/>
    <w:rsid w:val="00405410"/>
    <w:rsid w:val="00405665"/>
    <w:rsid w:val="00405B98"/>
    <w:rsid w:val="00405C9F"/>
    <w:rsid w:val="004061A1"/>
    <w:rsid w:val="004068FF"/>
    <w:rsid w:val="00406E09"/>
    <w:rsid w:val="00410021"/>
    <w:rsid w:val="004104E7"/>
    <w:rsid w:val="00411276"/>
    <w:rsid w:val="0041188F"/>
    <w:rsid w:val="00412250"/>
    <w:rsid w:val="0041231F"/>
    <w:rsid w:val="00412328"/>
    <w:rsid w:val="00412606"/>
    <w:rsid w:val="00412873"/>
    <w:rsid w:val="00412AA1"/>
    <w:rsid w:val="00413610"/>
    <w:rsid w:val="0041395C"/>
    <w:rsid w:val="004141CF"/>
    <w:rsid w:val="0041457C"/>
    <w:rsid w:val="00414699"/>
    <w:rsid w:val="00414786"/>
    <w:rsid w:val="00414891"/>
    <w:rsid w:val="0041497C"/>
    <w:rsid w:val="004165B4"/>
    <w:rsid w:val="00416C77"/>
    <w:rsid w:val="004170D2"/>
    <w:rsid w:val="00417DC1"/>
    <w:rsid w:val="00417E43"/>
    <w:rsid w:val="004203AA"/>
    <w:rsid w:val="00421333"/>
    <w:rsid w:val="0042159A"/>
    <w:rsid w:val="00421D00"/>
    <w:rsid w:val="00421D34"/>
    <w:rsid w:val="00422642"/>
    <w:rsid w:val="004229EC"/>
    <w:rsid w:val="00422E0D"/>
    <w:rsid w:val="0042311F"/>
    <w:rsid w:val="00423AE3"/>
    <w:rsid w:val="0042410A"/>
    <w:rsid w:val="00424672"/>
    <w:rsid w:val="00424C1F"/>
    <w:rsid w:val="00424E08"/>
    <w:rsid w:val="0042507B"/>
    <w:rsid w:val="00425335"/>
    <w:rsid w:val="00425556"/>
    <w:rsid w:val="00425613"/>
    <w:rsid w:val="00425DC6"/>
    <w:rsid w:val="00425E8E"/>
    <w:rsid w:val="00425F02"/>
    <w:rsid w:val="004261A1"/>
    <w:rsid w:val="004268C0"/>
    <w:rsid w:val="004273F8"/>
    <w:rsid w:val="004279FE"/>
    <w:rsid w:val="00427AFF"/>
    <w:rsid w:val="00427E6F"/>
    <w:rsid w:val="004300A6"/>
    <w:rsid w:val="004301D2"/>
    <w:rsid w:val="004307ED"/>
    <w:rsid w:val="004308F8"/>
    <w:rsid w:val="0043123E"/>
    <w:rsid w:val="004312B5"/>
    <w:rsid w:val="00431791"/>
    <w:rsid w:val="00432347"/>
    <w:rsid w:val="00432883"/>
    <w:rsid w:val="00432ED6"/>
    <w:rsid w:val="0043317C"/>
    <w:rsid w:val="00433F6D"/>
    <w:rsid w:val="0043414F"/>
    <w:rsid w:val="00434BBF"/>
    <w:rsid w:val="00434FE5"/>
    <w:rsid w:val="004353CE"/>
    <w:rsid w:val="00436497"/>
    <w:rsid w:val="004368E2"/>
    <w:rsid w:val="004369FC"/>
    <w:rsid w:val="00436BED"/>
    <w:rsid w:val="00436ECF"/>
    <w:rsid w:val="004370BD"/>
    <w:rsid w:val="0043719C"/>
    <w:rsid w:val="00437244"/>
    <w:rsid w:val="0043725E"/>
    <w:rsid w:val="00437840"/>
    <w:rsid w:val="0044014A"/>
    <w:rsid w:val="004405AE"/>
    <w:rsid w:val="00441859"/>
    <w:rsid w:val="00441BA7"/>
    <w:rsid w:val="00441E87"/>
    <w:rsid w:val="00442120"/>
    <w:rsid w:val="00442CE8"/>
    <w:rsid w:val="004430B8"/>
    <w:rsid w:val="00443457"/>
    <w:rsid w:val="00443570"/>
    <w:rsid w:val="00443D98"/>
    <w:rsid w:val="00444806"/>
    <w:rsid w:val="00444D5D"/>
    <w:rsid w:val="0044586D"/>
    <w:rsid w:val="00445B8A"/>
    <w:rsid w:val="0044662A"/>
    <w:rsid w:val="00446749"/>
    <w:rsid w:val="00446A60"/>
    <w:rsid w:val="00446A90"/>
    <w:rsid w:val="00446CC8"/>
    <w:rsid w:val="004470C6"/>
    <w:rsid w:val="0044721C"/>
    <w:rsid w:val="004472E5"/>
    <w:rsid w:val="004473AD"/>
    <w:rsid w:val="004477A5"/>
    <w:rsid w:val="00447B72"/>
    <w:rsid w:val="00447E60"/>
    <w:rsid w:val="00450126"/>
    <w:rsid w:val="00450C9B"/>
    <w:rsid w:val="00451613"/>
    <w:rsid w:val="00451817"/>
    <w:rsid w:val="00451E11"/>
    <w:rsid w:val="00452042"/>
    <w:rsid w:val="004525EA"/>
    <w:rsid w:val="0045266E"/>
    <w:rsid w:val="00452713"/>
    <w:rsid w:val="00452D19"/>
    <w:rsid w:val="00452FEE"/>
    <w:rsid w:val="00453336"/>
    <w:rsid w:val="004537D3"/>
    <w:rsid w:val="0045380F"/>
    <w:rsid w:val="00453B3A"/>
    <w:rsid w:val="00453EAD"/>
    <w:rsid w:val="004554B3"/>
    <w:rsid w:val="00455660"/>
    <w:rsid w:val="004556E8"/>
    <w:rsid w:val="00455A74"/>
    <w:rsid w:val="00455DD3"/>
    <w:rsid w:val="00456908"/>
    <w:rsid w:val="00457944"/>
    <w:rsid w:val="00457DD0"/>
    <w:rsid w:val="00460943"/>
    <w:rsid w:val="00460E4B"/>
    <w:rsid w:val="00461383"/>
    <w:rsid w:val="00461F8B"/>
    <w:rsid w:val="00462229"/>
    <w:rsid w:val="00462BA9"/>
    <w:rsid w:val="0046384F"/>
    <w:rsid w:val="00463A3E"/>
    <w:rsid w:val="00463C90"/>
    <w:rsid w:val="00463EDD"/>
    <w:rsid w:val="0046431B"/>
    <w:rsid w:val="00464362"/>
    <w:rsid w:val="00465288"/>
    <w:rsid w:val="004656EA"/>
    <w:rsid w:val="00465EBA"/>
    <w:rsid w:val="00466017"/>
    <w:rsid w:val="004665A6"/>
    <w:rsid w:val="004665A8"/>
    <w:rsid w:val="004667AD"/>
    <w:rsid w:val="00466A81"/>
    <w:rsid w:val="00466DCA"/>
    <w:rsid w:val="00467389"/>
    <w:rsid w:val="004673BB"/>
    <w:rsid w:val="0046778D"/>
    <w:rsid w:val="00470425"/>
    <w:rsid w:val="00470714"/>
    <w:rsid w:val="00470ABB"/>
    <w:rsid w:val="00470BEF"/>
    <w:rsid w:val="00470F7B"/>
    <w:rsid w:val="004710B2"/>
    <w:rsid w:val="00471636"/>
    <w:rsid w:val="004717A6"/>
    <w:rsid w:val="0047212F"/>
    <w:rsid w:val="00472BC8"/>
    <w:rsid w:val="00473366"/>
    <w:rsid w:val="004738B9"/>
    <w:rsid w:val="00473955"/>
    <w:rsid w:val="0047419F"/>
    <w:rsid w:val="00474CD4"/>
    <w:rsid w:val="00474F84"/>
    <w:rsid w:val="00475082"/>
    <w:rsid w:val="0047514E"/>
    <w:rsid w:val="0047517E"/>
    <w:rsid w:val="0047520B"/>
    <w:rsid w:val="00475672"/>
    <w:rsid w:val="00475F08"/>
    <w:rsid w:val="00476076"/>
    <w:rsid w:val="004763E3"/>
    <w:rsid w:val="0047669C"/>
    <w:rsid w:val="00476D59"/>
    <w:rsid w:val="00477191"/>
    <w:rsid w:val="004804EA"/>
    <w:rsid w:val="00480BA3"/>
    <w:rsid w:val="00481595"/>
    <w:rsid w:val="00481A3F"/>
    <w:rsid w:val="00481B8F"/>
    <w:rsid w:val="00481CDB"/>
    <w:rsid w:val="00481E83"/>
    <w:rsid w:val="00481EE1"/>
    <w:rsid w:val="00481FA1"/>
    <w:rsid w:val="00482247"/>
    <w:rsid w:val="00482364"/>
    <w:rsid w:val="00482392"/>
    <w:rsid w:val="004824DB"/>
    <w:rsid w:val="0048282F"/>
    <w:rsid w:val="00482D02"/>
    <w:rsid w:val="00483012"/>
    <w:rsid w:val="00483068"/>
    <w:rsid w:val="00483319"/>
    <w:rsid w:val="0048342B"/>
    <w:rsid w:val="00483760"/>
    <w:rsid w:val="004848CE"/>
    <w:rsid w:val="00484EA2"/>
    <w:rsid w:val="004852F1"/>
    <w:rsid w:val="00486035"/>
    <w:rsid w:val="004862A9"/>
    <w:rsid w:val="00486417"/>
    <w:rsid w:val="0048679E"/>
    <w:rsid w:val="0048749A"/>
    <w:rsid w:val="004879EA"/>
    <w:rsid w:val="00487C41"/>
    <w:rsid w:val="00487D16"/>
    <w:rsid w:val="00487F6C"/>
    <w:rsid w:val="0049005D"/>
    <w:rsid w:val="0049085B"/>
    <w:rsid w:val="00490891"/>
    <w:rsid w:val="0049127A"/>
    <w:rsid w:val="00491AEC"/>
    <w:rsid w:val="00491C14"/>
    <w:rsid w:val="004926CD"/>
    <w:rsid w:val="004928E9"/>
    <w:rsid w:val="0049292D"/>
    <w:rsid w:val="00492D47"/>
    <w:rsid w:val="00493788"/>
    <w:rsid w:val="004938AA"/>
    <w:rsid w:val="004939B7"/>
    <w:rsid w:val="00493AD8"/>
    <w:rsid w:val="00493B74"/>
    <w:rsid w:val="00493E9E"/>
    <w:rsid w:val="004941A3"/>
    <w:rsid w:val="00494581"/>
    <w:rsid w:val="00494D9D"/>
    <w:rsid w:val="00495092"/>
    <w:rsid w:val="0049535D"/>
    <w:rsid w:val="00495B0A"/>
    <w:rsid w:val="00495B7E"/>
    <w:rsid w:val="00495CA3"/>
    <w:rsid w:val="00495DDD"/>
    <w:rsid w:val="00496B83"/>
    <w:rsid w:val="00497241"/>
    <w:rsid w:val="004975FD"/>
    <w:rsid w:val="0049794D"/>
    <w:rsid w:val="00497A31"/>
    <w:rsid w:val="00497A52"/>
    <w:rsid w:val="00497B55"/>
    <w:rsid w:val="00497B66"/>
    <w:rsid w:val="00497CA8"/>
    <w:rsid w:val="00497CF1"/>
    <w:rsid w:val="004A0437"/>
    <w:rsid w:val="004A08C3"/>
    <w:rsid w:val="004A0977"/>
    <w:rsid w:val="004A0A0A"/>
    <w:rsid w:val="004A1647"/>
    <w:rsid w:val="004A1EF7"/>
    <w:rsid w:val="004A2444"/>
    <w:rsid w:val="004A244A"/>
    <w:rsid w:val="004A2552"/>
    <w:rsid w:val="004A28EF"/>
    <w:rsid w:val="004A2924"/>
    <w:rsid w:val="004A2995"/>
    <w:rsid w:val="004A2D55"/>
    <w:rsid w:val="004A2DA9"/>
    <w:rsid w:val="004A3402"/>
    <w:rsid w:val="004A432F"/>
    <w:rsid w:val="004A43DD"/>
    <w:rsid w:val="004A4730"/>
    <w:rsid w:val="004A475C"/>
    <w:rsid w:val="004A530B"/>
    <w:rsid w:val="004A565C"/>
    <w:rsid w:val="004A5743"/>
    <w:rsid w:val="004A5745"/>
    <w:rsid w:val="004A6267"/>
    <w:rsid w:val="004A641D"/>
    <w:rsid w:val="004A657E"/>
    <w:rsid w:val="004A66EB"/>
    <w:rsid w:val="004A6EC2"/>
    <w:rsid w:val="004A6F44"/>
    <w:rsid w:val="004A793B"/>
    <w:rsid w:val="004A798B"/>
    <w:rsid w:val="004A7C69"/>
    <w:rsid w:val="004B000C"/>
    <w:rsid w:val="004B0458"/>
    <w:rsid w:val="004B0CAD"/>
    <w:rsid w:val="004B0E64"/>
    <w:rsid w:val="004B134D"/>
    <w:rsid w:val="004B13D4"/>
    <w:rsid w:val="004B1447"/>
    <w:rsid w:val="004B1697"/>
    <w:rsid w:val="004B1D88"/>
    <w:rsid w:val="004B201D"/>
    <w:rsid w:val="004B2218"/>
    <w:rsid w:val="004B2399"/>
    <w:rsid w:val="004B2786"/>
    <w:rsid w:val="004B360D"/>
    <w:rsid w:val="004B3B0B"/>
    <w:rsid w:val="004B3BB9"/>
    <w:rsid w:val="004B3DB2"/>
    <w:rsid w:val="004B477C"/>
    <w:rsid w:val="004B4C0A"/>
    <w:rsid w:val="004B4F65"/>
    <w:rsid w:val="004B55C2"/>
    <w:rsid w:val="004B5661"/>
    <w:rsid w:val="004B58B5"/>
    <w:rsid w:val="004B59D7"/>
    <w:rsid w:val="004B65AC"/>
    <w:rsid w:val="004B6802"/>
    <w:rsid w:val="004B72E3"/>
    <w:rsid w:val="004B75F2"/>
    <w:rsid w:val="004B769F"/>
    <w:rsid w:val="004B7980"/>
    <w:rsid w:val="004C0030"/>
    <w:rsid w:val="004C0615"/>
    <w:rsid w:val="004C0B19"/>
    <w:rsid w:val="004C0CD8"/>
    <w:rsid w:val="004C11E0"/>
    <w:rsid w:val="004C1C9B"/>
    <w:rsid w:val="004C1DAB"/>
    <w:rsid w:val="004C1F27"/>
    <w:rsid w:val="004C1F2F"/>
    <w:rsid w:val="004C22A9"/>
    <w:rsid w:val="004C29F3"/>
    <w:rsid w:val="004C38F4"/>
    <w:rsid w:val="004C4D76"/>
    <w:rsid w:val="004C669D"/>
    <w:rsid w:val="004C67C1"/>
    <w:rsid w:val="004C6BEA"/>
    <w:rsid w:val="004C743F"/>
    <w:rsid w:val="004C76E9"/>
    <w:rsid w:val="004D0001"/>
    <w:rsid w:val="004D0473"/>
    <w:rsid w:val="004D08D1"/>
    <w:rsid w:val="004D16F0"/>
    <w:rsid w:val="004D1743"/>
    <w:rsid w:val="004D17BE"/>
    <w:rsid w:val="004D1AE1"/>
    <w:rsid w:val="004D1E08"/>
    <w:rsid w:val="004D22AF"/>
    <w:rsid w:val="004D2A15"/>
    <w:rsid w:val="004D2F82"/>
    <w:rsid w:val="004D2FCB"/>
    <w:rsid w:val="004D3251"/>
    <w:rsid w:val="004D399C"/>
    <w:rsid w:val="004D3CB6"/>
    <w:rsid w:val="004D3E5B"/>
    <w:rsid w:val="004D3FDF"/>
    <w:rsid w:val="004D4086"/>
    <w:rsid w:val="004D4662"/>
    <w:rsid w:val="004D4916"/>
    <w:rsid w:val="004D4A15"/>
    <w:rsid w:val="004D4B6C"/>
    <w:rsid w:val="004D4E56"/>
    <w:rsid w:val="004D5384"/>
    <w:rsid w:val="004D54F9"/>
    <w:rsid w:val="004D5BF9"/>
    <w:rsid w:val="004D6100"/>
    <w:rsid w:val="004D6341"/>
    <w:rsid w:val="004D645B"/>
    <w:rsid w:val="004D69B5"/>
    <w:rsid w:val="004D7486"/>
    <w:rsid w:val="004D7F14"/>
    <w:rsid w:val="004D7F45"/>
    <w:rsid w:val="004E01D5"/>
    <w:rsid w:val="004E0474"/>
    <w:rsid w:val="004E0537"/>
    <w:rsid w:val="004E0549"/>
    <w:rsid w:val="004E1328"/>
    <w:rsid w:val="004E140B"/>
    <w:rsid w:val="004E17F8"/>
    <w:rsid w:val="004E1BA0"/>
    <w:rsid w:val="004E1D5F"/>
    <w:rsid w:val="004E24B6"/>
    <w:rsid w:val="004E2C57"/>
    <w:rsid w:val="004E3282"/>
    <w:rsid w:val="004E3A99"/>
    <w:rsid w:val="004E3BD1"/>
    <w:rsid w:val="004E3BF7"/>
    <w:rsid w:val="004E3DB0"/>
    <w:rsid w:val="004E484C"/>
    <w:rsid w:val="004E4881"/>
    <w:rsid w:val="004E4C83"/>
    <w:rsid w:val="004E4DA9"/>
    <w:rsid w:val="004E4F61"/>
    <w:rsid w:val="004E56FB"/>
    <w:rsid w:val="004E5CA0"/>
    <w:rsid w:val="004E5D95"/>
    <w:rsid w:val="004E611B"/>
    <w:rsid w:val="004E6389"/>
    <w:rsid w:val="004E6583"/>
    <w:rsid w:val="004E6762"/>
    <w:rsid w:val="004E6CF7"/>
    <w:rsid w:val="004E7054"/>
    <w:rsid w:val="004E7482"/>
    <w:rsid w:val="004E750B"/>
    <w:rsid w:val="004F0096"/>
    <w:rsid w:val="004F0881"/>
    <w:rsid w:val="004F08DE"/>
    <w:rsid w:val="004F0C68"/>
    <w:rsid w:val="004F0ED7"/>
    <w:rsid w:val="004F0FFF"/>
    <w:rsid w:val="004F1765"/>
    <w:rsid w:val="004F1CD4"/>
    <w:rsid w:val="004F244C"/>
    <w:rsid w:val="004F28F7"/>
    <w:rsid w:val="004F2C7B"/>
    <w:rsid w:val="004F350A"/>
    <w:rsid w:val="004F3CB2"/>
    <w:rsid w:val="004F43E2"/>
    <w:rsid w:val="004F482A"/>
    <w:rsid w:val="004F4FC9"/>
    <w:rsid w:val="004F512E"/>
    <w:rsid w:val="004F5E66"/>
    <w:rsid w:val="004F6366"/>
    <w:rsid w:val="004F64A2"/>
    <w:rsid w:val="004F653D"/>
    <w:rsid w:val="004F6613"/>
    <w:rsid w:val="004F66D6"/>
    <w:rsid w:val="004F6F1A"/>
    <w:rsid w:val="004F6FEF"/>
    <w:rsid w:val="004F711C"/>
    <w:rsid w:val="004F715C"/>
    <w:rsid w:val="004F71C8"/>
    <w:rsid w:val="004F7D0F"/>
    <w:rsid w:val="005002E4"/>
    <w:rsid w:val="00500512"/>
    <w:rsid w:val="0050089D"/>
    <w:rsid w:val="00500A12"/>
    <w:rsid w:val="00500B4E"/>
    <w:rsid w:val="005019A0"/>
    <w:rsid w:val="00501A4F"/>
    <w:rsid w:val="005023BF"/>
    <w:rsid w:val="00502818"/>
    <w:rsid w:val="00502AB8"/>
    <w:rsid w:val="00502EEA"/>
    <w:rsid w:val="00502FD1"/>
    <w:rsid w:val="00503060"/>
    <w:rsid w:val="00503246"/>
    <w:rsid w:val="0050332E"/>
    <w:rsid w:val="005037A8"/>
    <w:rsid w:val="00503992"/>
    <w:rsid w:val="00503AA6"/>
    <w:rsid w:val="00503C8B"/>
    <w:rsid w:val="00504149"/>
    <w:rsid w:val="00504346"/>
    <w:rsid w:val="00504401"/>
    <w:rsid w:val="00504A21"/>
    <w:rsid w:val="00504D06"/>
    <w:rsid w:val="00504DF5"/>
    <w:rsid w:val="005051E7"/>
    <w:rsid w:val="005056FC"/>
    <w:rsid w:val="00505CB6"/>
    <w:rsid w:val="005063F4"/>
    <w:rsid w:val="00506A3A"/>
    <w:rsid w:val="00506B21"/>
    <w:rsid w:val="00506E40"/>
    <w:rsid w:val="0050722A"/>
    <w:rsid w:val="0051058A"/>
    <w:rsid w:val="00510BC0"/>
    <w:rsid w:val="00510CEC"/>
    <w:rsid w:val="00511096"/>
    <w:rsid w:val="00511189"/>
    <w:rsid w:val="005111ED"/>
    <w:rsid w:val="0051139A"/>
    <w:rsid w:val="005115E9"/>
    <w:rsid w:val="00511774"/>
    <w:rsid w:val="005117DB"/>
    <w:rsid w:val="0051234D"/>
    <w:rsid w:val="005128C5"/>
    <w:rsid w:val="005128D8"/>
    <w:rsid w:val="0051321B"/>
    <w:rsid w:val="00513676"/>
    <w:rsid w:val="00513949"/>
    <w:rsid w:val="005139BD"/>
    <w:rsid w:val="00513A82"/>
    <w:rsid w:val="00514167"/>
    <w:rsid w:val="005141DD"/>
    <w:rsid w:val="00514952"/>
    <w:rsid w:val="0051500B"/>
    <w:rsid w:val="0051595C"/>
    <w:rsid w:val="00515D51"/>
    <w:rsid w:val="00516344"/>
    <w:rsid w:val="00516B38"/>
    <w:rsid w:val="00516EE2"/>
    <w:rsid w:val="0051711F"/>
    <w:rsid w:val="0051738A"/>
    <w:rsid w:val="0051783C"/>
    <w:rsid w:val="00517844"/>
    <w:rsid w:val="00517EBB"/>
    <w:rsid w:val="00517FBF"/>
    <w:rsid w:val="00520026"/>
    <w:rsid w:val="00520595"/>
    <w:rsid w:val="00520BF5"/>
    <w:rsid w:val="00520C4B"/>
    <w:rsid w:val="00521144"/>
    <w:rsid w:val="005215D5"/>
    <w:rsid w:val="00521619"/>
    <w:rsid w:val="00521B32"/>
    <w:rsid w:val="00521CE6"/>
    <w:rsid w:val="0052246A"/>
    <w:rsid w:val="0052265F"/>
    <w:rsid w:val="00522FDB"/>
    <w:rsid w:val="00523206"/>
    <w:rsid w:val="00523431"/>
    <w:rsid w:val="00523965"/>
    <w:rsid w:val="00523B53"/>
    <w:rsid w:val="0052413B"/>
    <w:rsid w:val="005243FD"/>
    <w:rsid w:val="00524F19"/>
    <w:rsid w:val="00524FB2"/>
    <w:rsid w:val="0052511E"/>
    <w:rsid w:val="0052537A"/>
    <w:rsid w:val="0052564F"/>
    <w:rsid w:val="005257A7"/>
    <w:rsid w:val="00525C7E"/>
    <w:rsid w:val="00525E73"/>
    <w:rsid w:val="00525E84"/>
    <w:rsid w:val="00526088"/>
    <w:rsid w:val="00526777"/>
    <w:rsid w:val="005268ED"/>
    <w:rsid w:val="00526A6E"/>
    <w:rsid w:val="00527C71"/>
    <w:rsid w:val="00530256"/>
    <w:rsid w:val="0053046E"/>
    <w:rsid w:val="00530EE0"/>
    <w:rsid w:val="00531096"/>
    <w:rsid w:val="00531447"/>
    <w:rsid w:val="00531CCD"/>
    <w:rsid w:val="00531E68"/>
    <w:rsid w:val="00531EED"/>
    <w:rsid w:val="00532133"/>
    <w:rsid w:val="0053221F"/>
    <w:rsid w:val="00532F47"/>
    <w:rsid w:val="0053384F"/>
    <w:rsid w:val="00533E2C"/>
    <w:rsid w:val="00534333"/>
    <w:rsid w:val="00534366"/>
    <w:rsid w:val="00535DDA"/>
    <w:rsid w:val="0053624C"/>
    <w:rsid w:val="0053652E"/>
    <w:rsid w:val="00536807"/>
    <w:rsid w:val="00536BF3"/>
    <w:rsid w:val="00536FBE"/>
    <w:rsid w:val="00537603"/>
    <w:rsid w:val="00537D9D"/>
    <w:rsid w:val="00537EA0"/>
    <w:rsid w:val="00537EB0"/>
    <w:rsid w:val="00537F0C"/>
    <w:rsid w:val="00540369"/>
    <w:rsid w:val="0054039D"/>
    <w:rsid w:val="005404CC"/>
    <w:rsid w:val="005407A1"/>
    <w:rsid w:val="00540C29"/>
    <w:rsid w:val="00541495"/>
    <w:rsid w:val="00541AC2"/>
    <w:rsid w:val="005428C8"/>
    <w:rsid w:val="00542D07"/>
    <w:rsid w:val="00542E01"/>
    <w:rsid w:val="005430E1"/>
    <w:rsid w:val="00543108"/>
    <w:rsid w:val="005432FC"/>
    <w:rsid w:val="00543530"/>
    <w:rsid w:val="00543725"/>
    <w:rsid w:val="00543DF0"/>
    <w:rsid w:val="00544104"/>
    <w:rsid w:val="00545238"/>
    <w:rsid w:val="00545658"/>
    <w:rsid w:val="0054595B"/>
    <w:rsid w:val="005459F4"/>
    <w:rsid w:val="005461FF"/>
    <w:rsid w:val="00546F1E"/>
    <w:rsid w:val="00547913"/>
    <w:rsid w:val="00547D71"/>
    <w:rsid w:val="00550139"/>
    <w:rsid w:val="005509EC"/>
    <w:rsid w:val="00550B7F"/>
    <w:rsid w:val="00550BB3"/>
    <w:rsid w:val="00551503"/>
    <w:rsid w:val="00551594"/>
    <w:rsid w:val="005520B2"/>
    <w:rsid w:val="005523E5"/>
    <w:rsid w:val="005524E7"/>
    <w:rsid w:val="00554127"/>
    <w:rsid w:val="005541CC"/>
    <w:rsid w:val="00554283"/>
    <w:rsid w:val="0055429F"/>
    <w:rsid w:val="00554619"/>
    <w:rsid w:val="005546E4"/>
    <w:rsid w:val="00554774"/>
    <w:rsid w:val="0055485B"/>
    <w:rsid w:val="0055499C"/>
    <w:rsid w:val="005557C9"/>
    <w:rsid w:val="00555EF2"/>
    <w:rsid w:val="00556EE1"/>
    <w:rsid w:val="0055714C"/>
    <w:rsid w:val="005575F2"/>
    <w:rsid w:val="005579B6"/>
    <w:rsid w:val="00557AC9"/>
    <w:rsid w:val="00557DE3"/>
    <w:rsid w:val="005607B4"/>
    <w:rsid w:val="00560A97"/>
    <w:rsid w:val="00560CC4"/>
    <w:rsid w:val="00560EB7"/>
    <w:rsid w:val="005617F4"/>
    <w:rsid w:val="00561A14"/>
    <w:rsid w:val="005627B4"/>
    <w:rsid w:val="00562B62"/>
    <w:rsid w:val="00562C99"/>
    <w:rsid w:val="00562D29"/>
    <w:rsid w:val="005632CF"/>
    <w:rsid w:val="00563A1C"/>
    <w:rsid w:val="0056422A"/>
    <w:rsid w:val="00564263"/>
    <w:rsid w:val="00564327"/>
    <w:rsid w:val="00564778"/>
    <w:rsid w:val="00564CB1"/>
    <w:rsid w:val="00564DF0"/>
    <w:rsid w:val="00564F26"/>
    <w:rsid w:val="00565787"/>
    <w:rsid w:val="00565825"/>
    <w:rsid w:val="005658D5"/>
    <w:rsid w:val="00565E89"/>
    <w:rsid w:val="0056608C"/>
    <w:rsid w:val="005660F1"/>
    <w:rsid w:val="00566495"/>
    <w:rsid w:val="005667E7"/>
    <w:rsid w:val="005668C0"/>
    <w:rsid w:val="00566E4F"/>
    <w:rsid w:val="005670CD"/>
    <w:rsid w:val="00570A2C"/>
    <w:rsid w:val="00570E44"/>
    <w:rsid w:val="005711C2"/>
    <w:rsid w:val="00571A9A"/>
    <w:rsid w:val="00571B29"/>
    <w:rsid w:val="00571EDD"/>
    <w:rsid w:val="00572284"/>
    <w:rsid w:val="005724F5"/>
    <w:rsid w:val="005727D7"/>
    <w:rsid w:val="0057287C"/>
    <w:rsid w:val="00572BC2"/>
    <w:rsid w:val="00572F2E"/>
    <w:rsid w:val="00573088"/>
    <w:rsid w:val="0057373E"/>
    <w:rsid w:val="0057471E"/>
    <w:rsid w:val="00574C05"/>
    <w:rsid w:val="00575754"/>
    <w:rsid w:val="00575765"/>
    <w:rsid w:val="00575ACE"/>
    <w:rsid w:val="00575CEF"/>
    <w:rsid w:val="00575D67"/>
    <w:rsid w:val="005772D6"/>
    <w:rsid w:val="00577A08"/>
    <w:rsid w:val="00580012"/>
    <w:rsid w:val="0058030E"/>
    <w:rsid w:val="00580645"/>
    <w:rsid w:val="0058097F"/>
    <w:rsid w:val="00580C1F"/>
    <w:rsid w:val="005817C5"/>
    <w:rsid w:val="00582928"/>
    <w:rsid w:val="00584D64"/>
    <w:rsid w:val="00584E6E"/>
    <w:rsid w:val="00584EA9"/>
    <w:rsid w:val="00585404"/>
    <w:rsid w:val="0058596D"/>
    <w:rsid w:val="00585AF7"/>
    <w:rsid w:val="00585DE3"/>
    <w:rsid w:val="00585E81"/>
    <w:rsid w:val="00586DC3"/>
    <w:rsid w:val="0058710B"/>
    <w:rsid w:val="00587357"/>
    <w:rsid w:val="005873A5"/>
    <w:rsid w:val="00587422"/>
    <w:rsid w:val="005877E1"/>
    <w:rsid w:val="00587F1B"/>
    <w:rsid w:val="005900FF"/>
    <w:rsid w:val="0059073D"/>
    <w:rsid w:val="005914C8"/>
    <w:rsid w:val="005915B9"/>
    <w:rsid w:val="005916A9"/>
    <w:rsid w:val="00591BB3"/>
    <w:rsid w:val="0059210E"/>
    <w:rsid w:val="005924C9"/>
    <w:rsid w:val="005929E7"/>
    <w:rsid w:val="00592EA4"/>
    <w:rsid w:val="005930DB"/>
    <w:rsid w:val="00593149"/>
    <w:rsid w:val="005933B4"/>
    <w:rsid w:val="00593790"/>
    <w:rsid w:val="00593F5B"/>
    <w:rsid w:val="00594852"/>
    <w:rsid w:val="00594B5D"/>
    <w:rsid w:val="005951C1"/>
    <w:rsid w:val="00595636"/>
    <w:rsid w:val="00596049"/>
    <w:rsid w:val="00596298"/>
    <w:rsid w:val="0059644B"/>
    <w:rsid w:val="00597671"/>
    <w:rsid w:val="005A0565"/>
    <w:rsid w:val="005A0C94"/>
    <w:rsid w:val="005A1566"/>
    <w:rsid w:val="005A1769"/>
    <w:rsid w:val="005A1E16"/>
    <w:rsid w:val="005A2B6F"/>
    <w:rsid w:val="005A2F6B"/>
    <w:rsid w:val="005A37B8"/>
    <w:rsid w:val="005A390E"/>
    <w:rsid w:val="005A3BBD"/>
    <w:rsid w:val="005A441F"/>
    <w:rsid w:val="005A44CD"/>
    <w:rsid w:val="005A4DD6"/>
    <w:rsid w:val="005A536A"/>
    <w:rsid w:val="005A54AE"/>
    <w:rsid w:val="005A5709"/>
    <w:rsid w:val="005A57D0"/>
    <w:rsid w:val="005A5A0E"/>
    <w:rsid w:val="005A5C0A"/>
    <w:rsid w:val="005A6199"/>
    <w:rsid w:val="005A662A"/>
    <w:rsid w:val="005A6FF1"/>
    <w:rsid w:val="005A70FA"/>
    <w:rsid w:val="005B00A9"/>
    <w:rsid w:val="005B01A8"/>
    <w:rsid w:val="005B0A08"/>
    <w:rsid w:val="005B0B16"/>
    <w:rsid w:val="005B0C4B"/>
    <w:rsid w:val="005B12F9"/>
    <w:rsid w:val="005B1C62"/>
    <w:rsid w:val="005B1D6D"/>
    <w:rsid w:val="005B25C0"/>
    <w:rsid w:val="005B2956"/>
    <w:rsid w:val="005B2B21"/>
    <w:rsid w:val="005B3839"/>
    <w:rsid w:val="005B3CC8"/>
    <w:rsid w:val="005B3D88"/>
    <w:rsid w:val="005B461A"/>
    <w:rsid w:val="005B46EB"/>
    <w:rsid w:val="005B4782"/>
    <w:rsid w:val="005B4D7C"/>
    <w:rsid w:val="005B5073"/>
    <w:rsid w:val="005B5B5A"/>
    <w:rsid w:val="005B5CDF"/>
    <w:rsid w:val="005B5EA6"/>
    <w:rsid w:val="005B6248"/>
    <w:rsid w:val="005B65E5"/>
    <w:rsid w:val="005B6BA6"/>
    <w:rsid w:val="005B717F"/>
    <w:rsid w:val="005B72FC"/>
    <w:rsid w:val="005B7A85"/>
    <w:rsid w:val="005B7AA5"/>
    <w:rsid w:val="005B7BE4"/>
    <w:rsid w:val="005C0EA4"/>
    <w:rsid w:val="005C0EF9"/>
    <w:rsid w:val="005C0F89"/>
    <w:rsid w:val="005C18D8"/>
    <w:rsid w:val="005C1E4B"/>
    <w:rsid w:val="005C26B1"/>
    <w:rsid w:val="005C2D50"/>
    <w:rsid w:val="005C2E80"/>
    <w:rsid w:val="005C3228"/>
    <w:rsid w:val="005C3373"/>
    <w:rsid w:val="005C3484"/>
    <w:rsid w:val="005C3657"/>
    <w:rsid w:val="005C3AA7"/>
    <w:rsid w:val="005C3C4D"/>
    <w:rsid w:val="005C3CD0"/>
    <w:rsid w:val="005C3EDA"/>
    <w:rsid w:val="005C46AC"/>
    <w:rsid w:val="005C5107"/>
    <w:rsid w:val="005C517C"/>
    <w:rsid w:val="005C599B"/>
    <w:rsid w:val="005C5FC8"/>
    <w:rsid w:val="005C705B"/>
    <w:rsid w:val="005C71AF"/>
    <w:rsid w:val="005C7947"/>
    <w:rsid w:val="005C7F64"/>
    <w:rsid w:val="005D0325"/>
    <w:rsid w:val="005D0502"/>
    <w:rsid w:val="005D0B52"/>
    <w:rsid w:val="005D0DE0"/>
    <w:rsid w:val="005D0DE8"/>
    <w:rsid w:val="005D1A6A"/>
    <w:rsid w:val="005D255F"/>
    <w:rsid w:val="005D29B2"/>
    <w:rsid w:val="005D2DCD"/>
    <w:rsid w:val="005D2ED4"/>
    <w:rsid w:val="005D3079"/>
    <w:rsid w:val="005D3F89"/>
    <w:rsid w:val="005D423F"/>
    <w:rsid w:val="005D42E9"/>
    <w:rsid w:val="005D437C"/>
    <w:rsid w:val="005D458F"/>
    <w:rsid w:val="005D4973"/>
    <w:rsid w:val="005D51F3"/>
    <w:rsid w:val="005D54DC"/>
    <w:rsid w:val="005D5820"/>
    <w:rsid w:val="005D5C09"/>
    <w:rsid w:val="005D5E36"/>
    <w:rsid w:val="005D60FF"/>
    <w:rsid w:val="005D6377"/>
    <w:rsid w:val="005D6AAC"/>
    <w:rsid w:val="005D6FFA"/>
    <w:rsid w:val="005D72E3"/>
    <w:rsid w:val="005D736D"/>
    <w:rsid w:val="005D7441"/>
    <w:rsid w:val="005D78F7"/>
    <w:rsid w:val="005D7AEF"/>
    <w:rsid w:val="005D7D06"/>
    <w:rsid w:val="005D7F12"/>
    <w:rsid w:val="005D7FE5"/>
    <w:rsid w:val="005E06AE"/>
    <w:rsid w:val="005E10A4"/>
    <w:rsid w:val="005E12AE"/>
    <w:rsid w:val="005E1441"/>
    <w:rsid w:val="005E17BF"/>
    <w:rsid w:val="005E17E3"/>
    <w:rsid w:val="005E1875"/>
    <w:rsid w:val="005E1AE9"/>
    <w:rsid w:val="005E210F"/>
    <w:rsid w:val="005E23A7"/>
    <w:rsid w:val="005E27E7"/>
    <w:rsid w:val="005E3261"/>
    <w:rsid w:val="005E354F"/>
    <w:rsid w:val="005E5261"/>
    <w:rsid w:val="005E63A7"/>
    <w:rsid w:val="005E6568"/>
    <w:rsid w:val="005E66DF"/>
    <w:rsid w:val="005E6ACC"/>
    <w:rsid w:val="005E6FEC"/>
    <w:rsid w:val="005E7248"/>
    <w:rsid w:val="005E753A"/>
    <w:rsid w:val="005F01D7"/>
    <w:rsid w:val="005F0262"/>
    <w:rsid w:val="005F03D3"/>
    <w:rsid w:val="005F064D"/>
    <w:rsid w:val="005F0A2B"/>
    <w:rsid w:val="005F0B26"/>
    <w:rsid w:val="005F14BB"/>
    <w:rsid w:val="005F19F2"/>
    <w:rsid w:val="005F1C9A"/>
    <w:rsid w:val="005F228F"/>
    <w:rsid w:val="005F233F"/>
    <w:rsid w:val="005F2A52"/>
    <w:rsid w:val="005F2AB2"/>
    <w:rsid w:val="005F2E99"/>
    <w:rsid w:val="005F2F25"/>
    <w:rsid w:val="005F32D7"/>
    <w:rsid w:val="005F34E3"/>
    <w:rsid w:val="005F353D"/>
    <w:rsid w:val="005F38C7"/>
    <w:rsid w:val="005F3A28"/>
    <w:rsid w:val="005F3B34"/>
    <w:rsid w:val="005F444F"/>
    <w:rsid w:val="005F4E31"/>
    <w:rsid w:val="005F5128"/>
    <w:rsid w:val="005F59B9"/>
    <w:rsid w:val="005F7D36"/>
    <w:rsid w:val="00600DF6"/>
    <w:rsid w:val="0060217C"/>
    <w:rsid w:val="00603016"/>
    <w:rsid w:val="00603259"/>
    <w:rsid w:val="0060371B"/>
    <w:rsid w:val="006039F5"/>
    <w:rsid w:val="00604204"/>
    <w:rsid w:val="00604676"/>
    <w:rsid w:val="00605559"/>
    <w:rsid w:val="00605952"/>
    <w:rsid w:val="00605A29"/>
    <w:rsid w:val="00605DEB"/>
    <w:rsid w:val="0060642A"/>
    <w:rsid w:val="00607E4F"/>
    <w:rsid w:val="00607F65"/>
    <w:rsid w:val="006105E4"/>
    <w:rsid w:val="00610825"/>
    <w:rsid w:val="00610B62"/>
    <w:rsid w:val="00610D95"/>
    <w:rsid w:val="00610F21"/>
    <w:rsid w:val="0061116D"/>
    <w:rsid w:val="0061189C"/>
    <w:rsid w:val="006119BF"/>
    <w:rsid w:val="00611C11"/>
    <w:rsid w:val="00611D75"/>
    <w:rsid w:val="00611DDD"/>
    <w:rsid w:val="00612096"/>
    <w:rsid w:val="006123BD"/>
    <w:rsid w:val="0061365E"/>
    <w:rsid w:val="00613D3B"/>
    <w:rsid w:val="00614330"/>
    <w:rsid w:val="006145AD"/>
    <w:rsid w:val="006149E0"/>
    <w:rsid w:val="00614A96"/>
    <w:rsid w:val="006156D7"/>
    <w:rsid w:val="00615B32"/>
    <w:rsid w:val="00615CA2"/>
    <w:rsid w:val="0061655D"/>
    <w:rsid w:val="006165AA"/>
    <w:rsid w:val="006165ED"/>
    <w:rsid w:val="006168EA"/>
    <w:rsid w:val="00616970"/>
    <w:rsid w:val="006175CE"/>
    <w:rsid w:val="00617B92"/>
    <w:rsid w:val="00617C44"/>
    <w:rsid w:val="00617CA3"/>
    <w:rsid w:val="00620483"/>
    <w:rsid w:val="00621049"/>
    <w:rsid w:val="00621115"/>
    <w:rsid w:val="00621281"/>
    <w:rsid w:val="006214BB"/>
    <w:rsid w:val="006220BF"/>
    <w:rsid w:val="006220CF"/>
    <w:rsid w:val="00622105"/>
    <w:rsid w:val="00622D3A"/>
    <w:rsid w:val="006235D9"/>
    <w:rsid w:val="0062372B"/>
    <w:rsid w:val="00623CA8"/>
    <w:rsid w:val="00624029"/>
    <w:rsid w:val="006242D2"/>
    <w:rsid w:val="00624B3C"/>
    <w:rsid w:val="00624C27"/>
    <w:rsid w:val="00624ED4"/>
    <w:rsid w:val="00626308"/>
    <w:rsid w:val="0062656A"/>
    <w:rsid w:val="00626737"/>
    <w:rsid w:val="00626F2D"/>
    <w:rsid w:val="00627085"/>
    <w:rsid w:val="00627162"/>
    <w:rsid w:val="0062743B"/>
    <w:rsid w:val="0062755E"/>
    <w:rsid w:val="00627953"/>
    <w:rsid w:val="00627997"/>
    <w:rsid w:val="00627D4F"/>
    <w:rsid w:val="0063006A"/>
    <w:rsid w:val="00630361"/>
    <w:rsid w:val="0063080C"/>
    <w:rsid w:val="00630A28"/>
    <w:rsid w:val="00631025"/>
    <w:rsid w:val="006316BB"/>
    <w:rsid w:val="00631D0E"/>
    <w:rsid w:val="006327F2"/>
    <w:rsid w:val="00633812"/>
    <w:rsid w:val="00633A26"/>
    <w:rsid w:val="00633D94"/>
    <w:rsid w:val="00634118"/>
    <w:rsid w:val="00634E5D"/>
    <w:rsid w:val="00634E78"/>
    <w:rsid w:val="00635162"/>
    <w:rsid w:val="006351C5"/>
    <w:rsid w:val="006354CF"/>
    <w:rsid w:val="00635C52"/>
    <w:rsid w:val="006361C8"/>
    <w:rsid w:val="0063656C"/>
    <w:rsid w:val="00636ED0"/>
    <w:rsid w:val="00637248"/>
    <w:rsid w:val="006376FC"/>
    <w:rsid w:val="0063784F"/>
    <w:rsid w:val="00640428"/>
    <w:rsid w:val="0064078E"/>
    <w:rsid w:val="00640820"/>
    <w:rsid w:val="006409F6"/>
    <w:rsid w:val="00640C05"/>
    <w:rsid w:val="00640CA7"/>
    <w:rsid w:val="00640F5C"/>
    <w:rsid w:val="0064102B"/>
    <w:rsid w:val="0064147B"/>
    <w:rsid w:val="006419BF"/>
    <w:rsid w:val="006424EB"/>
    <w:rsid w:val="00642C65"/>
    <w:rsid w:val="00642F87"/>
    <w:rsid w:val="00643633"/>
    <w:rsid w:val="006436E8"/>
    <w:rsid w:val="00643798"/>
    <w:rsid w:val="00643CA5"/>
    <w:rsid w:val="00644581"/>
    <w:rsid w:val="00644779"/>
    <w:rsid w:val="0064598C"/>
    <w:rsid w:val="00645F38"/>
    <w:rsid w:val="00646375"/>
    <w:rsid w:val="006465EB"/>
    <w:rsid w:val="00646C5B"/>
    <w:rsid w:val="00647136"/>
    <w:rsid w:val="006472F3"/>
    <w:rsid w:val="006474B5"/>
    <w:rsid w:val="00650788"/>
    <w:rsid w:val="00650ABE"/>
    <w:rsid w:val="006517C0"/>
    <w:rsid w:val="00651C3A"/>
    <w:rsid w:val="00652BE4"/>
    <w:rsid w:val="00653426"/>
    <w:rsid w:val="006541B4"/>
    <w:rsid w:val="006542BE"/>
    <w:rsid w:val="0065437B"/>
    <w:rsid w:val="006544D9"/>
    <w:rsid w:val="0065488B"/>
    <w:rsid w:val="0065498B"/>
    <w:rsid w:val="00654C24"/>
    <w:rsid w:val="00654E10"/>
    <w:rsid w:val="00654E75"/>
    <w:rsid w:val="00654F82"/>
    <w:rsid w:val="006553EE"/>
    <w:rsid w:val="00655B4E"/>
    <w:rsid w:val="00655FA6"/>
    <w:rsid w:val="00656055"/>
    <w:rsid w:val="006562C7"/>
    <w:rsid w:val="00656501"/>
    <w:rsid w:val="00656504"/>
    <w:rsid w:val="0065659F"/>
    <w:rsid w:val="0065690D"/>
    <w:rsid w:val="0065709F"/>
    <w:rsid w:val="00657238"/>
    <w:rsid w:val="00657348"/>
    <w:rsid w:val="006601B0"/>
    <w:rsid w:val="006604CC"/>
    <w:rsid w:val="0066060A"/>
    <w:rsid w:val="00660656"/>
    <w:rsid w:val="006607EF"/>
    <w:rsid w:val="00660F43"/>
    <w:rsid w:val="00661400"/>
    <w:rsid w:val="0066167B"/>
    <w:rsid w:val="006618AD"/>
    <w:rsid w:val="00661CAC"/>
    <w:rsid w:val="0066222E"/>
    <w:rsid w:val="00662269"/>
    <w:rsid w:val="006625A0"/>
    <w:rsid w:val="00662819"/>
    <w:rsid w:val="006628EC"/>
    <w:rsid w:val="00662A3C"/>
    <w:rsid w:val="00662ADD"/>
    <w:rsid w:val="0066357E"/>
    <w:rsid w:val="0066377B"/>
    <w:rsid w:val="006638D6"/>
    <w:rsid w:val="00664124"/>
    <w:rsid w:val="006642EB"/>
    <w:rsid w:val="0066465A"/>
    <w:rsid w:val="00664B40"/>
    <w:rsid w:val="00664BC4"/>
    <w:rsid w:val="00664D6D"/>
    <w:rsid w:val="0066555E"/>
    <w:rsid w:val="00665747"/>
    <w:rsid w:val="006665DA"/>
    <w:rsid w:val="00666A94"/>
    <w:rsid w:val="00666C1A"/>
    <w:rsid w:val="00666E00"/>
    <w:rsid w:val="00667155"/>
    <w:rsid w:val="006674F1"/>
    <w:rsid w:val="00667C64"/>
    <w:rsid w:val="00670002"/>
    <w:rsid w:val="006702C6"/>
    <w:rsid w:val="006719A8"/>
    <w:rsid w:val="006719EB"/>
    <w:rsid w:val="00671D63"/>
    <w:rsid w:val="00672538"/>
    <w:rsid w:val="00672619"/>
    <w:rsid w:val="00672692"/>
    <w:rsid w:val="006727BE"/>
    <w:rsid w:val="00673028"/>
    <w:rsid w:val="00673530"/>
    <w:rsid w:val="00673D2E"/>
    <w:rsid w:val="00673D89"/>
    <w:rsid w:val="00674089"/>
    <w:rsid w:val="006740EB"/>
    <w:rsid w:val="00674991"/>
    <w:rsid w:val="00674C04"/>
    <w:rsid w:val="00674EDF"/>
    <w:rsid w:val="00674FCB"/>
    <w:rsid w:val="00675413"/>
    <w:rsid w:val="006762E4"/>
    <w:rsid w:val="0067689B"/>
    <w:rsid w:val="006768F9"/>
    <w:rsid w:val="00676A81"/>
    <w:rsid w:val="00676AD3"/>
    <w:rsid w:val="00676C15"/>
    <w:rsid w:val="00677194"/>
    <w:rsid w:val="00677305"/>
    <w:rsid w:val="0067794C"/>
    <w:rsid w:val="00677E4E"/>
    <w:rsid w:val="006800C4"/>
    <w:rsid w:val="0068136A"/>
    <w:rsid w:val="00681570"/>
    <w:rsid w:val="00681869"/>
    <w:rsid w:val="006824DE"/>
    <w:rsid w:val="00682C2F"/>
    <w:rsid w:val="00682C38"/>
    <w:rsid w:val="00682F78"/>
    <w:rsid w:val="00683ADF"/>
    <w:rsid w:val="00683D75"/>
    <w:rsid w:val="00683DF9"/>
    <w:rsid w:val="00684263"/>
    <w:rsid w:val="006842FA"/>
    <w:rsid w:val="00684303"/>
    <w:rsid w:val="0068443F"/>
    <w:rsid w:val="00684C61"/>
    <w:rsid w:val="00685389"/>
    <w:rsid w:val="00685652"/>
    <w:rsid w:val="006858C3"/>
    <w:rsid w:val="00685ABB"/>
    <w:rsid w:val="00685E55"/>
    <w:rsid w:val="0068606F"/>
    <w:rsid w:val="00686306"/>
    <w:rsid w:val="0068633F"/>
    <w:rsid w:val="00686341"/>
    <w:rsid w:val="006865BF"/>
    <w:rsid w:val="006869B3"/>
    <w:rsid w:val="00687601"/>
    <w:rsid w:val="006877FE"/>
    <w:rsid w:val="00687F94"/>
    <w:rsid w:val="006907B0"/>
    <w:rsid w:val="00690CB3"/>
    <w:rsid w:val="00690CC1"/>
    <w:rsid w:val="00691126"/>
    <w:rsid w:val="006911DD"/>
    <w:rsid w:val="00691676"/>
    <w:rsid w:val="006918D6"/>
    <w:rsid w:val="00691933"/>
    <w:rsid w:val="00691A0B"/>
    <w:rsid w:val="0069237A"/>
    <w:rsid w:val="0069249A"/>
    <w:rsid w:val="00692778"/>
    <w:rsid w:val="006928A3"/>
    <w:rsid w:val="006928D5"/>
    <w:rsid w:val="006936C7"/>
    <w:rsid w:val="006938B4"/>
    <w:rsid w:val="00694AA1"/>
    <w:rsid w:val="00695330"/>
    <w:rsid w:val="00695433"/>
    <w:rsid w:val="006965D6"/>
    <w:rsid w:val="006966C5"/>
    <w:rsid w:val="006968CC"/>
    <w:rsid w:val="00696C3C"/>
    <w:rsid w:val="00697A1D"/>
    <w:rsid w:val="00697CD4"/>
    <w:rsid w:val="006A0117"/>
    <w:rsid w:val="006A0180"/>
    <w:rsid w:val="006A02F7"/>
    <w:rsid w:val="006A0565"/>
    <w:rsid w:val="006A07C2"/>
    <w:rsid w:val="006A0876"/>
    <w:rsid w:val="006A10A1"/>
    <w:rsid w:val="006A1369"/>
    <w:rsid w:val="006A1E81"/>
    <w:rsid w:val="006A2001"/>
    <w:rsid w:val="006A2588"/>
    <w:rsid w:val="006A2BF9"/>
    <w:rsid w:val="006A2F64"/>
    <w:rsid w:val="006A2FF3"/>
    <w:rsid w:val="006A3829"/>
    <w:rsid w:val="006A3A6B"/>
    <w:rsid w:val="006A4329"/>
    <w:rsid w:val="006A52A1"/>
    <w:rsid w:val="006A52DA"/>
    <w:rsid w:val="006A5B33"/>
    <w:rsid w:val="006A5DEF"/>
    <w:rsid w:val="006A5F77"/>
    <w:rsid w:val="006A620E"/>
    <w:rsid w:val="006A64C8"/>
    <w:rsid w:val="006A6648"/>
    <w:rsid w:val="006A6D39"/>
    <w:rsid w:val="006A6F78"/>
    <w:rsid w:val="006A70CD"/>
    <w:rsid w:val="006A790B"/>
    <w:rsid w:val="006A7C71"/>
    <w:rsid w:val="006B091B"/>
    <w:rsid w:val="006B09EC"/>
    <w:rsid w:val="006B0E37"/>
    <w:rsid w:val="006B1184"/>
    <w:rsid w:val="006B123B"/>
    <w:rsid w:val="006B1292"/>
    <w:rsid w:val="006B22FE"/>
    <w:rsid w:val="006B28EA"/>
    <w:rsid w:val="006B2EA4"/>
    <w:rsid w:val="006B3350"/>
    <w:rsid w:val="006B3821"/>
    <w:rsid w:val="006B3C63"/>
    <w:rsid w:val="006B437E"/>
    <w:rsid w:val="006B4A1B"/>
    <w:rsid w:val="006B4DA3"/>
    <w:rsid w:val="006B4E10"/>
    <w:rsid w:val="006B4EED"/>
    <w:rsid w:val="006B5432"/>
    <w:rsid w:val="006B5483"/>
    <w:rsid w:val="006B57A8"/>
    <w:rsid w:val="006B595B"/>
    <w:rsid w:val="006B60F4"/>
    <w:rsid w:val="006B69F1"/>
    <w:rsid w:val="006B739F"/>
    <w:rsid w:val="006C0328"/>
    <w:rsid w:val="006C044A"/>
    <w:rsid w:val="006C0532"/>
    <w:rsid w:val="006C0A42"/>
    <w:rsid w:val="006C0B9A"/>
    <w:rsid w:val="006C0D91"/>
    <w:rsid w:val="006C17F6"/>
    <w:rsid w:val="006C1CCB"/>
    <w:rsid w:val="006C1EF2"/>
    <w:rsid w:val="006C1FB3"/>
    <w:rsid w:val="006C2000"/>
    <w:rsid w:val="006C25CE"/>
    <w:rsid w:val="006C263E"/>
    <w:rsid w:val="006C28F9"/>
    <w:rsid w:val="006C29BD"/>
    <w:rsid w:val="006C29E5"/>
    <w:rsid w:val="006C357A"/>
    <w:rsid w:val="006C4267"/>
    <w:rsid w:val="006C4A18"/>
    <w:rsid w:val="006C4F6B"/>
    <w:rsid w:val="006C4FC9"/>
    <w:rsid w:val="006C5A09"/>
    <w:rsid w:val="006C5C46"/>
    <w:rsid w:val="006C5D41"/>
    <w:rsid w:val="006C6276"/>
    <w:rsid w:val="006C7278"/>
    <w:rsid w:val="006C745E"/>
    <w:rsid w:val="006C752C"/>
    <w:rsid w:val="006C7BB4"/>
    <w:rsid w:val="006C7F7E"/>
    <w:rsid w:val="006C7FB2"/>
    <w:rsid w:val="006D08D0"/>
    <w:rsid w:val="006D09F4"/>
    <w:rsid w:val="006D0B5B"/>
    <w:rsid w:val="006D0BF6"/>
    <w:rsid w:val="006D0E2C"/>
    <w:rsid w:val="006D0F6E"/>
    <w:rsid w:val="006D138A"/>
    <w:rsid w:val="006D1722"/>
    <w:rsid w:val="006D18F4"/>
    <w:rsid w:val="006D1DDE"/>
    <w:rsid w:val="006D2470"/>
    <w:rsid w:val="006D25FB"/>
    <w:rsid w:val="006D2DEC"/>
    <w:rsid w:val="006D354F"/>
    <w:rsid w:val="006D3884"/>
    <w:rsid w:val="006D3ACA"/>
    <w:rsid w:val="006D3D55"/>
    <w:rsid w:val="006D3E18"/>
    <w:rsid w:val="006D41B9"/>
    <w:rsid w:val="006D4229"/>
    <w:rsid w:val="006D43A1"/>
    <w:rsid w:val="006D44BA"/>
    <w:rsid w:val="006D4C5E"/>
    <w:rsid w:val="006D538D"/>
    <w:rsid w:val="006D5C6F"/>
    <w:rsid w:val="006D5E88"/>
    <w:rsid w:val="006D627F"/>
    <w:rsid w:val="006D71AD"/>
    <w:rsid w:val="006D782A"/>
    <w:rsid w:val="006D7886"/>
    <w:rsid w:val="006D7AB3"/>
    <w:rsid w:val="006E0F1F"/>
    <w:rsid w:val="006E108B"/>
    <w:rsid w:val="006E1D8D"/>
    <w:rsid w:val="006E2281"/>
    <w:rsid w:val="006E264A"/>
    <w:rsid w:val="006E2B35"/>
    <w:rsid w:val="006E2E2C"/>
    <w:rsid w:val="006E2EBA"/>
    <w:rsid w:val="006E2FCB"/>
    <w:rsid w:val="006E3295"/>
    <w:rsid w:val="006E350D"/>
    <w:rsid w:val="006E3E2F"/>
    <w:rsid w:val="006E42F8"/>
    <w:rsid w:val="006E479E"/>
    <w:rsid w:val="006E47C5"/>
    <w:rsid w:val="006E56B2"/>
    <w:rsid w:val="006E577D"/>
    <w:rsid w:val="006E60B6"/>
    <w:rsid w:val="006E6170"/>
    <w:rsid w:val="006E631E"/>
    <w:rsid w:val="006E64FE"/>
    <w:rsid w:val="006E6606"/>
    <w:rsid w:val="006E672F"/>
    <w:rsid w:val="006E67E2"/>
    <w:rsid w:val="006E6C1A"/>
    <w:rsid w:val="006E6DAE"/>
    <w:rsid w:val="006E6FD6"/>
    <w:rsid w:val="006E739E"/>
    <w:rsid w:val="006E768D"/>
    <w:rsid w:val="006E7734"/>
    <w:rsid w:val="006E7A44"/>
    <w:rsid w:val="006E7B91"/>
    <w:rsid w:val="006E7E2B"/>
    <w:rsid w:val="006F0434"/>
    <w:rsid w:val="006F051C"/>
    <w:rsid w:val="006F0AA9"/>
    <w:rsid w:val="006F0CEB"/>
    <w:rsid w:val="006F0F42"/>
    <w:rsid w:val="006F0F63"/>
    <w:rsid w:val="006F17C9"/>
    <w:rsid w:val="006F183F"/>
    <w:rsid w:val="006F1C20"/>
    <w:rsid w:val="006F1C89"/>
    <w:rsid w:val="006F1CAF"/>
    <w:rsid w:val="006F2114"/>
    <w:rsid w:val="006F2482"/>
    <w:rsid w:val="006F2493"/>
    <w:rsid w:val="006F2608"/>
    <w:rsid w:val="006F2B14"/>
    <w:rsid w:val="006F3540"/>
    <w:rsid w:val="006F3836"/>
    <w:rsid w:val="006F3F05"/>
    <w:rsid w:val="006F4190"/>
    <w:rsid w:val="006F4A7C"/>
    <w:rsid w:val="006F4B80"/>
    <w:rsid w:val="006F4B8B"/>
    <w:rsid w:val="006F5274"/>
    <w:rsid w:val="006F54D1"/>
    <w:rsid w:val="006F55A3"/>
    <w:rsid w:val="006F577A"/>
    <w:rsid w:val="006F57EA"/>
    <w:rsid w:val="006F689A"/>
    <w:rsid w:val="006F6C67"/>
    <w:rsid w:val="006F70CE"/>
    <w:rsid w:val="00700210"/>
    <w:rsid w:val="007003CF"/>
    <w:rsid w:val="00700472"/>
    <w:rsid w:val="00700897"/>
    <w:rsid w:val="007009B0"/>
    <w:rsid w:val="00700CA6"/>
    <w:rsid w:val="00701527"/>
    <w:rsid w:val="0070172C"/>
    <w:rsid w:val="00701784"/>
    <w:rsid w:val="0070193F"/>
    <w:rsid w:val="00701E34"/>
    <w:rsid w:val="007029D6"/>
    <w:rsid w:val="00702BC2"/>
    <w:rsid w:val="00702D28"/>
    <w:rsid w:val="00702D40"/>
    <w:rsid w:val="00702DAB"/>
    <w:rsid w:val="0070352D"/>
    <w:rsid w:val="00703DFA"/>
    <w:rsid w:val="00704672"/>
    <w:rsid w:val="00704CA8"/>
    <w:rsid w:val="00705C0D"/>
    <w:rsid w:val="00705DA5"/>
    <w:rsid w:val="00705DC6"/>
    <w:rsid w:val="00706734"/>
    <w:rsid w:val="00706806"/>
    <w:rsid w:val="00706949"/>
    <w:rsid w:val="00706F2A"/>
    <w:rsid w:val="007074C2"/>
    <w:rsid w:val="0070757D"/>
    <w:rsid w:val="00707C2D"/>
    <w:rsid w:val="00707DCB"/>
    <w:rsid w:val="00710B7F"/>
    <w:rsid w:val="0071111E"/>
    <w:rsid w:val="00711282"/>
    <w:rsid w:val="00711740"/>
    <w:rsid w:val="00712104"/>
    <w:rsid w:val="00712450"/>
    <w:rsid w:val="0071320B"/>
    <w:rsid w:val="00713464"/>
    <w:rsid w:val="00713823"/>
    <w:rsid w:val="0071394E"/>
    <w:rsid w:val="00713A0B"/>
    <w:rsid w:val="00713A52"/>
    <w:rsid w:val="00713B7B"/>
    <w:rsid w:val="00715175"/>
    <w:rsid w:val="00715491"/>
    <w:rsid w:val="00715952"/>
    <w:rsid w:val="00715EDD"/>
    <w:rsid w:val="00715F5C"/>
    <w:rsid w:val="00716365"/>
    <w:rsid w:val="007163F9"/>
    <w:rsid w:val="00716687"/>
    <w:rsid w:val="00716888"/>
    <w:rsid w:val="007170B4"/>
    <w:rsid w:val="00717703"/>
    <w:rsid w:val="00717C60"/>
    <w:rsid w:val="00717EF5"/>
    <w:rsid w:val="00717F6B"/>
    <w:rsid w:val="007209AF"/>
    <w:rsid w:val="007212C8"/>
    <w:rsid w:val="00721682"/>
    <w:rsid w:val="00722396"/>
    <w:rsid w:val="0072335D"/>
    <w:rsid w:val="00723624"/>
    <w:rsid w:val="00723983"/>
    <w:rsid w:val="00723B5A"/>
    <w:rsid w:val="00723C5E"/>
    <w:rsid w:val="00723C74"/>
    <w:rsid w:val="00723DB9"/>
    <w:rsid w:val="007241F4"/>
    <w:rsid w:val="00724CB3"/>
    <w:rsid w:val="00725029"/>
    <w:rsid w:val="00725DDA"/>
    <w:rsid w:val="007260A0"/>
    <w:rsid w:val="00726232"/>
    <w:rsid w:val="00726A85"/>
    <w:rsid w:val="00726C3D"/>
    <w:rsid w:val="00726C47"/>
    <w:rsid w:val="007278C6"/>
    <w:rsid w:val="0073048D"/>
    <w:rsid w:val="0073058B"/>
    <w:rsid w:val="007312B2"/>
    <w:rsid w:val="00731BF1"/>
    <w:rsid w:val="00732277"/>
    <w:rsid w:val="0073260E"/>
    <w:rsid w:val="00732A47"/>
    <w:rsid w:val="00732DA9"/>
    <w:rsid w:val="00733276"/>
    <w:rsid w:val="007334D8"/>
    <w:rsid w:val="007337AB"/>
    <w:rsid w:val="00734848"/>
    <w:rsid w:val="00734D17"/>
    <w:rsid w:val="00735619"/>
    <w:rsid w:val="00735B49"/>
    <w:rsid w:val="00735F1F"/>
    <w:rsid w:val="00736341"/>
    <w:rsid w:val="00736368"/>
    <w:rsid w:val="007363AC"/>
    <w:rsid w:val="00736B5F"/>
    <w:rsid w:val="00736C8F"/>
    <w:rsid w:val="00736E51"/>
    <w:rsid w:val="007375C3"/>
    <w:rsid w:val="00740137"/>
    <w:rsid w:val="007403B5"/>
    <w:rsid w:val="00740456"/>
    <w:rsid w:val="0074067F"/>
    <w:rsid w:val="00740933"/>
    <w:rsid w:val="007415B3"/>
    <w:rsid w:val="0074163D"/>
    <w:rsid w:val="00742688"/>
    <w:rsid w:val="007429E5"/>
    <w:rsid w:val="00742EF8"/>
    <w:rsid w:val="00743030"/>
    <w:rsid w:val="00743092"/>
    <w:rsid w:val="0074310C"/>
    <w:rsid w:val="00743272"/>
    <w:rsid w:val="007434FC"/>
    <w:rsid w:val="00743872"/>
    <w:rsid w:val="0074443F"/>
    <w:rsid w:val="00744A6C"/>
    <w:rsid w:val="00744E3F"/>
    <w:rsid w:val="00744F27"/>
    <w:rsid w:val="007454B5"/>
    <w:rsid w:val="00746215"/>
    <w:rsid w:val="007464A4"/>
    <w:rsid w:val="00746990"/>
    <w:rsid w:val="00746BAF"/>
    <w:rsid w:val="00747AB5"/>
    <w:rsid w:val="00747D29"/>
    <w:rsid w:val="00750113"/>
    <w:rsid w:val="007505A5"/>
    <w:rsid w:val="007505CA"/>
    <w:rsid w:val="007505FB"/>
    <w:rsid w:val="0075083C"/>
    <w:rsid w:val="007509BB"/>
    <w:rsid w:val="007509E4"/>
    <w:rsid w:val="00750EBE"/>
    <w:rsid w:val="007510A0"/>
    <w:rsid w:val="007510B4"/>
    <w:rsid w:val="00751826"/>
    <w:rsid w:val="00752678"/>
    <w:rsid w:val="0075275B"/>
    <w:rsid w:val="00753014"/>
    <w:rsid w:val="0075363A"/>
    <w:rsid w:val="00753D5B"/>
    <w:rsid w:val="00753E6A"/>
    <w:rsid w:val="00753E89"/>
    <w:rsid w:val="00753EF4"/>
    <w:rsid w:val="0075414F"/>
    <w:rsid w:val="00754486"/>
    <w:rsid w:val="00754564"/>
    <w:rsid w:val="0075477D"/>
    <w:rsid w:val="007549FD"/>
    <w:rsid w:val="00754C04"/>
    <w:rsid w:val="00754F6A"/>
    <w:rsid w:val="0075532C"/>
    <w:rsid w:val="007557E3"/>
    <w:rsid w:val="00756B83"/>
    <w:rsid w:val="00756F5E"/>
    <w:rsid w:val="007570AA"/>
    <w:rsid w:val="00757CE3"/>
    <w:rsid w:val="00760365"/>
    <w:rsid w:val="007606F5"/>
    <w:rsid w:val="00760828"/>
    <w:rsid w:val="0076083C"/>
    <w:rsid w:val="0076087A"/>
    <w:rsid w:val="0076110E"/>
    <w:rsid w:val="00761162"/>
    <w:rsid w:val="00761538"/>
    <w:rsid w:val="00761A06"/>
    <w:rsid w:val="00761BF4"/>
    <w:rsid w:val="00761C6F"/>
    <w:rsid w:val="007627B8"/>
    <w:rsid w:val="00762E81"/>
    <w:rsid w:val="00763110"/>
    <w:rsid w:val="007636BE"/>
    <w:rsid w:val="0076379E"/>
    <w:rsid w:val="00764387"/>
    <w:rsid w:val="00764A3A"/>
    <w:rsid w:val="00764BC3"/>
    <w:rsid w:val="00764E00"/>
    <w:rsid w:val="007651E0"/>
    <w:rsid w:val="007652FE"/>
    <w:rsid w:val="0076557C"/>
    <w:rsid w:val="00765A1A"/>
    <w:rsid w:val="00765D71"/>
    <w:rsid w:val="00766A10"/>
    <w:rsid w:val="00766C24"/>
    <w:rsid w:val="00766FBF"/>
    <w:rsid w:val="0076736E"/>
    <w:rsid w:val="007677AA"/>
    <w:rsid w:val="0076789B"/>
    <w:rsid w:val="00767FE8"/>
    <w:rsid w:val="00770549"/>
    <w:rsid w:val="00770786"/>
    <w:rsid w:val="00770D02"/>
    <w:rsid w:val="00770F9A"/>
    <w:rsid w:val="00771721"/>
    <w:rsid w:val="00771758"/>
    <w:rsid w:val="00771A62"/>
    <w:rsid w:val="00771E93"/>
    <w:rsid w:val="0077217E"/>
    <w:rsid w:val="00772EBE"/>
    <w:rsid w:val="00773A34"/>
    <w:rsid w:val="00773B6D"/>
    <w:rsid w:val="00773D65"/>
    <w:rsid w:val="0077425A"/>
    <w:rsid w:val="007745C4"/>
    <w:rsid w:val="00774E95"/>
    <w:rsid w:val="00775587"/>
    <w:rsid w:val="00775D6B"/>
    <w:rsid w:val="00775F0B"/>
    <w:rsid w:val="0077606A"/>
    <w:rsid w:val="007764EE"/>
    <w:rsid w:val="00776EBD"/>
    <w:rsid w:val="00776FF7"/>
    <w:rsid w:val="0077701D"/>
    <w:rsid w:val="007775A7"/>
    <w:rsid w:val="00777A5F"/>
    <w:rsid w:val="00777DB5"/>
    <w:rsid w:val="00777DCB"/>
    <w:rsid w:val="00780D22"/>
    <w:rsid w:val="00780DBA"/>
    <w:rsid w:val="00780E2A"/>
    <w:rsid w:val="007810EE"/>
    <w:rsid w:val="00781A03"/>
    <w:rsid w:val="00781E73"/>
    <w:rsid w:val="0078210F"/>
    <w:rsid w:val="007829FA"/>
    <w:rsid w:val="007830DC"/>
    <w:rsid w:val="007835D5"/>
    <w:rsid w:val="00783808"/>
    <w:rsid w:val="0078381B"/>
    <w:rsid w:val="00783A76"/>
    <w:rsid w:val="00783DBE"/>
    <w:rsid w:val="00784053"/>
    <w:rsid w:val="0078458B"/>
    <w:rsid w:val="007852D9"/>
    <w:rsid w:val="00785FA6"/>
    <w:rsid w:val="00786100"/>
    <w:rsid w:val="007865C6"/>
    <w:rsid w:val="00786887"/>
    <w:rsid w:val="00786F37"/>
    <w:rsid w:val="00787481"/>
    <w:rsid w:val="00787AFD"/>
    <w:rsid w:val="00787D87"/>
    <w:rsid w:val="00790121"/>
    <w:rsid w:val="0079067E"/>
    <w:rsid w:val="00790E18"/>
    <w:rsid w:val="0079123B"/>
    <w:rsid w:val="00791440"/>
    <w:rsid w:val="0079160E"/>
    <w:rsid w:val="007916AA"/>
    <w:rsid w:val="00791CCD"/>
    <w:rsid w:val="00792754"/>
    <w:rsid w:val="0079279C"/>
    <w:rsid w:val="00792A4D"/>
    <w:rsid w:val="00792D7B"/>
    <w:rsid w:val="00792E30"/>
    <w:rsid w:val="00792F3F"/>
    <w:rsid w:val="007931C5"/>
    <w:rsid w:val="0079345D"/>
    <w:rsid w:val="0079357E"/>
    <w:rsid w:val="0079505B"/>
    <w:rsid w:val="00795149"/>
    <w:rsid w:val="00795184"/>
    <w:rsid w:val="00795A92"/>
    <w:rsid w:val="00796454"/>
    <w:rsid w:val="0079671A"/>
    <w:rsid w:val="00796BC6"/>
    <w:rsid w:val="00796C74"/>
    <w:rsid w:val="007973D4"/>
    <w:rsid w:val="007974C4"/>
    <w:rsid w:val="00797534"/>
    <w:rsid w:val="007976E5"/>
    <w:rsid w:val="00797930"/>
    <w:rsid w:val="00797B4C"/>
    <w:rsid w:val="00797EA1"/>
    <w:rsid w:val="007A01E3"/>
    <w:rsid w:val="007A06C1"/>
    <w:rsid w:val="007A0803"/>
    <w:rsid w:val="007A09CB"/>
    <w:rsid w:val="007A0C01"/>
    <w:rsid w:val="007A11D0"/>
    <w:rsid w:val="007A132F"/>
    <w:rsid w:val="007A17CE"/>
    <w:rsid w:val="007A1BAF"/>
    <w:rsid w:val="007A1F95"/>
    <w:rsid w:val="007A2532"/>
    <w:rsid w:val="007A326F"/>
    <w:rsid w:val="007A3951"/>
    <w:rsid w:val="007A3D53"/>
    <w:rsid w:val="007A42C9"/>
    <w:rsid w:val="007A4372"/>
    <w:rsid w:val="007A4641"/>
    <w:rsid w:val="007A4AED"/>
    <w:rsid w:val="007A50FE"/>
    <w:rsid w:val="007A5109"/>
    <w:rsid w:val="007A52D2"/>
    <w:rsid w:val="007A52ED"/>
    <w:rsid w:val="007A5540"/>
    <w:rsid w:val="007A5FA7"/>
    <w:rsid w:val="007A5FCB"/>
    <w:rsid w:val="007A6026"/>
    <w:rsid w:val="007A633E"/>
    <w:rsid w:val="007A634E"/>
    <w:rsid w:val="007A694D"/>
    <w:rsid w:val="007A69FC"/>
    <w:rsid w:val="007A6F8A"/>
    <w:rsid w:val="007A70FB"/>
    <w:rsid w:val="007A79F6"/>
    <w:rsid w:val="007A7AFD"/>
    <w:rsid w:val="007B06A2"/>
    <w:rsid w:val="007B096A"/>
    <w:rsid w:val="007B0D81"/>
    <w:rsid w:val="007B1D19"/>
    <w:rsid w:val="007B1F09"/>
    <w:rsid w:val="007B24C5"/>
    <w:rsid w:val="007B2A67"/>
    <w:rsid w:val="007B2CE3"/>
    <w:rsid w:val="007B2D57"/>
    <w:rsid w:val="007B2DB5"/>
    <w:rsid w:val="007B2E7D"/>
    <w:rsid w:val="007B2F54"/>
    <w:rsid w:val="007B32F4"/>
    <w:rsid w:val="007B3960"/>
    <w:rsid w:val="007B39C6"/>
    <w:rsid w:val="007B4A63"/>
    <w:rsid w:val="007B4CA2"/>
    <w:rsid w:val="007B4CD7"/>
    <w:rsid w:val="007B5436"/>
    <w:rsid w:val="007B62C7"/>
    <w:rsid w:val="007B65D7"/>
    <w:rsid w:val="007B67A7"/>
    <w:rsid w:val="007B681E"/>
    <w:rsid w:val="007B6925"/>
    <w:rsid w:val="007B695F"/>
    <w:rsid w:val="007B72D0"/>
    <w:rsid w:val="007C0485"/>
    <w:rsid w:val="007C0E49"/>
    <w:rsid w:val="007C139D"/>
    <w:rsid w:val="007C1A25"/>
    <w:rsid w:val="007C1F63"/>
    <w:rsid w:val="007C280C"/>
    <w:rsid w:val="007C2ED1"/>
    <w:rsid w:val="007C32A1"/>
    <w:rsid w:val="007C3358"/>
    <w:rsid w:val="007C40C8"/>
    <w:rsid w:val="007C429B"/>
    <w:rsid w:val="007C4457"/>
    <w:rsid w:val="007C4566"/>
    <w:rsid w:val="007C501B"/>
    <w:rsid w:val="007C58F4"/>
    <w:rsid w:val="007C61A1"/>
    <w:rsid w:val="007C672D"/>
    <w:rsid w:val="007C6B60"/>
    <w:rsid w:val="007C6F9A"/>
    <w:rsid w:val="007C72DD"/>
    <w:rsid w:val="007C7913"/>
    <w:rsid w:val="007C7D41"/>
    <w:rsid w:val="007D1284"/>
    <w:rsid w:val="007D1650"/>
    <w:rsid w:val="007D27E0"/>
    <w:rsid w:val="007D2DF1"/>
    <w:rsid w:val="007D3364"/>
    <w:rsid w:val="007D3888"/>
    <w:rsid w:val="007D42CB"/>
    <w:rsid w:val="007D52B0"/>
    <w:rsid w:val="007D5583"/>
    <w:rsid w:val="007D5A69"/>
    <w:rsid w:val="007D5F49"/>
    <w:rsid w:val="007D6470"/>
    <w:rsid w:val="007D6980"/>
    <w:rsid w:val="007D6992"/>
    <w:rsid w:val="007D6BFC"/>
    <w:rsid w:val="007D6ECD"/>
    <w:rsid w:val="007D7855"/>
    <w:rsid w:val="007D7EF3"/>
    <w:rsid w:val="007E046C"/>
    <w:rsid w:val="007E0C0D"/>
    <w:rsid w:val="007E0EC0"/>
    <w:rsid w:val="007E1999"/>
    <w:rsid w:val="007E1CA1"/>
    <w:rsid w:val="007E1CAE"/>
    <w:rsid w:val="007E1DED"/>
    <w:rsid w:val="007E2878"/>
    <w:rsid w:val="007E2E73"/>
    <w:rsid w:val="007E324A"/>
    <w:rsid w:val="007E37E7"/>
    <w:rsid w:val="007E3A0B"/>
    <w:rsid w:val="007E3D43"/>
    <w:rsid w:val="007E4300"/>
    <w:rsid w:val="007E49F0"/>
    <w:rsid w:val="007E5358"/>
    <w:rsid w:val="007E54B1"/>
    <w:rsid w:val="007E590F"/>
    <w:rsid w:val="007E5DD8"/>
    <w:rsid w:val="007E5EB4"/>
    <w:rsid w:val="007E61EA"/>
    <w:rsid w:val="007E7692"/>
    <w:rsid w:val="007E7877"/>
    <w:rsid w:val="007F0355"/>
    <w:rsid w:val="007F11F9"/>
    <w:rsid w:val="007F192B"/>
    <w:rsid w:val="007F1EBA"/>
    <w:rsid w:val="007F2009"/>
    <w:rsid w:val="007F2157"/>
    <w:rsid w:val="007F237F"/>
    <w:rsid w:val="007F2499"/>
    <w:rsid w:val="007F2E64"/>
    <w:rsid w:val="007F30DD"/>
    <w:rsid w:val="007F32D4"/>
    <w:rsid w:val="007F34E3"/>
    <w:rsid w:val="007F37B5"/>
    <w:rsid w:val="007F4143"/>
    <w:rsid w:val="007F4250"/>
    <w:rsid w:val="007F43ED"/>
    <w:rsid w:val="007F4A16"/>
    <w:rsid w:val="007F5267"/>
    <w:rsid w:val="007F5B13"/>
    <w:rsid w:val="007F635F"/>
    <w:rsid w:val="007F6562"/>
    <w:rsid w:val="007F6CB8"/>
    <w:rsid w:val="007F6EC1"/>
    <w:rsid w:val="007F6F5F"/>
    <w:rsid w:val="007F7019"/>
    <w:rsid w:val="007F70CE"/>
    <w:rsid w:val="007F7351"/>
    <w:rsid w:val="007F75A1"/>
    <w:rsid w:val="007F7701"/>
    <w:rsid w:val="007F77D6"/>
    <w:rsid w:val="007F7A64"/>
    <w:rsid w:val="00800284"/>
    <w:rsid w:val="008004F3"/>
    <w:rsid w:val="00800B78"/>
    <w:rsid w:val="00800FF8"/>
    <w:rsid w:val="0080129F"/>
    <w:rsid w:val="00801A36"/>
    <w:rsid w:val="00801AEE"/>
    <w:rsid w:val="00802408"/>
    <w:rsid w:val="00802945"/>
    <w:rsid w:val="00802AF2"/>
    <w:rsid w:val="0080313E"/>
    <w:rsid w:val="008031CD"/>
    <w:rsid w:val="00803206"/>
    <w:rsid w:val="0080320F"/>
    <w:rsid w:val="008034A1"/>
    <w:rsid w:val="0080371D"/>
    <w:rsid w:val="00803BE9"/>
    <w:rsid w:val="008041FE"/>
    <w:rsid w:val="0080433B"/>
    <w:rsid w:val="00804664"/>
    <w:rsid w:val="00804BBD"/>
    <w:rsid w:val="00804F44"/>
    <w:rsid w:val="00805542"/>
    <w:rsid w:val="00805573"/>
    <w:rsid w:val="00805678"/>
    <w:rsid w:val="0080578F"/>
    <w:rsid w:val="00805B40"/>
    <w:rsid w:val="00805C68"/>
    <w:rsid w:val="00805FC6"/>
    <w:rsid w:val="0080610D"/>
    <w:rsid w:val="00806255"/>
    <w:rsid w:val="00806427"/>
    <w:rsid w:val="0080651F"/>
    <w:rsid w:val="00806537"/>
    <w:rsid w:val="008067CD"/>
    <w:rsid w:val="008067ED"/>
    <w:rsid w:val="008067EF"/>
    <w:rsid w:val="008079B3"/>
    <w:rsid w:val="00807E68"/>
    <w:rsid w:val="00810093"/>
    <w:rsid w:val="0081050D"/>
    <w:rsid w:val="00810514"/>
    <w:rsid w:val="008105A9"/>
    <w:rsid w:val="00811395"/>
    <w:rsid w:val="008113FB"/>
    <w:rsid w:val="00811726"/>
    <w:rsid w:val="008117A6"/>
    <w:rsid w:val="00811887"/>
    <w:rsid w:val="00811970"/>
    <w:rsid w:val="00811AA7"/>
    <w:rsid w:val="00811ABB"/>
    <w:rsid w:val="00812DD1"/>
    <w:rsid w:val="0081358A"/>
    <w:rsid w:val="008135DA"/>
    <w:rsid w:val="008135FC"/>
    <w:rsid w:val="00813DBB"/>
    <w:rsid w:val="00813FE0"/>
    <w:rsid w:val="0081470A"/>
    <w:rsid w:val="0081497A"/>
    <w:rsid w:val="0081591E"/>
    <w:rsid w:val="00815CB1"/>
    <w:rsid w:val="00815D35"/>
    <w:rsid w:val="00815D68"/>
    <w:rsid w:val="00816700"/>
    <w:rsid w:val="00816876"/>
    <w:rsid w:val="00816F91"/>
    <w:rsid w:val="0082129F"/>
    <w:rsid w:val="00821C0E"/>
    <w:rsid w:val="00822692"/>
    <w:rsid w:val="00822B5C"/>
    <w:rsid w:val="00822B7A"/>
    <w:rsid w:val="00822F24"/>
    <w:rsid w:val="008233B8"/>
    <w:rsid w:val="0082350C"/>
    <w:rsid w:val="008236B8"/>
    <w:rsid w:val="00823C7F"/>
    <w:rsid w:val="00823F33"/>
    <w:rsid w:val="00824294"/>
    <w:rsid w:val="008249F4"/>
    <w:rsid w:val="00824A81"/>
    <w:rsid w:val="00824E31"/>
    <w:rsid w:val="0082540F"/>
    <w:rsid w:val="00825D5F"/>
    <w:rsid w:val="008262E1"/>
    <w:rsid w:val="00826472"/>
    <w:rsid w:val="008264BE"/>
    <w:rsid w:val="00826AD1"/>
    <w:rsid w:val="00827414"/>
    <w:rsid w:val="008278C2"/>
    <w:rsid w:val="00827E21"/>
    <w:rsid w:val="008304A6"/>
    <w:rsid w:val="00830803"/>
    <w:rsid w:val="00830999"/>
    <w:rsid w:val="00830E42"/>
    <w:rsid w:val="00831036"/>
    <w:rsid w:val="008316BA"/>
    <w:rsid w:val="008317B1"/>
    <w:rsid w:val="00831A33"/>
    <w:rsid w:val="00831EE8"/>
    <w:rsid w:val="008324FB"/>
    <w:rsid w:val="00832796"/>
    <w:rsid w:val="00832836"/>
    <w:rsid w:val="00832870"/>
    <w:rsid w:val="00832B7B"/>
    <w:rsid w:val="0083350A"/>
    <w:rsid w:val="00833B97"/>
    <w:rsid w:val="0083410A"/>
    <w:rsid w:val="008342CB"/>
    <w:rsid w:val="0083447C"/>
    <w:rsid w:val="00834811"/>
    <w:rsid w:val="00834DC3"/>
    <w:rsid w:val="00835065"/>
    <w:rsid w:val="00835408"/>
    <w:rsid w:val="008355C8"/>
    <w:rsid w:val="00835A57"/>
    <w:rsid w:val="00835F31"/>
    <w:rsid w:val="00835FD4"/>
    <w:rsid w:val="0083619D"/>
    <w:rsid w:val="008368D5"/>
    <w:rsid w:val="00836C04"/>
    <w:rsid w:val="00836D4B"/>
    <w:rsid w:val="008374FD"/>
    <w:rsid w:val="008376AD"/>
    <w:rsid w:val="00837B92"/>
    <w:rsid w:val="00837C33"/>
    <w:rsid w:val="00837F83"/>
    <w:rsid w:val="00840561"/>
    <w:rsid w:val="008405EC"/>
    <w:rsid w:val="00840907"/>
    <w:rsid w:val="008409E7"/>
    <w:rsid w:val="00840B26"/>
    <w:rsid w:val="00840F4F"/>
    <w:rsid w:val="00841710"/>
    <w:rsid w:val="008418CC"/>
    <w:rsid w:val="00841AAC"/>
    <w:rsid w:val="00841C73"/>
    <w:rsid w:val="008422FB"/>
    <w:rsid w:val="008424D4"/>
    <w:rsid w:val="00842C23"/>
    <w:rsid w:val="0084366A"/>
    <w:rsid w:val="0084385C"/>
    <w:rsid w:val="00843C85"/>
    <w:rsid w:val="008440FB"/>
    <w:rsid w:val="008448C1"/>
    <w:rsid w:val="00844E67"/>
    <w:rsid w:val="008456D8"/>
    <w:rsid w:val="00845747"/>
    <w:rsid w:val="00845CCE"/>
    <w:rsid w:val="0084644E"/>
    <w:rsid w:val="0084683A"/>
    <w:rsid w:val="00846AFB"/>
    <w:rsid w:val="00846C27"/>
    <w:rsid w:val="0084760E"/>
    <w:rsid w:val="00847998"/>
    <w:rsid w:val="00847C60"/>
    <w:rsid w:val="00847F4A"/>
    <w:rsid w:val="00851190"/>
    <w:rsid w:val="0085148C"/>
    <w:rsid w:val="00851AD5"/>
    <w:rsid w:val="00851C3C"/>
    <w:rsid w:val="008533BE"/>
    <w:rsid w:val="008533C4"/>
    <w:rsid w:val="008535CC"/>
    <w:rsid w:val="0085380A"/>
    <w:rsid w:val="00853946"/>
    <w:rsid w:val="00853A70"/>
    <w:rsid w:val="00853CB0"/>
    <w:rsid w:val="00853E2E"/>
    <w:rsid w:val="00854FDD"/>
    <w:rsid w:val="00855362"/>
    <w:rsid w:val="00855A83"/>
    <w:rsid w:val="00856021"/>
    <w:rsid w:val="008566CF"/>
    <w:rsid w:val="00856933"/>
    <w:rsid w:val="00856984"/>
    <w:rsid w:val="00857AF2"/>
    <w:rsid w:val="00857BCE"/>
    <w:rsid w:val="00857BEC"/>
    <w:rsid w:val="00860279"/>
    <w:rsid w:val="008604C8"/>
    <w:rsid w:val="008609E5"/>
    <w:rsid w:val="00860C23"/>
    <w:rsid w:val="00860F6A"/>
    <w:rsid w:val="00861414"/>
    <w:rsid w:val="00861DF2"/>
    <w:rsid w:val="00862052"/>
    <w:rsid w:val="008625C9"/>
    <w:rsid w:val="00862649"/>
    <w:rsid w:val="00862710"/>
    <w:rsid w:val="00862A4B"/>
    <w:rsid w:val="00862B7D"/>
    <w:rsid w:val="00862D4E"/>
    <w:rsid w:val="00862DA1"/>
    <w:rsid w:val="00862F2E"/>
    <w:rsid w:val="008630BB"/>
    <w:rsid w:val="0086325E"/>
    <w:rsid w:val="0086331A"/>
    <w:rsid w:val="008637A0"/>
    <w:rsid w:val="00863B34"/>
    <w:rsid w:val="00863F9D"/>
    <w:rsid w:val="00863FF8"/>
    <w:rsid w:val="00864029"/>
    <w:rsid w:val="00864109"/>
    <w:rsid w:val="00864481"/>
    <w:rsid w:val="008647F8"/>
    <w:rsid w:val="0086496F"/>
    <w:rsid w:val="008653B5"/>
    <w:rsid w:val="0086579F"/>
    <w:rsid w:val="0086591D"/>
    <w:rsid w:val="00865D40"/>
    <w:rsid w:val="00866351"/>
    <w:rsid w:val="00866386"/>
    <w:rsid w:val="008664D5"/>
    <w:rsid w:val="00866516"/>
    <w:rsid w:val="00866A4D"/>
    <w:rsid w:val="0086736D"/>
    <w:rsid w:val="00867879"/>
    <w:rsid w:val="008679FA"/>
    <w:rsid w:val="00870038"/>
    <w:rsid w:val="008703B5"/>
    <w:rsid w:val="00871076"/>
    <w:rsid w:val="008716E7"/>
    <w:rsid w:val="00871926"/>
    <w:rsid w:val="00872B6F"/>
    <w:rsid w:val="00872D45"/>
    <w:rsid w:val="0087365E"/>
    <w:rsid w:val="008736B6"/>
    <w:rsid w:val="008737AD"/>
    <w:rsid w:val="00873829"/>
    <w:rsid w:val="00873CE1"/>
    <w:rsid w:val="008745F8"/>
    <w:rsid w:val="0087485A"/>
    <w:rsid w:val="00874D61"/>
    <w:rsid w:val="0087536B"/>
    <w:rsid w:val="008754E2"/>
    <w:rsid w:val="008755E9"/>
    <w:rsid w:val="00875619"/>
    <w:rsid w:val="00875989"/>
    <w:rsid w:val="00875CB1"/>
    <w:rsid w:val="00875CC4"/>
    <w:rsid w:val="00875DBD"/>
    <w:rsid w:val="00876209"/>
    <w:rsid w:val="00876885"/>
    <w:rsid w:val="00877025"/>
    <w:rsid w:val="008776E2"/>
    <w:rsid w:val="008777C7"/>
    <w:rsid w:val="0087781C"/>
    <w:rsid w:val="008806E6"/>
    <w:rsid w:val="00880E82"/>
    <w:rsid w:val="00881808"/>
    <w:rsid w:val="00881C04"/>
    <w:rsid w:val="0088264A"/>
    <w:rsid w:val="00882CA9"/>
    <w:rsid w:val="008830AE"/>
    <w:rsid w:val="008836D2"/>
    <w:rsid w:val="00883724"/>
    <w:rsid w:val="00883938"/>
    <w:rsid w:val="00883939"/>
    <w:rsid w:val="008839B2"/>
    <w:rsid w:val="00883D11"/>
    <w:rsid w:val="00884654"/>
    <w:rsid w:val="00884E1A"/>
    <w:rsid w:val="0088587F"/>
    <w:rsid w:val="0088592F"/>
    <w:rsid w:val="00885A96"/>
    <w:rsid w:val="00885CF4"/>
    <w:rsid w:val="00885DC2"/>
    <w:rsid w:val="00885FE8"/>
    <w:rsid w:val="008862D0"/>
    <w:rsid w:val="00886378"/>
    <w:rsid w:val="0088690D"/>
    <w:rsid w:val="00886921"/>
    <w:rsid w:val="008871A9"/>
    <w:rsid w:val="008877D4"/>
    <w:rsid w:val="008900D2"/>
    <w:rsid w:val="008901C1"/>
    <w:rsid w:val="008903CB"/>
    <w:rsid w:val="00890651"/>
    <w:rsid w:val="00891127"/>
    <w:rsid w:val="0089137B"/>
    <w:rsid w:val="008915F7"/>
    <w:rsid w:val="00891850"/>
    <w:rsid w:val="00891E2C"/>
    <w:rsid w:val="00891F70"/>
    <w:rsid w:val="00892305"/>
    <w:rsid w:val="00892F32"/>
    <w:rsid w:val="0089323E"/>
    <w:rsid w:val="00893357"/>
    <w:rsid w:val="008936DB"/>
    <w:rsid w:val="00893CDF"/>
    <w:rsid w:val="00894626"/>
    <w:rsid w:val="008946F9"/>
    <w:rsid w:val="008953F9"/>
    <w:rsid w:val="00895B65"/>
    <w:rsid w:val="00895D81"/>
    <w:rsid w:val="0089608F"/>
    <w:rsid w:val="00896536"/>
    <w:rsid w:val="00897CE3"/>
    <w:rsid w:val="008A04CD"/>
    <w:rsid w:val="008A0E17"/>
    <w:rsid w:val="008A166F"/>
    <w:rsid w:val="008A18A2"/>
    <w:rsid w:val="008A1963"/>
    <w:rsid w:val="008A1F88"/>
    <w:rsid w:val="008A2538"/>
    <w:rsid w:val="008A2AA4"/>
    <w:rsid w:val="008A2EC3"/>
    <w:rsid w:val="008A31A8"/>
    <w:rsid w:val="008A31DF"/>
    <w:rsid w:val="008A4082"/>
    <w:rsid w:val="008A4893"/>
    <w:rsid w:val="008A490A"/>
    <w:rsid w:val="008A5270"/>
    <w:rsid w:val="008A5690"/>
    <w:rsid w:val="008A5850"/>
    <w:rsid w:val="008A5C14"/>
    <w:rsid w:val="008A60F1"/>
    <w:rsid w:val="008A64CE"/>
    <w:rsid w:val="008A65A1"/>
    <w:rsid w:val="008A6811"/>
    <w:rsid w:val="008A6920"/>
    <w:rsid w:val="008A6B3B"/>
    <w:rsid w:val="008A6D49"/>
    <w:rsid w:val="008A6D5B"/>
    <w:rsid w:val="008A7044"/>
    <w:rsid w:val="008A707F"/>
    <w:rsid w:val="008A7593"/>
    <w:rsid w:val="008A7D2D"/>
    <w:rsid w:val="008A7EC8"/>
    <w:rsid w:val="008A7F75"/>
    <w:rsid w:val="008B004A"/>
    <w:rsid w:val="008B063E"/>
    <w:rsid w:val="008B0D64"/>
    <w:rsid w:val="008B1259"/>
    <w:rsid w:val="008B153E"/>
    <w:rsid w:val="008B15CE"/>
    <w:rsid w:val="008B1DF4"/>
    <w:rsid w:val="008B1E3F"/>
    <w:rsid w:val="008B2477"/>
    <w:rsid w:val="008B2567"/>
    <w:rsid w:val="008B2E04"/>
    <w:rsid w:val="008B35F1"/>
    <w:rsid w:val="008B3B99"/>
    <w:rsid w:val="008B41FB"/>
    <w:rsid w:val="008B4640"/>
    <w:rsid w:val="008B46C4"/>
    <w:rsid w:val="008B4B63"/>
    <w:rsid w:val="008B4E4A"/>
    <w:rsid w:val="008B5506"/>
    <w:rsid w:val="008B5A1E"/>
    <w:rsid w:val="008B5B46"/>
    <w:rsid w:val="008B5D1F"/>
    <w:rsid w:val="008B6543"/>
    <w:rsid w:val="008B6596"/>
    <w:rsid w:val="008B6778"/>
    <w:rsid w:val="008B7A45"/>
    <w:rsid w:val="008B7CC1"/>
    <w:rsid w:val="008C0467"/>
    <w:rsid w:val="008C099E"/>
    <w:rsid w:val="008C0B7E"/>
    <w:rsid w:val="008C0BC2"/>
    <w:rsid w:val="008C119E"/>
    <w:rsid w:val="008C1532"/>
    <w:rsid w:val="008C182F"/>
    <w:rsid w:val="008C1906"/>
    <w:rsid w:val="008C1D3C"/>
    <w:rsid w:val="008C1DD7"/>
    <w:rsid w:val="008C20FE"/>
    <w:rsid w:val="008C211B"/>
    <w:rsid w:val="008C3311"/>
    <w:rsid w:val="008C3C12"/>
    <w:rsid w:val="008C44F8"/>
    <w:rsid w:val="008C451B"/>
    <w:rsid w:val="008C45FC"/>
    <w:rsid w:val="008C4E54"/>
    <w:rsid w:val="008C4FF3"/>
    <w:rsid w:val="008C536D"/>
    <w:rsid w:val="008C5624"/>
    <w:rsid w:val="008C5688"/>
    <w:rsid w:val="008C5995"/>
    <w:rsid w:val="008C5BCA"/>
    <w:rsid w:val="008C5FC3"/>
    <w:rsid w:val="008C6BAD"/>
    <w:rsid w:val="008C6FE8"/>
    <w:rsid w:val="008C72CA"/>
    <w:rsid w:val="008C78E8"/>
    <w:rsid w:val="008C7AAC"/>
    <w:rsid w:val="008C7E7E"/>
    <w:rsid w:val="008D01B1"/>
    <w:rsid w:val="008D0F8C"/>
    <w:rsid w:val="008D1396"/>
    <w:rsid w:val="008D13CD"/>
    <w:rsid w:val="008D166C"/>
    <w:rsid w:val="008D1724"/>
    <w:rsid w:val="008D1AF8"/>
    <w:rsid w:val="008D1FB3"/>
    <w:rsid w:val="008D2814"/>
    <w:rsid w:val="008D2B12"/>
    <w:rsid w:val="008D2BB1"/>
    <w:rsid w:val="008D320B"/>
    <w:rsid w:val="008D33EB"/>
    <w:rsid w:val="008D3D33"/>
    <w:rsid w:val="008D3DC1"/>
    <w:rsid w:val="008D45AC"/>
    <w:rsid w:val="008D5876"/>
    <w:rsid w:val="008D5DC0"/>
    <w:rsid w:val="008D5E09"/>
    <w:rsid w:val="008D6C6A"/>
    <w:rsid w:val="008D7363"/>
    <w:rsid w:val="008D75D1"/>
    <w:rsid w:val="008D7805"/>
    <w:rsid w:val="008D7A3D"/>
    <w:rsid w:val="008E0066"/>
    <w:rsid w:val="008E00D4"/>
    <w:rsid w:val="008E016D"/>
    <w:rsid w:val="008E0330"/>
    <w:rsid w:val="008E0477"/>
    <w:rsid w:val="008E04B9"/>
    <w:rsid w:val="008E1380"/>
    <w:rsid w:val="008E2ADB"/>
    <w:rsid w:val="008E2D0C"/>
    <w:rsid w:val="008E2EE7"/>
    <w:rsid w:val="008E3A8D"/>
    <w:rsid w:val="008E4177"/>
    <w:rsid w:val="008E4180"/>
    <w:rsid w:val="008E41A6"/>
    <w:rsid w:val="008E45EB"/>
    <w:rsid w:val="008E4652"/>
    <w:rsid w:val="008E4B13"/>
    <w:rsid w:val="008E5AB5"/>
    <w:rsid w:val="008E5F33"/>
    <w:rsid w:val="008E6367"/>
    <w:rsid w:val="008E674D"/>
    <w:rsid w:val="008E6830"/>
    <w:rsid w:val="008E6921"/>
    <w:rsid w:val="008E72B6"/>
    <w:rsid w:val="008E750D"/>
    <w:rsid w:val="008E755F"/>
    <w:rsid w:val="008E76A3"/>
    <w:rsid w:val="008E7E07"/>
    <w:rsid w:val="008F00BB"/>
    <w:rsid w:val="008F00FF"/>
    <w:rsid w:val="008F02BA"/>
    <w:rsid w:val="008F05BD"/>
    <w:rsid w:val="008F0710"/>
    <w:rsid w:val="008F09CB"/>
    <w:rsid w:val="008F0CDD"/>
    <w:rsid w:val="008F1899"/>
    <w:rsid w:val="008F1C68"/>
    <w:rsid w:val="008F2067"/>
    <w:rsid w:val="008F22CE"/>
    <w:rsid w:val="008F234F"/>
    <w:rsid w:val="008F2808"/>
    <w:rsid w:val="008F2A0A"/>
    <w:rsid w:val="008F3D7A"/>
    <w:rsid w:val="008F3E5F"/>
    <w:rsid w:val="008F4143"/>
    <w:rsid w:val="008F4CFE"/>
    <w:rsid w:val="008F4F8A"/>
    <w:rsid w:val="008F5316"/>
    <w:rsid w:val="008F55CD"/>
    <w:rsid w:val="008F6110"/>
    <w:rsid w:val="008F61C3"/>
    <w:rsid w:val="008F61E3"/>
    <w:rsid w:val="008F65AA"/>
    <w:rsid w:val="008F65C0"/>
    <w:rsid w:val="008F69A0"/>
    <w:rsid w:val="008F6DB3"/>
    <w:rsid w:val="008F72C8"/>
    <w:rsid w:val="008F771D"/>
    <w:rsid w:val="008F7B43"/>
    <w:rsid w:val="008F7BF0"/>
    <w:rsid w:val="008F7CF6"/>
    <w:rsid w:val="008F7F3B"/>
    <w:rsid w:val="0090011D"/>
    <w:rsid w:val="009006CD"/>
    <w:rsid w:val="00901B9D"/>
    <w:rsid w:val="00901F20"/>
    <w:rsid w:val="009020BD"/>
    <w:rsid w:val="0090297B"/>
    <w:rsid w:val="00902A97"/>
    <w:rsid w:val="00902B0A"/>
    <w:rsid w:val="00902C9F"/>
    <w:rsid w:val="009030B8"/>
    <w:rsid w:val="0090363C"/>
    <w:rsid w:val="009036EC"/>
    <w:rsid w:val="009037FF"/>
    <w:rsid w:val="00903818"/>
    <w:rsid w:val="00903884"/>
    <w:rsid w:val="00903A04"/>
    <w:rsid w:val="0090435C"/>
    <w:rsid w:val="00904385"/>
    <w:rsid w:val="009044F3"/>
    <w:rsid w:val="009048DD"/>
    <w:rsid w:val="00904C96"/>
    <w:rsid w:val="009053B5"/>
    <w:rsid w:val="00905518"/>
    <w:rsid w:val="009055D1"/>
    <w:rsid w:val="009058B7"/>
    <w:rsid w:val="00905A34"/>
    <w:rsid w:val="00905FA5"/>
    <w:rsid w:val="009061ED"/>
    <w:rsid w:val="00906398"/>
    <w:rsid w:val="00906DD7"/>
    <w:rsid w:val="00906FDE"/>
    <w:rsid w:val="00907966"/>
    <w:rsid w:val="00907E9F"/>
    <w:rsid w:val="00910393"/>
    <w:rsid w:val="00910550"/>
    <w:rsid w:val="009106DE"/>
    <w:rsid w:val="00910B10"/>
    <w:rsid w:val="0091162C"/>
    <w:rsid w:val="00912340"/>
    <w:rsid w:val="009124DD"/>
    <w:rsid w:val="0091277E"/>
    <w:rsid w:val="00912946"/>
    <w:rsid w:val="00912E49"/>
    <w:rsid w:val="00912F49"/>
    <w:rsid w:val="00913713"/>
    <w:rsid w:val="00913BCC"/>
    <w:rsid w:val="00913FC9"/>
    <w:rsid w:val="00914818"/>
    <w:rsid w:val="00914980"/>
    <w:rsid w:val="00914A74"/>
    <w:rsid w:val="00914E3D"/>
    <w:rsid w:val="00915992"/>
    <w:rsid w:val="00915F8E"/>
    <w:rsid w:val="0091661C"/>
    <w:rsid w:val="00916B1A"/>
    <w:rsid w:val="00916C40"/>
    <w:rsid w:val="00916ED0"/>
    <w:rsid w:val="0091754C"/>
    <w:rsid w:val="00917A7C"/>
    <w:rsid w:val="00920485"/>
    <w:rsid w:val="0092048B"/>
    <w:rsid w:val="0092091E"/>
    <w:rsid w:val="009211D5"/>
    <w:rsid w:val="0092143F"/>
    <w:rsid w:val="0092146E"/>
    <w:rsid w:val="009214B0"/>
    <w:rsid w:val="009215AB"/>
    <w:rsid w:val="00921CD1"/>
    <w:rsid w:val="00921FB7"/>
    <w:rsid w:val="00922304"/>
    <w:rsid w:val="00922970"/>
    <w:rsid w:val="00922A76"/>
    <w:rsid w:val="009236A1"/>
    <w:rsid w:val="00923F6D"/>
    <w:rsid w:val="00924CD3"/>
    <w:rsid w:val="00924F6A"/>
    <w:rsid w:val="00925965"/>
    <w:rsid w:val="00925A84"/>
    <w:rsid w:val="00926487"/>
    <w:rsid w:val="00926650"/>
    <w:rsid w:val="0092683E"/>
    <w:rsid w:val="009268FC"/>
    <w:rsid w:val="00926E10"/>
    <w:rsid w:val="0092753B"/>
    <w:rsid w:val="0092767A"/>
    <w:rsid w:val="00927E2B"/>
    <w:rsid w:val="00927F0A"/>
    <w:rsid w:val="009300FD"/>
    <w:rsid w:val="009302D3"/>
    <w:rsid w:val="0093036C"/>
    <w:rsid w:val="0093038A"/>
    <w:rsid w:val="00930473"/>
    <w:rsid w:val="0093064C"/>
    <w:rsid w:val="00931023"/>
    <w:rsid w:val="00931107"/>
    <w:rsid w:val="00931488"/>
    <w:rsid w:val="009316FD"/>
    <w:rsid w:val="00931ADC"/>
    <w:rsid w:val="00931E00"/>
    <w:rsid w:val="00931F83"/>
    <w:rsid w:val="00931FC5"/>
    <w:rsid w:val="00932107"/>
    <w:rsid w:val="009322FA"/>
    <w:rsid w:val="009336C7"/>
    <w:rsid w:val="009337F8"/>
    <w:rsid w:val="00933C29"/>
    <w:rsid w:val="00933D11"/>
    <w:rsid w:val="00934C09"/>
    <w:rsid w:val="00934F68"/>
    <w:rsid w:val="009350AC"/>
    <w:rsid w:val="0093552A"/>
    <w:rsid w:val="009359F7"/>
    <w:rsid w:val="00936064"/>
    <w:rsid w:val="0093610D"/>
    <w:rsid w:val="00936AD2"/>
    <w:rsid w:val="00936EDD"/>
    <w:rsid w:val="0093708B"/>
    <w:rsid w:val="0093766E"/>
    <w:rsid w:val="009377D1"/>
    <w:rsid w:val="0093797B"/>
    <w:rsid w:val="00937AFE"/>
    <w:rsid w:val="00937CC5"/>
    <w:rsid w:val="00940037"/>
    <w:rsid w:val="009406C0"/>
    <w:rsid w:val="00940A13"/>
    <w:rsid w:val="00941035"/>
    <w:rsid w:val="00941156"/>
    <w:rsid w:val="0094193C"/>
    <w:rsid w:val="00941A00"/>
    <w:rsid w:val="00942364"/>
    <w:rsid w:val="00943112"/>
    <w:rsid w:val="0094337B"/>
    <w:rsid w:val="00943657"/>
    <w:rsid w:val="00943CF1"/>
    <w:rsid w:val="0094426B"/>
    <w:rsid w:val="00944454"/>
    <w:rsid w:val="009448E3"/>
    <w:rsid w:val="00944DE8"/>
    <w:rsid w:val="00944E06"/>
    <w:rsid w:val="009452F3"/>
    <w:rsid w:val="009453F2"/>
    <w:rsid w:val="00945516"/>
    <w:rsid w:val="00945F3B"/>
    <w:rsid w:val="009460A4"/>
    <w:rsid w:val="00946C49"/>
    <w:rsid w:val="00946CB0"/>
    <w:rsid w:val="00946EDE"/>
    <w:rsid w:val="00947710"/>
    <w:rsid w:val="00947720"/>
    <w:rsid w:val="00947F86"/>
    <w:rsid w:val="00950BDB"/>
    <w:rsid w:val="00950E41"/>
    <w:rsid w:val="00950F01"/>
    <w:rsid w:val="009515E4"/>
    <w:rsid w:val="00951A2C"/>
    <w:rsid w:val="00951A5A"/>
    <w:rsid w:val="00952884"/>
    <w:rsid w:val="00952F69"/>
    <w:rsid w:val="00953474"/>
    <w:rsid w:val="00953607"/>
    <w:rsid w:val="0095379A"/>
    <w:rsid w:val="00954715"/>
    <w:rsid w:val="00954E63"/>
    <w:rsid w:val="00954FAF"/>
    <w:rsid w:val="0095514D"/>
    <w:rsid w:val="0095517B"/>
    <w:rsid w:val="009552E7"/>
    <w:rsid w:val="009555D9"/>
    <w:rsid w:val="00955909"/>
    <w:rsid w:val="00955A59"/>
    <w:rsid w:val="00955C78"/>
    <w:rsid w:val="00956064"/>
    <w:rsid w:val="009560D4"/>
    <w:rsid w:val="0095710A"/>
    <w:rsid w:val="00957520"/>
    <w:rsid w:val="0095792A"/>
    <w:rsid w:val="00957980"/>
    <w:rsid w:val="00957D63"/>
    <w:rsid w:val="00960476"/>
    <w:rsid w:val="009605DD"/>
    <w:rsid w:val="00960CFC"/>
    <w:rsid w:val="00961002"/>
    <w:rsid w:val="00961B83"/>
    <w:rsid w:val="00961CE7"/>
    <w:rsid w:val="00961DBD"/>
    <w:rsid w:val="00961FE9"/>
    <w:rsid w:val="00963964"/>
    <w:rsid w:val="00963CC3"/>
    <w:rsid w:val="00963E9D"/>
    <w:rsid w:val="009640C8"/>
    <w:rsid w:val="0096442F"/>
    <w:rsid w:val="00964B34"/>
    <w:rsid w:val="00964C4A"/>
    <w:rsid w:val="00964CA4"/>
    <w:rsid w:val="00965231"/>
    <w:rsid w:val="009653C6"/>
    <w:rsid w:val="0096550B"/>
    <w:rsid w:val="00965698"/>
    <w:rsid w:val="0096694D"/>
    <w:rsid w:val="00967076"/>
    <w:rsid w:val="00967475"/>
    <w:rsid w:val="009677F7"/>
    <w:rsid w:val="00967C9F"/>
    <w:rsid w:val="00967F99"/>
    <w:rsid w:val="009706C6"/>
    <w:rsid w:val="009708B8"/>
    <w:rsid w:val="00971496"/>
    <w:rsid w:val="009727C6"/>
    <w:rsid w:val="00972901"/>
    <w:rsid w:val="00972C72"/>
    <w:rsid w:val="00972C73"/>
    <w:rsid w:val="00973468"/>
    <w:rsid w:val="009734EC"/>
    <w:rsid w:val="00973603"/>
    <w:rsid w:val="0097390D"/>
    <w:rsid w:val="00973DA1"/>
    <w:rsid w:val="00974B26"/>
    <w:rsid w:val="00974D6A"/>
    <w:rsid w:val="009755BC"/>
    <w:rsid w:val="009757A2"/>
    <w:rsid w:val="00975919"/>
    <w:rsid w:val="00975B90"/>
    <w:rsid w:val="00975CA5"/>
    <w:rsid w:val="00976750"/>
    <w:rsid w:val="00976F46"/>
    <w:rsid w:val="00977413"/>
    <w:rsid w:val="0097758B"/>
    <w:rsid w:val="009778B3"/>
    <w:rsid w:val="00977930"/>
    <w:rsid w:val="00977E67"/>
    <w:rsid w:val="009800FE"/>
    <w:rsid w:val="00980507"/>
    <w:rsid w:val="00980887"/>
    <w:rsid w:val="0098092F"/>
    <w:rsid w:val="00980B42"/>
    <w:rsid w:val="009811BF"/>
    <w:rsid w:val="00981452"/>
    <w:rsid w:val="00981B02"/>
    <w:rsid w:val="009823B1"/>
    <w:rsid w:val="009826E8"/>
    <w:rsid w:val="009828C8"/>
    <w:rsid w:val="00982FAC"/>
    <w:rsid w:val="009833C0"/>
    <w:rsid w:val="009833DA"/>
    <w:rsid w:val="00983CF1"/>
    <w:rsid w:val="00983D7B"/>
    <w:rsid w:val="0098408B"/>
    <w:rsid w:val="009840A7"/>
    <w:rsid w:val="009846F7"/>
    <w:rsid w:val="00985705"/>
    <w:rsid w:val="009861BD"/>
    <w:rsid w:val="00986845"/>
    <w:rsid w:val="00987197"/>
    <w:rsid w:val="009873E8"/>
    <w:rsid w:val="00987E78"/>
    <w:rsid w:val="0099075B"/>
    <w:rsid w:val="009907CB"/>
    <w:rsid w:val="0099085C"/>
    <w:rsid w:val="00990B75"/>
    <w:rsid w:val="009910AA"/>
    <w:rsid w:val="009912F7"/>
    <w:rsid w:val="00991888"/>
    <w:rsid w:val="00991B9B"/>
    <w:rsid w:val="009920DD"/>
    <w:rsid w:val="00992B2F"/>
    <w:rsid w:val="00992F91"/>
    <w:rsid w:val="00993810"/>
    <w:rsid w:val="009938E6"/>
    <w:rsid w:val="00993A48"/>
    <w:rsid w:val="00993A5C"/>
    <w:rsid w:val="0099495A"/>
    <w:rsid w:val="009952E0"/>
    <w:rsid w:val="009958B0"/>
    <w:rsid w:val="00995ACA"/>
    <w:rsid w:val="00995BE2"/>
    <w:rsid w:val="00996360"/>
    <w:rsid w:val="0099637D"/>
    <w:rsid w:val="009966A5"/>
    <w:rsid w:val="009968F2"/>
    <w:rsid w:val="00996A09"/>
    <w:rsid w:val="00996CF1"/>
    <w:rsid w:val="00996ED2"/>
    <w:rsid w:val="00996EE4"/>
    <w:rsid w:val="00996F4C"/>
    <w:rsid w:val="00997AEE"/>
    <w:rsid w:val="009A004C"/>
    <w:rsid w:val="009A00F3"/>
    <w:rsid w:val="009A050A"/>
    <w:rsid w:val="009A07CD"/>
    <w:rsid w:val="009A0D0F"/>
    <w:rsid w:val="009A0D74"/>
    <w:rsid w:val="009A1757"/>
    <w:rsid w:val="009A1815"/>
    <w:rsid w:val="009A191F"/>
    <w:rsid w:val="009A2502"/>
    <w:rsid w:val="009A2831"/>
    <w:rsid w:val="009A2C49"/>
    <w:rsid w:val="009A2EB8"/>
    <w:rsid w:val="009A318F"/>
    <w:rsid w:val="009A3294"/>
    <w:rsid w:val="009A44D2"/>
    <w:rsid w:val="009A477A"/>
    <w:rsid w:val="009A4C89"/>
    <w:rsid w:val="009A4DF6"/>
    <w:rsid w:val="009A4F38"/>
    <w:rsid w:val="009A54BF"/>
    <w:rsid w:val="009A5E39"/>
    <w:rsid w:val="009A5EBF"/>
    <w:rsid w:val="009A600C"/>
    <w:rsid w:val="009A6323"/>
    <w:rsid w:val="009A75AC"/>
    <w:rsid w:val="009A7A2E"/>
    <w:rsid w:val="009B0633"/>
    <w:rsid w:val="009B128F"/>
    <w:rsid w:val="009B12F1"/>
    <w:rsid w:val="009B15F7"/>
    <w:rsid w:val="009B1A18"/>
    <w:rsid w:val="009B2475"/>
    <w:rsid w:val="009B261E"/>
    <w:rsid w:val="009B2795"/>
    <w:rsid w:val="009B2B26"/>
    <w:rsid w:val="009B3142"/>
    <w:rsid w:val="009B33C0"/>
    <w:rsid w:val="009B3A23"/>
    <w:rsid w:val="009B4C57"/>
    <w:rsid w:val="009B5396"/>
    <w:rsid w:val="009B5A9F"/>
    <w:rsid w:val="009B5DE6"/>
    <w:rsid w:val="009B627E"/>
    <w:rsid w:val="009B6595"/>
    <w:rsid w:val="009B71C6"/>
    <w:rsid w:val="009B76DB"/>
    <w:rsid w:val="009B7ABB"/>
    <w:rsid w:val="009B7AF6"/>
    <w:rsid w:val="009B7B42"/>
    <w:rsid w:val="009B7CC5"/>
    <w:rsid w:val="009B7F64"/>
    <w:rsid w:val="009C086E"/>
    <w:rsid w:val="009C093F"/>
    <w:rsid w:val="009C0C84"/>
    <w:rsid w:val="009C15F5"/>
    <w:rsid w:val="009C16EC"/>
    <w:rsid w:val="009C1A85"/>
    <w:rsid w:val="009C1B06"/>
    <w:rsid w:val="009C1BE0"/>
    <w:rsid w:val="009C1D00"/>
    <w:rsid w:val="009C2027"/>
    <w:rsid w:val="009C21A0"/>
    <w:rsid w:val="009C276F"/>
    <w:rsid w:val="009C2912"/>
    <w:rsid w:val="009C2DC7"/>
    <w:rsid w:val="009C2E2C"/>
    <w:rsid w:val="009C34EF"/>
    <w:rsid w:val="009C45B8"/>
    <w:rsid w:val="009C4669"/>
    <w:rsid w:val="009C47D5"/>
    <w:rsid w:val="009C51BC"/>
    <w:rsid w:val="009C5A82"/>
    <w:rsid w:val="009C5ABE"/>
    <w:rsid w:val="009C5F4A"/>
    <w:rsid w:val="009C61DE"/>
    <w:rsid w:val="009C6E86"/>
    <w:rsid w:val="009C7527"/>
    <w:rsid w:val="009C7E09"/>
    <w:rsid w:val="009D04E9"/>
    <w:rsid w:val="009D07C2"/>
    <w:rsid w:val="009D0BFB"/>
    <w:rsid w:val="009D0CA7"/>
    <w:rsid w:val="009D0D39"/>
    <w:rsid w:val="009D169A"/>
    <w:rsid w:val="009D1B3F"/>
    <w:rsid w:val="009D2350"/>
    <w:rsid w:val="009D2408"/>
    <w:rsid w:val="009D2579"/>
    <w:rsid w:val="009D3021"/>
    <w:rsid w:val="009D3177"/>
    <w:rsid w:val="009D3237"/>
    <w:rsid w:val="009D333E"/>
    <w:rsid w:val="009D3771"/>
    <w:rsid w:val="009D389F"/>
    <w:rsid w:val="009D3959"/>
    <w:rsid w:val="009D3AD1"/>
    <w:rsid w:val="009D3EE9"/>
    <w:rsid w:val="009D44B5"/>
    <w:rsid w:val="009D467D"/>
    <w:rsid w:val="009D4913"/>
    <w:rsid w:val="009D49B6"/>
    <w:rsid w:val="009D4C68"/>
    <w:rsid w:val="009D51EE"/>
    <w:rsid w:val="009D5767"/>
    <w:rsid w:val="009D5D4D"/>
    <w:rsid w:val="009D6383"/>
    <w:rsid w:val="009D6568"/>
    <w:rsid w:val="009D66D9"/>
    <w:rsid w:val="009D67E6"/>
    <w:rsid w:val="009D6806"/>
    <w:rsid w:val="009D6E02"/>
    <w:rsid w:val="009D6E66"/>
    <w:rsid w:val="009D6F42"/>
    <w:rsid w:val="009D7BC9"/>
    <w:rsid w:val="009D7D37"/>
    <w:rsid w:val="009E0304"/>
    <w:rsid w:val="009E0732"/>
    <w:rsid w:val="009E0AD3"/>
    <w:rsid w:val="009E0C6D"/>
    <w:rsid w:val="009E0F20"/>
    <w:rsid w:val="009E1A6D"/>
    <w:rsid w:val="009E1C44"/>
    <w:rsid w:val="009E1D33"/>
    <w:rsid w:val="009E1D65"/>
    <w:rsid w:val="009E374C"/>
    <w:rsid w:val="009E375E"/>
    <w:rsid w:val="009E3D0E"/>
    <w:rsid w:val="009E3DD3"/>
    <w:rsid w:val="009E420A"/>
    <w:rsid w:val="009E47C4"/>
    <w:rsid w:val="009E47E6"/>
    <w:rsid w:val="009E4980"/>
    <w:rsid w:val="009E49A3"/>
    <w:rsid w:val="009E4E2D"/>
    <w:rsid w:val="009E4F92"/>
    <w:rsid w:val="009E5727"/>
    <w:rsid w:val="009E5A09"/>
    <w:rsid w:val="009E732E"/>
    <w:rsid w:val="009E7575"/>
    <w:rsid w:val="009E7C1F"/>
    <w:rsid w:val="009F0200"/>
    <w:rsid w:val="009F0DF0"/>
    <w:rsid w:val="009F10C7"/>
    <w:rsid w:val="009F1195"/>
    <w:rsid w:val="009F1506"/>
    <w:rsid w:val="009F1585"/>
    <w:rsid w:val="009F1A58"/>
    <w:rsid w:val="009F1BA0"/>
    <w:rsid w:val="009F1E7D"/>
    <w:rsid w:val="009F2084"/>
    <w:rsid w:val="009F2230"/>
    <w:rsid w:val="009F28EB"/>
    <w:rsid w:val="009F389B"/>
    <w:rsid w:val="009F3A87"/>
    <w:rsid w:val="009F3F5E"/>
    <w:rsid w:val="009F3FCC"/>
    <w:rsid w:val="009F431A"/>
    <w:rsid w:val="009F459C"/>
    <w:rsid w:val="009F4645"/>
    <w:rsid w:val="009F46D6"/>
    <w:rsid w:val="009F4809"/>
    <w:rsid w:val="009F4AC5"/>
    <w:rsid w:val="009F4D82"/>
    <w:rsid w:val="009F4DA9"/>
    <w:rsid w:val="009F4ED0"/>
    <w:rsid w:val="009F5080"/>
    <w:rsid w:val="009F52AB"/>
    <w:rsid w:val="009F54D0"/>
    <w:rsid w:val="009F5DC4"/>
    <w:rsid w:val="009F5F18"/>
    <w:rsid w:val="009F5F6E"/>
    <w:rsid w:val="009F5FBD"/>
    <w:rsid w:val="009F614F"/>
    <w:rsid w:val="009F6219"/>
    <w:rsid w:val="009F68FA"/>
    <w:rsid w:val="009F79B3"/>
    <w:rsid w:val="00A00089"/>
    <w:rsid w:val="00A007A2"/>
    <w:rsid w:val="00A00CE8"/>
    <w:rsid w:val="00A00CEC"/>
    <w:rsid w:val="00A00FF1"/>
    <w:rsid w:val="00A018A4"/>
    <w:rsid w:val="00A02239"/>
    <w:rsid w:val="00A02541"/>
    <w:rsid w:val="00A027E7"/>
    <w:rsid w:val="00A0281A"/>
    <w:rsid w:val="00A0291F"/>
    <w:rsid w:val="00A02A3E"/>
    <w:rsid w:val="00A02C8D"/>
    <w:rsid w:val="00A02F49"/>
    <w:rsid w:val="00A039AE"/>
    <w:rsid w:val="00A03BE5"/>
    <w:rsid w:val="00A03D99"/>
    <w:rsid w:val="00A04194"/>
    <w:rsid w:val="00A04446"/>
    <w:rsid w:val="00A046F5"/>
    <w:rsid w:val="00A04FC2"/>
    <w:rsid w:val="00A0569E"/>
    <w:rsid w:val="00A05724"/>
    <w:rsid w:val="00A065B1"/>
    <w:rsid w:val="00A06819"/>
    <w:rsid w:val="00A06AD4"/>
    <w:rsid w:val="00A06B40"/>
    <w:rsid w:val="00A10476"/>
    <w:rsid w:val="00A104A0"/>
    <w:rsid w:val="00A10B0B"/>
    <w:rsid w:val="00A110CE"/>
    <w:rsid w:val="00A1131A"/>
    <w:rsid w:val="00A11620"/>
    <w:rsid w:val="00A11ED7"/>
    <w:rsid w:val="00A1219E"/>
    <w:rsid w:val="00A123E0"/>
    <w:rsid w:val="00A12554"/>
    <w:rsid w:val="00A12747"/>
    <w:rsid w:val="00A12A43"/>
    <w:rsid w:val="00A12D88"/>
    <w:rsid w:val="00A12DC4"/>
    <w:rsid w:val="00A13201"/>
    <w:rsid w:val="00A133A4"/>
    <w:rsid w:val="00A138FF"/>
    <w:rsid w:val="00A13A02"/>
    <w:rsid w:val="00A13FFC"/>
    <w:rsid w:val="00A14083"/>
    <w:rsid w:val="00A1461B"/>
    <w:rsid w:val="00A14A66"/>
    <w:rsid w:val="00A14B06"/>
    <w:rsid w:val="00A14D12"/>
    <w:rsid w:val="00A14EE7"/>
    <w:rsid w:val="00A15046"/>
    <w:rsid w:val="00A1510A"/>
    <w:rsid w:val="00A156D7"/>
    <w:rsid w:val="00A15B4D"/>
    <w:rsid w:val="00A16511"/>
    <w:rsid w:val="00A171F1"/>
    <w:rsid w:val="00A17396"/>
    <w:rsid w:val="00A17ACA"/>
    <w:rsid w:val="00A17B64"/>
    <w:rsid w:val="00A20A75"/>
    <w:rsid w:val="00A222C3"/>
    <w:rsid w:val="00A22761"/>
    <w:rsid w:val="00A22878"/>
    <w:rsid w:val="00A23433"/>
    <w:rsid w:val="00A24607"/>
    <w:rsid w:val="00A24618"/>
    <w:rsid w:val="00A249BE"/>
    <w:rsid w:val="00A24D59"/>
    <w:rsid w:val="00A253A8"/>
    <w:rsid w:val="00A25496"/>
    <w:rsid w:val="00A25893"/>
    <w:rsid w:val="00A25B97"/>
    <w:rsid w:val="00A25D20"/>
    <w:rsid w:val="00A26200"/>
    <w:rsid w:val="00A269E6"/>
    <w:rsid w:val="00A26EDC"/>
    <w:rsid w:val="00A26FE9"/>
    <w:rsid w:val="00A27216"/>
    <w:rsid w:val="00A27B62"/>
    <w:rsid w:val="00A27CB3"/>
    <w:rsid w:val="00A27DFA"/>
    <w:rsid w:val="00A303AB"/>
    <w:rsid w:val="00A30432"/>
    <w:rsid w:val="00A30A38"/>
    <w:rsid w:val="00A30A71"/>
    <w:rsid w:val="00A30CD2"/>
    <w:rsid w:val="00A3156A"/>
    <w:rsid w:val="00A31977"/>
    <w:rsid w:val="00A31BF1"/>
    <w:rsid w:val="00A32844"/>
    <w:rsid w:val="00A32CCB"/>
    <w:rsid w:val="00A32E83"/>
    <w:rsid w:val="00A32EF0"/>
    <w:rsid w:val="00A333AB"/>
    <w:rsid w:val="00A33620"/>
    <w:rsid w:val="00A33AD8"/>
    <w:rsid w:val="00A34250"/>
    <w:rsid w:val="00A3510F"/>
    <w:rsid w:val="00A35369"/>
    <w:rsid w:val="00A35A69"/>
    <w:rsid w:val="00A35C44"/>
    <w:rsid w:val="00A35EBD"/>
    <w:rsid w:val="00A364B8"/>
    <w:rsid w:val="00A3677E"/>
    <w:rsid w:val="00A36DC6"/>
    <w:rsid w:val="00A3761E"/>
    <w:rsid w:val="00A3781D"/>
    <w:rsid w:val="00A37A58"/>
    <w:rsid w:val="00A37CD1"/>
    <w:rsid w:val="00A37FC4"/>
    <w:rsid w:val="00A409A3"/>
    <w:rsid w:val="00A40CEA"/>
    <w:rsid w:val="00A4203D"/>
    <w:rsid w:val="00A4244E"/>
    <w:rsid w:val="00A4277B"/>
    <w:rsid w:val="00A42AA2"/>
    <w:rsid w:val="00A42CC8"/>
    <w:rsid w:val="00A42D28"/>
    <w:rsid w:val="00A43112"/>
    <w:rsid w:val="00A4333A"/>
    <w:rsid w:val="00A43AF4"/>
    <w:rsid w:val="00A43CE3"/>
    <w:rsid w:val="00A4447C"/>
    <w:rsid w:val="00A455B8"/>
    <w:rsid w:val="00A4587E"/>
    <w:rsid w:val="00A460BF"/>
    <w:rsid w:val="00A46579"/>
    <w:rsid w:val="00A46846"/>
    <w:rsid w:val="00A46948"/>
    <w:rsid w:val="00A472B3"/>
    <w:rsid w:val="00A472D5"/>
    <w:rsid w:val="00A47C96"/>
    <w:rsid w:val="00A47E9C"/>
    <w:rsid w:val="00A50395"/>
    <w:rsid w:val="00A50623"/>
    <w:rsid w:val="00A50B30"/>
    <w:rsid w:val="00A50D96"/>
    <w:rsid w:val="00A5151B"/>
    <w:rsid w:val="00A51716"/>
    <w:rsid w:val="00A51907"/>
    <w:rsid w:val="00A51C24"/>
    <w:rsid w:val="00A522EA"/>
    <w:rsid w:val="00A52711"/>
    <w:rsid w:val="00A52A00"/>
    <w:rsid w:val="00A52D8F"/>
    <w:rsid w:val="00A53177"/>
    <w:rsid w:val="00A53F1E"/>
    <w:rsid w:val="00A53F9B"/>
    <w:rsid w:val="00A54E1C"/>
    <w:rsid w:val="00A55059"/>
    <w:rsid w:val="00A55466"/>
    <w:rsid w:val="00A5584B"/>
    <w:rsid w:val="00A55AFA"/>
    <w:rsid w:val="00A55EA4"/>
    <w:rsid w:val="00A561FE"/>
    <w:rsid w:val="00A5651B"/>
    <w:rsid w:val="00A56601"/>
    <w:rsid w:val="00A5681E"/>
    <w:rsid w:val="00A56FB3"/>
    <w:rsid w:val="00A570B6"/>
    <w:rsid w:val="00A579AF"/>
    <w:rsid w:val="00A57B36"/>
    <w:rsid w:val="00A57B80"/>
    <w:rsid w:val="00A57C6E"/>
    <w:rsid w:val="00A607F5"/>
    <w:rsid w:val="00A6085C"/>
    <w:rsid w:val="00A608C4"/>
    <w:rsid w:val="00A6091F"/>
    <w:rsid w:val="00A60A67"/>
    <w:rsid w:val="00A60CD6"/>
    <w:rsid w:val="00A61263"/>
    <w:rsid w:val="00A61847"/>
    <w:rsid w:val="00A61EB9"/>
    <w:rsid w:val="00A6202C"/>
    <w:rsid w:val="00A6216B"/>
    <w:rsid w:val="00A6264F"/>
    <w:rsid w:val="00A6309F"/>
    <w:rsid w:val="00A630D7"/>
    <w:rsid w:val="00A637AB"/>
    <w:rsid w:val="00A63B79"/>
    <w:rsid w:val="00A63F53"/>
    <w:rsid w:val="00A6426F"/>
    <w:rsid w:val="00A6428E"/>
    <w:rsid w:val="00A6462D"/>
    <w:rsid w:val="00A64B98"/>
    <w:rsid w:val="00A64E9F"/>
    <w:rsid w:val="00A651FF"/>
    <w:rsid w:val="00A65398"/>
    <w:rsid w:val="00A65631"/>
    <w:rsid w:val="00A65879"/>
    <w:rsid w:val="00A65AFB"/>
    <w:rsid w:val="00A66AF7"/>
    <w:rsid w:val="00A66B94"/>
    <w:rsid w:val="00A66C3A"/>
    <w:rsid w:val="00A66E25"/>
    <w:rsid w:val="00A6710A"/>
    <w:rsid w:val="00A677D4"/>
    <w:rsid w:val="00A679F7"/>
    <w:rsid w:val="00A67F3F"/>
    <w:rsid w:val="00A705D4"/>
    <w:rsid w:val="00A70AB2"/>
    <w:rsid w:val="00A71343"/>
    <w:rsid w:val="00A71446"/>
    <w:rsid w:val="00A7199E"/>
    <w:rsid w:val="00A71AB7"/>
    <w:rsid w:val="00A72129"/>
    <w:rsid w:val="00A724D9"/>
    <w:rsid w:val="00A72CD3"/>
    <w:rsid w:val="00A73073"/>
    <w:rsid w:val="00A73462"/>
    <w:rsid w:val="00A743E5"/>
    <w:rsid w:val="00A748AF"/>
    <w:rsid w:val="00A74DDF"/>
    <w:rsid w:val="00A75130"/>
    <w:rsid w:val="00A75218"/>
    <w:rsid w:val="00A75259"/>
    <w:rsid w:val="00A75557"/>
    <w:rsid w:val="00A75AFF"/>
    <w:rsid w:val="00A7612A"/>
    <w:rsid w:val="00A761D2"/>
    <w:rsid w:val="00A7620A"/>
    <w:rsid w:val="00A76C5A"/>
    <w:rsid w:val="00A76D49"/>
    <w:rsid w:val="00A7733A"/>
    <w:rsid w:val="00A7743A"/>
    <w:rsid w:val="00A775E9"/>
    <w:rsid w:val="00A77E27"/>
    <w:rsid w:val="00A77F5C"/>
    <w:rsid w:val="00A80408"/>
    <w:rsid w:val="00A80474"/>
    <w:rsid w:val="00A80A44"/>
    <w:rsid w:val="00A80CB2"/>
    <w:rsid w:val="00A80CCF"/>
    <w:rsid w:val="00A8103E"/>
    <w:rsid w:val="00A81263"/>
    <w:rsid w:val="00A81B3E"/>
    <w:rsid w:val="00A81E1C"/>
    <w:rsid w:val="00A81F6C"/>
    <w:rsid w:val="00A823BA"/>
    <w:rsid w:val="00A82A75"/>
    <w:rsid w:val="00A835A2"/>
    <w:rsid w:val="00A83685"/>
    <w:rsid w:val="00A83F6D"/>
    <w:rsid w:val="00A8425F"/>
    <w:rsid w:val="00A846EC"/>
    <w:rsid w:val="00A8493E"/>
    <w:rsid w:val="00A84D38"/>
    <w:rsid w:val="00A84DCC"/>
    <w:rsid w:val="00A84E18"/>
    <w:rsid w:val="00A85706"/>
    <w:rsid w:val="00A85837"/>
    <w:rsid w:val="00A85BA8"/>
    <w:rsid w:val="00A85E3E"/>
    <w:rsid w:val="00A866A5"/>
    <w:rsid w:val="00A868BD"/>
    <w:rsid w:val="00A86BED"/>
    <w:rsid w:val="00A86E9A"/>
    <w:rsid w:val="00A86F6D"/>
    <w:rsid w:val="00A86FE7"/>
    <w:rsid w:val="00A878BA"/>
    <w:rsid w:val="00A87C4B"/>
    <w:rsid w:val="00A900BB"/>
    <w:rsid w:val="00A9042B"/>
    <w:rsid w:val="00A90B8E"/>
    <w:rsid w:val="00A90DCD"/>
    <w:rsid w:val="00A90EAC"/>
    <w:rsid w:val="00A91002"/>
    <w:rsid w:val="00A91003"/>
    <w:rsid w:val="00A91319"/>
    <w:rsid w:val="00A91634"/>
    <w:rsid w:val="00A922A6"/>
    <w:rsid w:val="00A93023"/>
    <w:rsid w:val="00A933D9"/>
    <w:rsid w:val="00A9357F"/>
    <w:rsid w:val="00A93819"/>
    <w:rsid w:val="00A93822"/>
    <w:rsid w:val="00A93CA5"/>
    <w:rsid w:val="00A94182"/>
    <w:rsid w:val="00A94BEB"/>
    <w:rsid w:val="00A94C62"/>
    <w:rsid w:val="00A95170"/>
    <w:rsid w:val="00A95A10"/>
    <w:rsid w:val="00A95A4F"/>
    <w:rsid w:val="00A960F5"/>
    <w:rsid w:val="00A96951"/>
    <w:rsid w:val="00A96D4A"/>
    <w:rsid w:val="00A96DA0"/>
    <w:rsid w:val="00A9704E"/>
    <w:rsid w:val="00A97B1B"/>
    <w:rsid w:val="00A97D13"/>
    <w:rsid w:val="00AA05F3"/>
    <w:rsid w:val="00AA095B"/>
    <w:rsid w:val="00AA1117"/>
    <w:rsid w:val="00AA11C6"/>
    <w:rsid w:val="00AA13A7"/>
    <w:rsid w:val="00AA14CB"/>
    <w:rsid w:val="00AA1974"/>
    <w:rsid w:val="00AA2566"/>
    <w:rsid w:val="00AA279D"/>
    <w:rsid w:val="00AA30E9"/>
    <w:rsid w:val="00AA33AE"/>
    <w:rsid w:val="00AA3552"/>
    <w:rsid w:val="00AA36F6"/>
    <w:rsid w:val="00AA3B62"/>
    <w:rsid w:val="00AA401F"/>
    <w:rsid w:val="00AA4138"/>
    <w:rsid w:val="00AA4879"/>
    <w:rsid w:val="00AA497F"/>
    <w:rsid w:val="00AA4BF4"/>
    <w:rsid w:val="00AA5140"/>
    <w:rsid w:val="00AA52DE"/>
    <w:rsid w:val="00AA5326"/>
    <w:rsid w:val="00AA5608"/>
    <w:rsid w:val="00AA60C5"/>
    <w:rsid w:val="00AA61FD"/>
    <w:rsid w:val="00AA6483"/>
    <w:rsid w:val="00AA74BE"/>
    <w:rsid w:val="00AA768C"/>
    <w:rsid w:val="00AA780C"/>
    <w:rsid w:val="00AA7AB6"/>
    <w:rsid w:val="00AB02C4"/>
    <w:rsid w:val="00AB0912"/>
    <w:rsid w:val="00AB0E37"/>
    <w:rsid w:val="00AB102B"/>
    <w:rsid w:val="00AB146A"/>
    <w:rsid w:val="00AB1623"/>
    <w:rsid w:val="00AB1641"/>
    <w:rsid w:val="00AB1A25"/>
    <w:rsid w:val="00AB1B6D"/>
    <w:rsid w:val="00AB204A"/>
    <w:rsid w:val="00AB2859"/>
    <w:rsid w:val="00AB2915"/>
    <w:rsid w:val="00AB298C"/>
    <w:rsid w:val="00AB2CEB"/>
    <w:rsid w:val="00AB2E38"/>
    <w:rsid w:val="00AB2FC4"/>
    <w:rsid w:val="00AB3089"/>
    <w:rsid w:val="00AB3747"/>
    <w:rsid w:val="00AB392C"/>
    <w:rsid w:val="00AB3DCD"/>
    <w:rsid w:val="00AB409A"/>
    <w:rsid w:val="00AB4BDE"/>
    <w:rsid w:val="00AB53B9"/>
    <w:rsid w:val="00AB547E"/>
    <w:rsid w:val="00AB566A"/>
    <w:rsid w:val="00AB5856"/>
    <w:rsid w:val="00AB5A2B"/>
    <w:rsid w:val="00AB6A74"/>
    <w:rsid w:val="00AB6B66"/>
    <w:rsid w:val="00AB6D79"/>
    <w:rsid w:val="00AB6F30"/>
    <w:rsid w:val="00AB760D"/>
    <w:rsid w:val="00AB76A7"/>
    <w:rsid w:val="00AB7E26"/>
    <w:rsid w:val="00AB7F6E"/>
    <w:rsid w:val="00AC02C9"/>
    <w:rsid w:val="00AC0627"/>
    <w:rsid w:val="00AC11B1"/>
    <w:rsid w:val="00AC18A5"/>
    <w:rsid w:val="00AC18C8"/>
    <w:rsid w:val="00AC2308"/>
    <w:rsid w:val="00AC305A"/>
    <w:rsid w:val="00AC37C6"/>
    <w:rsid w:val="00AC4884"/>
    <w:rsid w:val="00AC4A35"/>
    <w:rsid w:val="00AC4D2F"/>
    <w:rsid w:val="00AC4E25"/>
    <w:rsid w:val="00AC57B8"/>
    <w:rsid w:val="00AC5824"/>
    <w:rsid w:val="00AC59D3"/>
    <w:rsid w:val="00AC5CF8"/>
    <w:rsid w:val="00AC5EA3"/>
    <w:rsid w:val="00AC6405"/>
    <w:rsid w:val="00AC67D2"/>
    <w:rsid w:val="00AC6B7D"/>
    <w:rsid w:val="00AC6D63"/>
    <w:rsid w:val="00AC6E54"/>
    <w:rsid w:val="00AC6FC1"/>
    <w:rsid w:val="00AC780C"/>
    <w:rsid w:val="00AC7F56"/>
    <w:rsid w:val="00AD0039"/>
    <w:rsid w:val="00AD0587"/>
    <w:rsid w:val="00AD0AF3"/>
    <w:rsid w:val="00AD1204"/>
    <w:rsid w:val="00AD1991"/>
    <w:rsid w:val="00AD1D04"/>
    <w:rsid w:val="00AD1D0C"/>
    <w:rsid w:val="00AD1DB8"/>
    <w:rsid w:val="00AD21E6"/>
    <w:rsid w:val="00AD22C0"/>
    <w:rsid w:val="00AD24F9"/>
    <w:rsid w:val="00AD2B93"/>
    <w:rsid w:val="00AD30E3"/>
    <w:rsid w:val="00AD3271"/>
    <w:rsid w:val="00AD3371"/>
    <w:rsid w:val="00AD3E9B"/>
    <w:rsid w:val="00AD4114"/>
    <w:rsid w:val="00AD4A7F"/>
    <w:rsid w:val="00AD4CBD"/>
    <w:rsid w:val="00AD4E79"/>
    <w:rsid w:val="00AD5225"/>
    <w:rsid w:val="00AD55F9"/>
    <w:rsid w:val="00AD5B6A"/>
    <w:rsid w:val="00AD61A4"/>
    <w:rsid w:val="00AD61C2"/>
    <w:rsid w:val="00AD6C8A"/>
    <w:rsid w:val="00AD705F"/>
    <w:rsid w:val="00AD7D1E"/>
    <w:rsid w:val="00AD7FD3"/>
    <w:rsid w:val="00AE0025"/>
    <w:rsid w:val="00AE028D"/>
    <w:rsid w:val="00AE0317"/>
    <w:rsid w:val="00AE0D61"/>
    <w:rsid w:val="00AE0ED9"/>
    <w:rsid w:val="00AE0FF9"/>
    <w:rsid w:val="00AE110A"/>
    <w:rsid w:val="00AE17E5"/>
    <w:rsid w:val="00AE1D59"/>
    <w:rsid w:val="00AE2216"/>
    <w:rsid w:val="00AE24FC"/>
    <w:rsid w:val="00AE2540"/>
    <w:rsid w:val="00AE2C71"/>
    <w:rsid w:val="00AE393C"/>
    <w:rsid w:val="00AE39A9"/>
    <w:rsid w:val="00AE40AB"/>
    <w:rsid w:val="00AE41D0"/>
    <w:rsid w:val="00AE4F13"/>
    <w:rsid w:val="00AE50BD"/>
    <w:rsid w:val="00AE5534"/>
    <w:rsid w:val="00AE59F9"/>
    <w:rsid w:val="00AE5A58"/>
    <w:rsid w:val="00AE5A6D"/>
    <w:rsid w:val="00AE5F55"/>
    <w:rsid w:val="00AE6298"/>
    <w:rsid w:val="00AE7017"/>
    <w:rsid w:val="00AE706F"/>
    <w:rsid w:val="00AE72F9"/>
    <w:rsid w:val="00AE7938"/>
    <w:rsid w:val="00AE7B03"/>
    <w:rsid w:val="00AE7BD0"/>
    <w:rsid w:val="00AE7FD8"/>
    <w:rsid w:val="00AF11A7"/>
    <w:rsid w:val="00AF1864"/>
    <w:rsid w:val="00AF1CB6"/>
    <w:rsid w:val="00AF2296"/>
    <w:rsid w:val="00AF2DF3"/>
    <w:rsid w:val="00AF2FBD"/>
    <w:rsid w:val="00AF3844"/>
    <w:rsid w:val="00AF3D7F"/>
    <w:rsid w:val="00AF3E63"/>
    <w:rsid w:val="00AF420A"/>
    <w:rsid w:val="00AF48C3"/>
    <w:rsid w:val="00AF49C0"/>
    <w:rsid w:val="00AF4D79"/>
    <w:rsid w:val="00AF5242"/>
    <w:rsid w:val="00AF53D4"/>
    <w:rsid w:val="00AF5BC2"/>
    <w:rsid w:val="00AF5ED0"/>
    <w:rsid w:val="00AF6D3D"/>
    <w:rsid w:val="00AF7043"/>
    <w:rsid w:val="00AF7480"/>
    <w:rsid w:val="00AF78AD"/>
    <w:rsid w:val="00AF7F10"/>
    <w:rsid w:val="00B000FC"/>
    <w:rsid w:val="00B00174"/>
    <w:rsid w:val="00B00241"/>
    <w:rsid w:val="00B00388"/>
    <w:rsid w:val="00B0057A"/>
    <w:rsid w:val="00B0059F"/>
    <w:rsid w:val="00B010A3"/>
    <w:rsid w:val="00B013B1"/>
    <w:rsid w:val="00B0188B"/>
    <w:rsid w:val="00B02095"/>
    <w:rsid w:val="00B02A5E"/>
    <w:rsid w:val="00B02E2E"/>
    <w:rsid w:val="00B03B6C"/>
    <w:rsid w:val="00B03EC5"/>
    <w:rsid w:val="00B04066"/>
    <w:rsid w:val="00B0462D"/>
    <w:rsid w:val="00B04701"/>
    <w:rsid w:val="00B056D8"/>
    <w:rsid w:val="00B05B74"/>
    <w:rsid w:val="00B05F49"/>
    <w:rsid w:val="00B06A5B"/>
    <w:rsid w:val="00B06C16"/>
    <w:rsid w:val="00B07594"/>
    <w:rsid w:val="00B0759D"/>
    <w:rsid w:val="00B0782B"/>
    <w:rsid w:val="00B07B1C"/>
    <w:rsid w:val="00B1004C"/>
    <w:rsid w:val="00B10500"/>
    <w:rsid w:val="00B1086C"/>
    <w:rsid w:val="00B10AFA"/>
    <w:rsid w:val="00B10DFD"/>
    <w:rsid w:val="00B110BA"/>
    <w:rsid w:val="00B11494"/>
    <w:rsid w:val="00B1174C"/>
    <w:rsid w:val="00B11AD6"/>
    <w:rsid w:val="00B12167"/>
    <w:rsid w:val="00B121C4"/>
    <w:rsid w:val="00B121FB"/>
    <w:rsid w:val="00B12259"/>
    <w:rsid w:val="00B125C7"/>
    <w:rsid w:val="00B1307B"/>
    <w:rsid w:val="00B1325B"/>
    <w:rsid w:val="00B135D2"/>
    <w:rsid w:val="00B137FC"/>
    <w:rsid w:val="00B13DD2"/>
    <w:rsid w:val="00B13E3C"/>
    <w:rsid w:val="00B141E1"/>
    <w:rsid w:val="00B14F06"/>
    <w:rsid w:val="00B14F83"/>
    <w:rsid w:val="00B1622B"/>
    <w:rsid w:val="00B16325"/>
    <w:rsid w:val="00B167F6"/>
    <w:rsid w:val="00B16E7A"/>
    <w:rsid w:val="00B171FF"/>
    <w:rsid w:val="00B17456"/>
    <w:rsid w:val="00B175B9"/>
    <w:rsid w:val="00B17769"/>
    <w:rsid w:val="00B17A45"/>
    <w:rsid w:val="00B17F39"/>
    <w:rsid w:val="00B20CC5"/>
    <w:rsid w:val="00B213EF"/>
    <w:rsid w:val="00B21FE5"/>
    <w:rsid w:val="00B22065"/>
    <w:rsid w:val="00B229B3"/>
    <w:rsid w:val="00B229B9"/>
    <w:rsid w:val="00B22AC6"/>
    <w:rsid w:val="00B22F24"/>
    <w:rsid w:val="00B22FED"/>
    <w:rsid w:val="00B231F4"/>
    <w:rsid w:val="00B23407"/>
    <w:rsid w:val="00B234CF"/>
    <w:rsid w:val="00B23655"/>
    <w:rsid w:val="00B23861"/>
    <w:rsid w:val="00B239A8"/>
    <w:rsid w:val="00B239F7"/>
    <w:rsid w:val="00B24132"/>
    <w:rsid w:val="00B24C91"/>
    <w:rsid w:val="00B2586F"/>
    <w:rsid w:val="00B2602F"/>
    <w:rsid w:val="00B26054"/>
    <w:rsid w:val="00B26CF5"/>
    <w:rsid w:val="00B2718B"/>
    <w:rsid w:val="00B271B1"/>
    <w:rsid w:val="00B27439"/>
    <w:rsid w:val="00B2747A"/>
    <w:rsid w:val="00B27553"/>
    <w:rsid w:val="00B277FA"/>
    <w:rsid w:val="00B279FE"/>
    <w:rsid w:val="00B27B98"/>
    <w:rsid w:val="00B27D2E"/>
    <w:rsid w:val="00B30244"/>
    <w:rsid w:val="00B302CD"/>
    <w:rsid w:val="00B30DB9"/>
    <w:rsid w:val="00B3130F"/>
    <w:rsid w:val="00B31E58"/>
    <w:rsid w:val="00B32A2D"/>
    <w:rsid w:val="00B32BF5"/>
    <w:rsid w:val="00B32DA4"/>
    <w:rsid w:val="00B32DB8"/>
    <w:rsid w:val="00B32E13"/>
    <w:rsid w:val="00B32F58"/>
    <w:rsid w:val="00B333C0"/>
    <w:rsid w:val="00B33923"/>
    <w:rsid w:val="00B341EC"/>
    <w:rsid w:val="00B35070"/>
    <w:rsid w:val="00B3527B"/>
    <w:rsid w:val="00B35385"/>
    <w:rsid w:val="00B35689"/>
    <w:rsid w:val="00B35EEE"/>
    <w:rsid w:val="00B360BC"/>
    <w:rsid w:val="00B368B8"/>
    <w:rsid w:val="00B37E87"/>
    <w:rsid w:val="00B40155"/>
    <w:rsid w:val="00B402EB"/>
    <w:rsid w:val="00B40AAA"/>
    <w:rsid w:val="00B40C10"/>
    <w:rsid w:val="00B4106D"/>
    <w:rsid w:val="00B41287"/>
    <w:rsid w:val="00B4130F"/>
    <w:rsid w:val="00B41346"/>
    <w:rsid w:val="00B415D8"/>
    <w:rsid w:val="00B4167B"/>
    <w:rsid w:val="00B4190F"/>
    <w:rsid w:val="00B41D26"/>
    <w:rsid w:val="00B41E0A"/>
    <w:rsid w:val="00B4205F"/>
    <w:rsid w:val="00B42372"/>
    <w:rsid w:val="00B423B6"/>
    <w:rsid w:val="00B42AC6"/>
    <w:rsid w:val="00B42C65"/>
    <w:rsid w:val="00B42CCB"/>
    <w:rsid w:val="00B42E54"/>
    <w:rsid w:val="00B42F65"/>
    <w:rsid w:val="00B43A2F"/>
    <w:rsid w:val="00B43E29"/>
    <w:rsid w:val="00B440A4"/>
    <w:rsid w:val="00B44802"/>
    <w:rsid w:val="00B44947"/>
    <w:rsid w:val="00B44E64"/>
    <w:rsid w:val="00B451B9"/>
    <w:rsid w:val="00B4538A"/>
    <w:rsid w:val="00B45993"/>
    <w:rsid w:val="00B45BA8"/>
    <w:rsid w:val="00B45CD9"/>
    <w:rsid w:val="00B45DC3"/>
    <w:rsid w:val="00B465D2"/>
    <w:rsid w:val="00B4744E"/>
    <w:rsid w:val="00B479E9"/>
    <w:rsid w:val="00B479EC"/>
    <w:rsid w:val="00B47C56"/>
    <w:rsid w:val="00B502D5"/>
    <w:rsid w:val="00B505AD"/>
    <w:rsid w:val="00B508A1"/>
    <w:rsid w:val="00B50AF7"/>
    <w:rsid w:val="00B51571"/>
    <w:rsid w:val="00B516FA"/>
    <w:rsid w:val="00B5182C"/>
    <w:rsid w:val="00B52641"/>
    <w:rsid w:val="00B52753"/>
    <w:rsid w:val="00B528A4"/>
    <w:rsid w:val="00B534FF"/>
    <w:rsid w:val="00B54060"/>
    <w:rsid w:val="00B54712"/>
    <w:rsid w:val="00B54764"/>
    <w:rsid w:val="00B54B6E"/>
    <w:rsid w:val="00B54C13"/>
    <w:rsid w:val="00B5518B"/>
    <w:rsid w:val="00B55DA9"/>
    <w:rsid w:val="00B57058"/>
    <w:rsid w:val="00B578BD"/>
    <w:rsid w:val="00B57B54"/>
    <w:rsid w:val="00B60774"/>
    <w:rsid w:val="00B609A6"/>
    <w:rsid w:val="00B60BC1"/>
    <w:rsid w:val="00B6105E"/>
    <w:rsid w:val="00B613C8"/>
    <w:rsid w:val="00B61F36"/>
    <w:rsid w:val="00B628A4"/>
    <w:rsid w:val="00B62EFE"/>
    <w:rsid w:val="00B63437"/>
    <w:rsid w:val="00B63887"/>
    <w:rsid w:val="00B638AC"/>
    <w:rsid w:val="00B64470"/>
    <w:rsid w:val="00B65075"/>
    <w:rsid w:val="00B661DA"/>
    <w:rsid w:val="00B66274"/>
    <w:rsid w:val="00B6651A"/>
    <w:rsid w:val="00B6657F"/>
    <w:rsid w:val="00B66766"/>
    <w:rsid w:val="00B676FE"/>
    <w:rsid w:val="00B6770B"/>
    <w:rsid w:val="00B701F3"/>
    <w:rsid w:val="00B70311"/>
    <w:rsid w:val="00B708EB"/>
    <w:rsid w:val="00B70B72"/>
    <w:rsid w:val="00B70CD2"/>
    <w:rsid w:val="00B70EDC"/>
    <w:rsid w:val="00B71766"/>
    <w:rsid w:val="00B72224"/>
    <w:rsid w:val="00B7254B"/>
    <w:rsid w:val="00B7334C"/>
    <w:rsid w:val="00B7355F"/>
    <w:rsid w:val="00B736AA"/>
    <w:rsid w:val="00B73910"/>
    <w:rsid w:val="00B745D2"/>
    <w:rsid w:val="00B74E04"/>
    <w:rsid w:val="00B7514D"/>
    <w:rsid w:val="00B7539E"/>
    <w:rsid w:val="00B7547F"/>
    <w:rsid w:val="00B7578B"/>
    <w:rsid w:val="00B7612A"/>
    <w:rsid w:val="00B76741"/>
    <w:rsid w:val="00B7692F"/>
    <w:rsid w:val="00B7704B"/>
    <w:rsid w:val="00B776EE"/>
    <w:rsid w:val="00B77CA0"/>
    <w:rsid w:val="00B8040A"/>
    <w:rsid w:val="00B80606"/>
    <w:rsid w:val="00B81B67"/>
    <w:rsid w:val="00B822E0"/>
    <w:rsid w:val="00B822ED"/>
    <w:rsid w:val="00B8233B"/>
    <w:rsid w:val="00B843FF"/>
    <w:rsid w:val="00B8461E"/>
    <w:rsid w:val="00B848AF"/>
    <w:rsid w:val="00B8511E"/>
    <w:rsid w:val="00B855F6"/>
    <w:rsid w:val="00B86056"/>
    <w:rsid w:val="00B86361"/>
    <w:rsid w:val="00B866A6"/>
    <w:rsid w:val="00B866EE"/>
    <w:rsid w:val="00B86BF7"/>
    <w:rsid w:val="00B86D78"/>
    <w:rsid w:val="00B86D87"/>
    <w:rsid w:val="00B86F06"/>
    <w:rsid w:val="00B87023"/>
    <w:rsid w:val="00B87129"/>
    <w:rsid w:val="00B87DD5"/>
    <w:rsid w:val="00B903F7"/>
    <w:rsid w:val="00B903F8"/>
    <w:rsid w:val="00B90412"/>
    <w:rsid w:val="00B90A60"/>
    <w:rsid w:val="00B91A87"/>
    <w:rsid w:val="00B91B18"/>
    <w:rsid w:val="00B91B26"/>
    <w:rsid w:val="00B925AD"/>
    <w:rsid w:val="00B926A6"/>
    <w:rsid w:val="00B93ABD"/>
    <w:rsid w:val="00B93BD1"/>
    <w:rsid w:val="00B93BEC"/>
    <w:rsid w:val="00B93E0E"/>
    <w:rsid w:val="00B93E23"/>
    <w:rsid w:val="00B93E7E"/>
    <w:rsid w:val="00B93F39"/>
    <w:rsid w:val="00B942E2"/>
    <w:rsid w:val="00B94AF3"/>
    <w:rsid w:val="00B94E7B"/>
    <w:rsid w:val="00B94EBE"/>
    <w:rsid w:val="00B950B5"/>
    <w:rsid w:val="00B95BE7"/>
    <w:rsid w:val="00B968FD"/>
    <w:rsid w:val="00B96BA7"/>
    <w:rsid w:val="00B972AB"/>
    <w:rsid w:val="00B97536"/>
    <w:rsid w:val="00B97C0D"/>
    <w:rsid w:val="00BA08DC"/>
    <w:rsid w:val="00BA099B"/>
    <w:rsid w:val="00BA0ABF"/>
    <w:rsid w:val="00BA15FC"/>
    <w:rsid w:val="00BA16AE"/>
    <w:rsid w:val="00BA174B"/>
    <w:rsid w:val="00BA18B6"/>
    <w:rsid w:val="00BA23E1"/>
    <w:rsid w:val="00BA2FE1"/>
    <w:rsid w:val="00BA3175"/>
    <w:rsid w:val="00BA318C"/>
    <w:rsid w:val="00BA32D1"/>
    <w:rsid w:val="00BA3E56"/>
    <w:rsid w:val="00BA44A2"/>
    <w:rsid w:val="00BA45BA"/>
    <w:rsid w:val="00BA4AF3"/>
    <w:rsid w:val="00BA4E0F"/>
    <w:rsid w:val="00BA51B4"/>
    <w:rsid w:val="00BA5423"/>
    <w:rsid w:val="00BA6184"/>
    <w:rsid w:val="00BA65E4"/>
    <w:rsid w:val="00BA6DB6"/>
    <w:rsid w:val="00BA70F5"/>
    <w:rsid w:val="00BA7978"/>
    <w:rsid w:val="00BA7CD8"/>
    <w:rsid w:val="00BB0002"/>
    <w:rsid w:val="00BB03E5"/>
    <w:rsid w:val="00BB0E7F"/>
    <w:rsid w:val="00BB1106"/>
    <w:rsid w:val="00BB1197"/>
    <w:rsid w:val="00BB133D"/>
    <w:rsid w:val="00BB149F"/>
    <w:rsid w:val="00BB28FE"/>
    <w:rsid w:val="00BB2A52"/>
    <w:rsid w:val="00BB3409"/>
    <w:rsid w:val="00BB3C4D"/>
    <w:rsid w:val="00BB413C"/>
    <w:rsid w:val="00BB4943"/>
    <w:rsid w:val="00BB53E1"/>
    <w:rsid w:val="00BB5807"/>
    <w:rsid w:val="00BB5A99"/>
    <w:rsid w:val="00BB5CE1"/>
    <w:rsid w:val="00BB629C"/>
    <w:rsid w:val="00BB7380"/>
    <w:rsid w:val="00BB7530"/>
    <w:rsid w:val="00BB7801"/>
    <w:rsid w:val="00BB7859"/>
    <w:rsid w:val="00BB7901"/>
    <w:rsid w:val="00BB7A38"/>
    <w:rsid w:val="00BB7FB4"/>
    <w:rsid w:val="00BC098D"/>
    <w:rsid w:val="00BC0ABD"/>
    <w:rsid w:val="00BC0FE4"/>
    <w:rsid w:val="00BC1039"/>
    <w:rsid w:val="00BC1781"/>
    <w:rsid w:val="00BC18FC"/>
    <w:rsid w:val="00BC1FD0"/>
    <w:rsid w:val="00BC2175"/>
    <w:rsid w:val="00BC25AF"/>
    <w:rsid w:val="00BC28C1"/>
    <w:rsid w:val="00BC2989"/>
    <w:rsid w:val="00BC2AAA"/>
    <w:rsid w:val="00BC2BC6"/>
    <w:rsid w:val="00BC2DF9"/>
    <w:rsid w:val="00BC321E"/>
    <w:rsid w:val="00BC32EE"/>
    <w:rsid w:val="00BC35ED"/>
    <w:rsid w:val="00BC3837"/>
    <w:rsid w:val="00BC4004"/>
    <w:rsid w:val="00BC43F9"/>
    <w:rsid w:val="00BC45F5"/>
    <w:rsid w:val="00BC48CB"/>
    <w:rsid w:val="00BC48ED"/>
    <w:rsid w:val="00BC494D"/>
    <w:rsid w:val="00BC4DD6"/>
    <w:rsid w:val="00BC4E73"/>
    <w:rsid w:val="00BC5005"/>
    <w:rsid w:val="00BC5492"/>
    <w:rsid w:val="00BC5708"/>
    <w:rsid w:val="00BC5C3E"/>
    <w:rsid w:val="00BC5DF4"/>
    <w:rsid w:val="00BC602C"/>
    <w:rsid w:val="00BC6646"/>
    <w:rsid w:val="00BC699F"/>
    <w:rsid w:val="00BC6A45"/>
    <w:rsid w:val="00BC6B51"/>
    <w:rsid w:val="00BC6D2A"/>
    <w:rsid w:val="00BC6D6B"/>
    <w:rsid w:val="00BC6D7E"/>
    <w:rsid w:val="00BC6DA4"/>
    <w:rsid w:val="00BC7110"/>
    <w:rsid w:val="00BC727C"/>
    <w:rsid w:val="00BC752B"/>
    <w:rsid w:val="00BD0117"/>
    <w:rsid w:val="00BD0F96"/>
    <w:rsid w:val="00BD0FA4"/>
    <w:rsid w:val="00BD119F"/>
    <w:rsid w:val="00BD187E"/>
    <w:rsid w:val="00BD20F3"/>
    <w:rsid w:val="00BD2530"/>
    <w:rsid w:val="00BD2F6E"/>
    <w:rsid w:val="00BD3261"/>
    <w:rsid w:val="00BD337B"/>
    <w:rsid w:val="00BD353C"/>
    <w:rsid w:val="00BD39A6"/>
    <w:rsid w:val="00BD4379"/>
    <w:rsid w:val="00BD4A6E"/>
    <w:rsid w:val="00BD553C"/>
    <w:rsid w:val="00BD573B"/>
    <w:rsid w:val="00BD5B44"/>
    <w:rsid w:val="00BD5F11"/>
    <w:rsid w:val="00BD6110"/>
    <w:rsid w:val="00BD74D8"/>
    <w:rsid w:val="00BD7FED"/>
    <w:rsid w:val="00BE0564"/>
    <w:rsid w:val="00BE0610"/>
    <w:rsid w:val="00BE06B8"/>
    <w:rsid w:val="00BE0756"/>
    <w:rsid w:val="00BE0DD5"/>
    <w:rsid w:val="00BE0FD8"/>
    <w:rsid w:val="00BE1CB5"/>
    <w:rsid w:val="00BE2643"/>
    <w:rsid w:val="00BE32DA"/>
    <w:rsid w:val="00BE36F0"/>
    <w:rsid w:val="00BE3BD3"/>
    <w:rsid w:val="00BE4063"/>
    <w:rsid w:val="00BE413C"/>
    <w:rsid w:val="00BE439B"/>
    <w:rsid w:val="00BE457B"/>
    <w:rsid w:val="00BE4769"/>
    <w:rsid w:val="00BE4895"/>
    <w:rsid w:val="00BE4A1B"/>
    <w:rsid w:val="00BE4E22"/>
    <w:rsid w:val="00BE528B"/>
    <w:rsid w:val="00BE54E8"/>
    <w:rsid w:val="00BE5664"/>
    <w:rsid w:val="00BE599B"/>
    <w:rsid w:val="00BE5A8E"/>
    <w:rsid w:val="00BE5C1E"/>
    <w:rsid w:val="00BE6133"/>
    <w:rsid w:val="00BE63C6"/>
    <w:rsid w:val="00BE65B2"/>
    <w:rsid w:val="00BE6B68"/>
    <w:rsid w:val="00BE77B3"/>
    <w:rsid w:val="00BE78D5"/>
    <w:rsid w:val="00BE7C3C"/>
    <w:rsid w:val="00BE7C50"/>
    <w:rsid w:val="00BF00DA"/>
    <w:rsid w:val="00BF016F"/>
    <w:rsid w:val="00BF0272"/>
    <w:rsid w:val="00BF0AD3"/>
    <w:rsid w:val="00BF0B01"/>
    <w:rsid w:val="00BF103C"/>
    <w:rsid w:val="00BF131C"/>
    <w:rsid w:val="00BF134A"/>
    <w:rsid w:val="00BF15B2"/>
    <w:rsid w:val="00BF160E"/>
    <w:rsid w:val="00BF1E04"/>
    <w:rsid w:val="00BF229D"/>
    <w:rsid w:val="00BF2CBE"/>
    <w:rsid w:val="00BF2F29"/>
    <w:rsid w:val="00BF3812"/>
    <w:rsid w:val="00BF4F02"/>
    <w:rsid w:val="00BF5641"/>
    <w:rsid w:val="00BF59C8"/>
    <w:rsid w:val="00BF5C15"/>
    <w:rsid w:val="00BF5E9E"/>
    <w:rsid w:val="00BF6296"/>
    <w:rsid w:val="00BF62FB"/>
    <w:rsid w:val="00BF6DA3"/>
    <w:rsid w:val="00BF7825"/>
    <w:rsid w:val="00BF7BC9"/>
    <w:rsid w:val="00BF7F1A"/>
    <w:rsid w:val="00C00B0E"/>
    <w:rsid w:val="00C01C61"/>
    <w:rsid w:val="00C01F01"/>
    <w:rsid w:val="00C02409"/>
    <w:rsid w:val="00C03601"/>
    <w:rsid w:val="00C03617"/>
    <w:rsid w:val="00C03C47"/>
    <w:rsid w:val="00C03D9A"/>
    <w:rsid w:val="00C03EA2"/>
    <w:rsid w:val="00C043A2"/>
    <w:rsid w:val="00C0526B"/>
    <w:rsid w:val="00C0530C"/>
    <w:rsid w:val="00C05314"/>
    <w:rsid w:val="00C058DF"/>
    <w:rsid w:val="00C06BC1"/>
    <w:rsid w:val="00C06C08"/>
    <w:rsid w:val="00C07519"/>
    <w:rsid w:val="00C07545"/>
    <w:rsid w:val="00C076F7"/>
    <w:rsid w:val="00C07A91"/>
    <w:rsid w:val="00C105E9"/>
    <w:rsid w:val="00C10A9D"/>
    <w:rsid w:val="00C111B4"/>
    <w:rsid w:val="00C11657"/>
    <w:rsid w:val="00C11ED8"/>
    <w:rsid w:val="00C12A19"/>
    <w:rsid w:val="00C12EB3"/>
    <w:rsid w:val="00C13400"/>
    <w:rsid w:val="00C13652"/>
    <w:rsid w:val="00C13686"/>
    <w:rsid w:val="00C137D1"/>
    <w:rsid w:val="00C13969"/>
    <w:rsid w:val="00C13EDE"/>
    <w:rsid w:val="00C142CE"/>
    <w:rsid w:val="00C143E5"/>
    <w:rsid w:val="00C14A18"/>
    <w:rsid w:val="00C14A88"/>
    <w:rsid w:val="00C14E2D"/>
    <w:rsid w:val="00C14E46"/>
    <w:rsid w:val="00C1574B"/>
    <w:rsid w:val="00C15F26"/>
    <w:rsid w:val="00C16192"/>
    <w:rsid w:val="00C16862"/>
    <w:rsid w:val="00C16B51"/>
    <w:rsid w:val="00C1713C"/>
    <w:rsid w:val="00C17150"/>
    <w:rsid w:val="00C17976"/>
    <w:rsid w:val="00C17EC6"/>
    <w:rsid w:val="00C17F0B"/>
    <w:rsid w:val="00C20AA9"/>
    <w:rsid w:val="00C21B97"/>
    <w:rsid w:val="00C21E7E"/>
    <w:rsid w:val="00C21E86"/>
    <w:rsid w:val="00C22201"/>
    <w:rsid w:val="00C2268E"/>
    <w:rsid w:val="00C22A7F"/>
    <w:rsid w:val="00C23EE9"/>
    <w:rsid w:val="00C24337"/>
    <w:rsid w:val="00C24739"/>
    <w:rsid w:val="00C24CD5"/>
    <w:rsid w:val="00C251E1"/>
    <w:rsid w:val="00C25DAC"/>
    <w:rsid w:val="00C26721"/>
    <w:rsid w:val="00C269CC"/>
    <w:rsid w:val="00C26AD8"/>
    <w:rsid w:val="00C26B0C"/>
    <w:rsid w:val="00C26B81"/>
    <w:rsid w:val="00C26C88"/>
    <w:rsid w:val="00C275EE"/>
    <w:rsid w:val="00C302A3"/>
    <w:rsid w:val="00C30663"/>
    <w:rsid w:val="00C306A9"/>
    <w:rsid w:val="00C30EDC"/>
    <w:rsid w:val="00C310BB"/>
    <w:rsid w:val="00C313E7"/>
    <w:rsid w:val="00C32247"/>
    <w:rsid w:val="00C32339"/>
    <w:rsid w:val="00C327CD"/>
    <w:rsid w:val="00C32914"/>
    <w:rsid w:val="00C32963"/>
    <w:rsid w:val="00C329FE"/>
    <w:rsid w:val="00C32AB3"/>
    <w:rsid w:val="00C3318C"/>
    <w:rsid w:val="00C33CDA"/>
    <w:rsid w:val="00C3416A"/>
    <w:rsid w:val="00C344DF"/>
    <w:rsid w:val="00C34740"/>
    <w:rsid w:val="00C3477A"/>
    <w:rsid w:val="00C34FFE"/>
    <w:rsid w:val="00C354E3"/>
    <w:rsid w:val="00C364B7"/>
    <w:rsid w:val="00C36CAF"/>
    <w:rsid w:val="00C3715A"/>
    <w:rsid w:val="00C376C1"/>
    <w:rsid w:val="00C37839"/>
    <w:rsid w:val="00C37962"/>
    <w:rsid w:val="00C37B56"/>
    <w:rsid w:val="00C404F1"/>
    <w:rsid w:val="00C407CA"/>
    <w:rsid w:val="00C40A1A"/>
    <w:rsid w:val="00C41038"/>
    <w:rsid w:val="00C421F0"/>
    <w:rsid w:val="00C429AB"/>
    <w:rsid w:val="00C42B34"/>
    <w:rsid w:val="00C42C37"/>
    <w:rsid w:val="00C42C77"/>
    <w:rsid w:val="00C42D3E"/>
    <w:rsid w:val="00C42F0C"/>
    <w:rsid w:val="00C43167"/>
    <w:rsid w:val="00C4376E"/>
    <w:rsid w:val="00C441A4"/>
    <w:rsid w:val="00C44E30"/>
    <w:rsid w:val="00C45608"/>
    <w:rsid w:val="00C45611"/>
    <w:rsid w:val="00C45E8B"/>
    <w:rsid w:val="00C45E8E"/>
    <w:rsid w:val="00C45F72"/>
    <w:rsid w:val="00C460AE"/>
    <w:rsid w:val="00C46DA0"/>
    <w:rsid w:val="00C46ED3"/>
    <w:rsid w:val="00C4756F"/>
    <w:rsid w:val="00C47F86"/>
    <w:rsid w:val="00C50150"/>
    <w:rsid w:val="00C506D0"/>
    <w:rsid w:val="00C506EE"/>
    <w:rsid w:val="00C50836"/>
    <w:rsid w:val="00C50BAE"/>
    <w:rsid w:val="00C50BD6"/>
    <w:rsid w:val="00C50C05"/>
    <w:rsid w:val="00C50E84"/>
    <w:rsid w:val="00C51575"/>
    <w:rsid w:val="00C515AF"/>
    <w:rsid w:val="00C519C8"/>
    <w:rsid w:val="00C51CEF"/>
    <w:rsid w:val="00C52418"/>
    <w:rsid w:val="00C52455"/>
    <w:rsid w:val="00C524B1"/>
    <w:rsid w:val="00C53FAE"/>
    <w:rsid w:val="00C540BF"/>
    <w:rsid w:val="00C54D12"/>
    <w:rsid w:val="00C54D36"/>
    <w:rsid w:val="00C54E2D"/>
    <w:rsid w:val="00C5524F"/>
    <w:rsid w:val="00C5539D"/>
    <w:rsid w:val="00C5545E"/>
    <w:rsid w:val="00C55740"/>
    <w:rsid w:val="00C55B31"/>
    <w:rsid w:val="00C55B9B"/>
    <w:rsid w:val="00C55E1B"/>
    <w:rsid w:val="00C55F8A"/>
    <w:rsid w:val="00C5604E"/>
    <w:rsid w:val="00C5614D"/>
    <w:rsid w:val="00C5627B"/>
    <w:rsid w:val="00C564BB"/>
    <w:rsid w:val="00C565F6"/>
    <w:rsid w:val="00C56CC8"/>
    <w:rsid w:val="00C56EBC"/>
    <w:rsid w:val="00C57357"/>
    <w:rsid w:val="00C57410"/>
    <w:rsid w:val="00C575FC"/>
    <w:rsid w:val="00C60308"/>
    <w:rsid w:val="00C6087D"/>
    <w:rsid w:val="00C60A77"/>
    <w:rsid w:val="00C60A94"/>
    <w:rsid w:val="00C60A9E"/>
    <w:rsid w:val="00C60DC5"/>
    <w:rsid w:val="00C60E58"/>
    <w:rsid w:val="00C61986"/>
    <w:rsid w:val="00C61BB1"/>
    <w:rsid w:val="00C61CA2"/>
    <w:rsid w:val="00C62032"/>
    <w:rsid w:val="00C62104"/>
    <w:rsid w:val="00C621E4"/>
    <w:rsid w:val="00C6244C"/>
    <w:rsid w:val="00C62464"/>
    <w:rsid w:val="00C62584"/>
    <w:rsid w:val="00C627C2"/>
    <w:rsid w:val="00C64231"/>
    <w:rsid w:val="00C64D6A"/>
    <w:rsid w:val="00C654AC"/>
    <w:rsid w:val="00C6558D"/>
    <w:rsid w:val="00C65A02"/>
    <w:rsid w:val="00C66D87"/>
    <w:rsid w:val="00C66D94"/>
    <w:rsid w:val="00C66E10"/>
    <w:rsid w:val="00C6703B"/>
    <w:rsid w:val="00C676A9"/>
    <w:rsid w:val="00C67A99"/>
    <w:rsid w:val="00C67AE6"/>
    <w:rsid w:val="00C67B6B"/>
    <w:rsid w:val="00C70046"/>
    <w:rsid w:val="00C70205"/>
    <w:rsid w:val="00C70301"/>
    <w:rsid w:val="00C70C31"/>
    <w:rsid w:val="00C70D68"/>
    <w:rsid w:val="00C70ECE"/>
    <w:rsid w:val="00C716CE"/>
    <w:rsid w:val="00C72129"/>
    <w:rsid w:val="00C722BF"/>
    <w:rsid w:val="00C72A46"/>
    <w:rsid w:val="00C730D9"/>
    <w:rsid w:val="00C732D8"/>
    <w:rsid w:val="00C73316"/>
    <w:rsid w:val="00C73341"/>
    <w:rsid w:val="00C73637"/>
    <w:rsid w:val="00C7377D"/>
    <w:rsid w:val="00C7386B"/>
    <w:rsid w:val="00C73C19"/>
    <w:rsid w:val="00C73D77"/>
    <w:rsid w:val="00C74358"/>
    <w:rsid w:val="00C743FA"/>
    <w:rsid w:val="00C74C5F"/>
    <w:rsid w:val="00C7585B"/>
    <w:rsid w:val="00C759B0"/>
    <w:rsid w:val="00C765AF"/>
    <w:rsid w:val="00C775DA"/>
    <w:rsid w:val="00C778B2"/>
    <w:rsid w:val="00C7795B"/>
    <w:rsid w:val="00C77C73"/>
    <w:rsid w:val="00C77FA9"/>
    <w:rsid w:val="00C80115"/>
    <w:rsid w:val="00C8022D"/>
    <w:rsid w:val="00C8030C"/>
    <w:rsid w:val="00C80569"/>
    <w:rsid w:val="00C80C56"/>
    <w:rsid w:val="00C8127E"/>
    <w:rsid w:val="00C81BBC"/>
    <w:rsid w:val="00C81D1F"/>
    <w:rsid w:val="00C8205D"/>
    <w:rsid w:val="00C820E1"/>
    <w:rsid w:val="00C823C4"/>
    <w:rsid w:val="00C823E5"/>
    <w:rsid w:val="00C82E64"/>
    <w:rsid w:val="00C83CC3"/>
    <w:rsid w:val="00C8411D"/>
    <w:rsid w:val="00C842B1"/>
    <w:rsid w:val="00C84C26"/>
    <w:rsid w:val="00C84C8E"/>
    <w:rsid w:val="00C85D14"/>
    <w:rsid w:val="00C85F4B"/>
    <w:rsid w:val="00C862FB"/>
    <w:rsid w:val="00C86B1D"/>
    <w:rsid w:val="00C870D4"/>
    <w:rsid w:val="00C8719F"/>
    <w:rsid w:val="00C872B2"/>
    <w:rsid w:val="00C87601"/>
    <w:rsid w:val="00C87EBD"/>
    <w:rsid w:val="00C87FAC"/>
    <w:rsid w:val="00C9053D"/>
    <w:rsid w:val="00C90B99"/>
    <w:rsid w:val="00C918F3"/>
    <w:rsid w:val="00C91CD6"/>
    <w:rsid w:val="00C91D23"/>
    <w:rsid w:val="00C92C12"/>
    <w:rsid w:val="00C92CA0"/>
    <w:rsid w:val="00C935F3"/>
    <w:rsid w:val="00C93749"/>
    <w:rsid w:val="00C94497"/>
    <w:rsid w:val="00C94710"/>
    <w:rsid w:val="00C95E5A"/>
    <w:rsid w:val="00C961B3"/>
    <w:rsid w:val="00C96225"/>
    <w:rsid w:val="00C97331"/>
    <w:rsid w:val="00C97828"/>
    <w:rsid w:val="00C9784C"/>
    <w:rsid w:val="00C97A5C"/>
    <w:rsid w:val="00C97CF6"/>
    <w:rsid w:val="00C97F81"/>
    <w:rsid w:val="00CA0164"/>
    <w:rsid w:val="00CA067F"/>
    <w:rsid w:val="00CA0847"/>
    <w:rsid w:val="00CA08CA"/>
    <w:rsid w:val="00CA0F5F"/>
    <w:rsid w:val="00CA101F"/>
    <w:rsid w:val="00CA110C"/>
    <w:rsid w:val="00CA1C8C"/>
    <w:rsid w:val="00CA1F1D"/>
    <w:rsid w:val="00CA20C2"/>
    <w:rsid w:val="00CA322F"/>
    <w:rsid w:val="00CA34B6"/>
    <w:rsid w:val="00CA3580"/>
    <w:rsid w:val="00CA3BC8"/>
    <w:rsid w:val="00CA3C5F"/>
    <w:rsid w:val="00CA42C5"/>
    <w:rsid w:val="00CA4A79"/>
    <w:rsid w:val="00CA4EAD"/>
    <w:rsid w:val="00CA5413"/>
    <w:rsid w:val="00CA56F6"/>
    <w:rsid w:val="00CA5BD1"/>
    <w:rsid w:val="00CA5EF9"/>
    <w:rsid w:val="00CA68F2"/>
    <w:rsid w:val="00CA6ADC"/>
    <w:rsid w:val="00CA71C2"/>
    <w:rsid w:val="00CA7A00"/>
    <w:rsid w:val="00CA7F0D"/>
    <w:rsid w:val="00CA7FA5"/>
    <w:rsid w:val="00CB093A"/>
    <w:rsid w:val="00CB0EC9"/>
    <w:rsid w:val="00CB0F55"/>
    <w:rsid w:val="00CB14F0"/>
    <w:rsid w:val="00CB1CBB"/>
    <w:rsid w:val="00CB1CE6"/>
    <w:rsid w:val="00CB22E3"/>
    <w:rsid w:val="00CB23D5"/>
    <w:rsid w:val="00CB27AD"/>
    <w:rsid w:val="00CB2C4F"/>
    <w:rsid w:val="00CB2C86"/>
    <w:rsid w:val="00CB30E9"/>
    <w:rsid w:val="00CB3300"/>
    <w:rsid w:val="00CB3AF7"/>
    <w:rsid w:val="00CB4CA8"/>
    <w:rsid w:val="00CB527F"/>
    <w:rsid w:val="00CB5579"/>
    <w:rsid w:val="00CB6382"/>
    <w:rsid w:val="00CB6A13"/>
    <w:rsid w:val="00CB6A2C"/>
    <w:rsid w:val="00CB6F80"/>
    <w:rsid w:val="00CB7036"/>
    <w:rsid w:val="00CB72A8"/>
    <w:rsid w:val="00CB7381"/>
    <w:rsid w:val="00CB7A20"/>
    <w:rsid w:val="00CB7B04"/>
    <w:rsid w:val="00CB7BCB"/>
    <w:rsid w:val="00CC0299"/>
    <w:rsid w:val="00CC037B"/>
    <w:rsid w:val="00CC0448"/>
    <w:rsid w:val="00CC0490"/>
    <w:rsid w:val="00CC04C6"/>
    <w:rsid w:val="00CC07AA"/>
    <w:rsid w:val="00CC0887"/>
    <w:rsid w:val="00CC19C3"/>
    <w:rsid w:val="00CC1BB0"/>
    <w:rsid w:val="00CC26B0"/>
    <w:rsid w:val="00CC2842"/>
    <w:rsid w:val="00CC2FD3"/>
    <w:rsid w:val="00CC359D"/>
    <w:rsid w:val="00CC363D"/>
    <w:rsid w:val="00CC3B61"/>
    <w:rsid w:val="00CC3E62"/>
    <w:rsid w:val="00CC3EBB"/>
    <w:rsid w:val="00CC3F3F"/>
    <w:rsid w:val="00CC4A3D"/>
    <w:rsid w:val="00CC5136"/>
    <w:rsid w:val="00CC5311"/>
    <w:rsid w:val="00CC5B8F"/>
    <w:rsid w:val="00CC5CA7"/>
    <w:rsid w:val="00CC67B9"/>
    <w:rsid w:val="00CC68C7"/>
    <w:rsid w:val="00CC6C3A"/>
    <w:rsid w:val="00CC705A"/>
    <w:rsid w:val="00CC71CF"/>
    <w:rsid w:val="00CC7248"/>
    <w:rsid w:val="00CC7444"/>
    <w:rsid w:val="00CD00C6"/>
    <w:rsid w:val="00CD0175"/>
    <w:rsid w:val="00CD02C2"/>
    <w:rsid w:val="00CD02E2"/>
    <w:rsid w:val="00CD0986"/>
    <w:rsid w:val="00CD16A8"/>
    <w:rsid w:val="00CD1CCB"/>
    <w:rsid w:val="00CD2322"/>
    <w:rsid w:val="00CD2397"/>
    <w:rsid w:val="00CD23A7"/>
    <w:rsid w:val="00CD2674"/>
    <w:rsid w:val="00CD2BC8"/>
    <w:rsid w:val="00CD3055"/>
    <w:rsid w:val="00CD3315"/>
    <w:rsid w:val="00CD332B"/>
    <w:rsid w:val="00CD341F"/>
    <w:rsid w:val="00CD3CD1"/>
    <w:rsid w:val="00CD3DE4"/>
    <w:rsid w:val="00CD3F24"/>
    <w:rsid w:val="00CD412D"/>
    <w:rsid w:val="00CD4376"/>
    <w:rsid w:val="00CD4499"/>
    <w:rsid w:val="00CD4A6F"/>
    <w:rsid w:val="00CD4DE8"/>
    <w:rsid w:val="00CD529B"/>
    <w:rsid w:val="00CD5693"/>
    <w:rsid w:val="00CD580B"/>
    <w:rsid w:val="00CD5BB3"/>
    <w:rsid w:val="00CD5E73"/>
    <w:rsid w:val="00CD5ECA"/>
    <w:rsid w:val="00CD606B"/>
    <w:rsid w:val="00CD639E"/>
    <w:rsid w:val="00CD6CEC"/>
    <w:rsid w:val="00CD7708"/>
    <w:rsid w:val="00CD7966"/>
    <w:rsid w:val="00CD7B6D"/>
    <w:rsid w:val="00CE03B5"/>
    <w:rsid w:val="00CE0C73"/>
    <w:rsid w:val="00CE0E5C"/>
    <w:rsid w:val="00CE18E8"/>
    <w:rsid w:val="00CE19B0"/>
    <w:rsid w:val="00CE1A40"/>
    <w:rsid w:val="00CE29E1"/>
    <w:rsid w:val="00CE2B13"/>
    <w:rsid w:val="00CE3442"/>
    <w:rsid w:val="00CE35F5"/>
    <w:rsid w:val="00CE3835"/>
    <w:rsid w:val="00CE394E"/>
    <w:rsid w:val="00CE4EAB"/>
    <w:rsid w:val="00CE5686"/>
    <w:rsid w:val="00CE651F"/>
    <w:rsid w:val="00CE65FE"/>
    <w:rsid w:val="00CE710F"/>
    <w:rsid w:val="00CE712E"/>
    <w:rsid w:val="00CE77CE"/>
    <w:rsid w:val="00CF0B04"/>
    <w:rsid w:val="00CF13E1"/>
    <w:rsid w:val="00CF1F07"/>
    <w:rsid w:val="00CF1F35"/>
    <w:rsid w:val="00CF2207"/>
    <w:rsid w:val="00CF2888"/>
    <w:rsid w:val="00CF2EB7"/>
    <w:rsid w:val="00CF3008"/>
    <w:rsid w:val="00CF357D"/>
    <w:rsid w:val="00CF392E"/>
    <w:rsid w:val="00CF4AD8"/>
    <w:rsid w:val="00CF4DC4"/>
    <w:rsid w:val="00CF4FBD"/>
    <w:rsid w:val="00CF54C7"/>
    <w:rsid w:val="00CF5D1F"/>
    <w:rsid w:val="00CF6144"/>
    <w:rsid w:val="00CF67E3"/>
    <w:rsid w:val="00CF68E8"/>
    <w:rsid w:val="00CF69BC"/>
    <w:rsid w:val="00CF6CF5"/>
    <w:rsid w:val="00CF6F26"/>
    <w:rsid w:val="00CF7300"/>
    <w:rsid w:val="00CF77D1"/>
    <w:rsid w:val="00CF7BF5"/>
    <w:rsid w:val="00CF7D40"/>
    <w:rsid w:val="00D00385"/>
    <w:rsid w:val="00D00EF3"/>
    <w:rsid w:val="00D01283"/>
    <w:rsid w:val="00D0189C"/>
    <w:rsid w:val="00D01A27"/>
    <w:rsid w:val="00D01CBC"/>
    <w:rsid w:val="00D01CC5"/>
    <w:rsid w:val="00D02589"/>
    <w:rsid w:val="00D029DC"/>
    <w:rsid w:val="00D02BC5"/>
    <w:rsid w:val="00D03000"/>
    <w:rsid w:val="00D03196"/>
    <w:rsid w:val="00D037F7"/>
    <w:rsid w:val="00D0389A"/>
    <w:rsid w:val="00D038C1"/>
    <w:rsid w:val="00D039CB"/>
    <w:rsid w:val="00D03EE3"/>
    <w:rsid w:val="00D04357"/>
    <w:rsid w:val="00D044B9"/>
    <w:rsid w:val="00D045A6"/>
    <w:rsid w:val="00D047F6"/>
    <w:rsid w:val="00D04B2C"/>
    <w:rsid w:val="00D04D6B"/>
    <w:rsid w:val="00D051A2"/>
    <w:rsid w:val="00D06C55"/>
    <w:rsid w:val="00D07115"/>
    <w:rsid w:val="00D0772F"/>
    <w:rsid w:val="00D07F26"/>
    <w:rsid w:val="00D07F9B"/>
    <w:rsid w:val="00D1031E"/>
    <w:rsid w:val="00D1034C"/>
    <w:rsid w:val="00D10B7C"/>
    <w:rsid w:val="00D10D69"/>
    <w:rsid w:val="00D10F88"/>
    <w:rsid w:val="00D113AF"/>
    <w:rsid w:val="00D1142A"/>
    <w:rsid w:val="00D11AF7"/>
    <w:rsid w:val="00D1259E"/>
    <w:rsid w:val="00D12BAE"/>
    <w:rsid w:val="00D12C78"/>
    <w:rsid w:val="00D13674"/>
    <w:rsid w:val="00D13DDE"/>
    <w:rsid w:val="00D13E27"/>
    <w:rsid w:val="00D14B13"/>
    <w:rsid w:val="00D14BCF"/>
    <w:rsid w:val="00D15D4B"/>
    <w:rsid w:val="00D15DD9"/>
    <w:rsid w:val="00D1615B"/>
    <w:rsid w:val="00D17C21"/>
    <w:rsid w:val="00D2026C"/>
    <w:rsid w:val="00D2067D"/>
    <w:rsid w:val="00D20859"/>
    <w:rsid w:val="00D20EB8"/>
    <w:rsid w:val="00D210B2"/>
    <w:rsid w:val="00D21809"/>
    <w:rsid w:val="00D2193B"/>
    <w:rsid w:val="00D21F72"/>
    <w:rsid w:val="00D21F8A"/>
    <w:rsid w:val="00D220D5"/>
    <w:rsid w:val="00D22374"/>
    <w:rsid w:val="00D226FA"/>
    <w:rsid w:val="00D22DED"/>
    <w:rsid w:val="00D2313E"/>
    <w:rsid w:val="00D23475"/>
    <w:rsid w:val="00D234D2"/>
    <w:rsid w:val="00D23759"/>
    <w:rsid w:val="00D23801"/>
    <w:rsid w:val="00D23DA4"/>
    <w:rsid w:val="00D240EE"/>
    <w:rsid w:val="00D24955"/>
    <w:rsid w:val="00D25001"/>
    <w:rsid w:val="00D252DA"/>
    <w:rsid w:val="00D25304"/>
    <w:rsid w:val="00D2546C"/>
    <w:rsid w:val="00D255B8"/>
    <w:rsid w:val="00D25832"/>
    <w:rsid w:val="00D25B6F"/>
    <w:rsid w:val="00D25CBF"/>
    <w:rsid w:val="00D25EA2"/>
    <w:rsid w:val="00D266A0"/>
    <w:rsid w:val="00D26DD6"/>
    <w:rsid w:val="00D26F7C"/>
    <w:rsid w:val="00D278D6"/>
    <w:rsid w:val="00D3067C"/>
    <w:rsid w:val="00D3078B"/>
    <w:rsid w:val="00D30FE9"/>
    <w:rsid w:val="00D314E9"/>
    <w:rsid w:val="00D31C84"/>
    <w:rsid w:val="00D31DDA"/>
    <w:rsid w:val="00D3270B"/>
    <w:rsid w:val="00D329B0"/>
    <w:rsid w:val="00D32FEA"/>
    <w:rsid w:val="00D33595"/>
    <w:rsid w:val="00D33A09"/>
    <w:rsid w:val="00D3404A"/>
    <w:rsid w:val="00D34509"/>
    <w:rsid w:val="00D35065"/>
    <w:rsid w:val="00D35144"/>
    <w:rsid w:val="00D35187"/>
    <w:rsid w:val="00D35427"/>
    <w:rsid w:val="00D35F96"/>
    <w:rsid w:val="00D36A78"/>
    <w:rsid w:val="00D36C59"/>
    <w:rsid w:val="00D36CD5"/>
    <w:rsid w:val="00D36E3E"/>
    <w:rsid w:val="00D36FDB"/>
    <w:rsid w:val="00D37066"/>
    <w:rsid w:val="00D37265"/>
    <w:rsid w:val="00D372FF"/>
    <w:rsid w:val="00D374CC"/>
    <w:rsid w:val="00D37BAB"/>
    <w:rsid w:val="00D401BF"/>
    <w:rsid w:val="00D40A68"/>
    <w:rsid w:val="00D40B7D"/>
    <w:rsid w:val="00D40CC6"/>
    <w:rsid w:val="00D4163D"/>
    <w:rsid w:val="00D4165C"/>
    <w:rsid w:val="00D416D0"/>
    <w:rsid w:val="00D41958"/>
    <w:rsid w:val="00D41C5D"/>
    <w:rsid w:val="00D41D0B"/>
    <w:rsid w:val="00D41DCD"/>
    <w:rsid w:val="00D41E5C"/>
    <w:rsid w:val="00D41EB0"/>
    <w:rsid w:val="00D42082"/>
    <w:rsid w:val="00D426EB"/>
    <w:rsid w:val="00D43277"/>
    <w:rsid w:val="00D4353E"/>
    <w:rsid w:val="00D438F8"/>
    <w:rsid w:val="00D43ECC"/>
    <w:rsid w:val="00D44388"/>
    <w:rsid w:val="00D448DE"/>
    <w:rsid w:val="00D4497D"/>
    <w:rsid w:val="00D44BDC"/>
    <w:rsid w:val="00D44F97"/>
    <w:rsid w:val="00D45067"/>
    <w:rsid w:val="00D459B6"/>
    <w:rsid w:val="00D45DC2"/>
    <w:rsid w:val="00D45E26"/>
    <w:rsid w:val="00D4606A"/>
    <w:rsid w:val="00D46116"/>
    <w:rsid w:val="00D461F6"/>
    <w:rsid w:val="00D46846"/>
    <w:rsid w:val="00D46BDF"/>
    <w:rsid w:val="00D46ED4"/>
    <w:rsid w:val="00D46F9A"/>
    <w:rsid w:val="00D47186"/>
    <w:rsid w:val="00D47351"/>
    <w:rsid w:val="00D473D2"/>
    <w:rsid w:val="00D47A2D"/>
    <w:rsid w:val="00D47D89"/>
    <w:rsid w:val="00D47E23"/>
    <w:rsid w:val="00D47F99"/>
    <w:rsid w:val="00D505B2"/>
    <w:rsid w:val="00D5081B"/>
    <w:rsid w:val="00D5094F"/>
    <w:rsid w:val="00D511AC"/>
    <w:rsid w:val="00D51563"/>
    <w:rsid w:val="00D51C44"/>
    <w:rsid w:val="00D51D04"/>
    <w:rsid w:val="00D5293A"/>
    <w:rsid w:val="00D5295B"/>
    <w:rsid w:val="00D529E6"/>
    <w:rsid w:val="00D533A3"/>
    <w:rsid w:val="00D536A1"/>
    <w:rsid w:val="00D54281"/>
    <w:rsid w:val="00D54B95"/>
    <w:rsid w:val="00D54C42"/>
    <w:rsid w:val="00D54DAB"/>
    <w:rsid w:val="00D54E9C"/>
    <w:rsid w:val="00D554FE"/>
    <w:rsid w:val="00D55DD4"/>
    <w:rsid w:val="00D564B4"/>
    <w:rsid w:val="00D56549"/>
    <w:rsid w:val="00D56711"/>
    <w:rsid w:val="00D569AE"/>
    <w:rsid w:val="00D569B4"/>
    <w:rsid w:val="00D56B37"/>
    <w:rsid w:val="00D57267"/>
    <w:rsid w:val="00D573CC"/>
    <w:rsid w:val="00D574EE"/>
    <w:rsid w:val="00D57586"/>
    <w:rsid w:val="00D6006F"/>
    <w:rsid w:val="00D6010D"/>
    <w:rsid w:val="00D60256"/>
    <w:rsid w:val="00D60696"/>
    <w:rsid w:val="00D60791"/>
    <w:rsid w:val="00D611AD"/>
    <w:rsid w:val="00D62824"/>
    <w:rsid w:val="00D63722"/>
    <w:rsid w:val="00D6404A"/>
    <w:rsid w:val="00D6465A"/>
    <w:rsid w:val="00D64A94"/>
    <w:rsid w:val="00D64FDE"/>
    <w:rsid w:val="00D65242"/>
    <w:rsid w:val="00D65AC4"/>
    <w:rsid w:val="00D65C05"/>
    <w:rsid w:val="00D65D90"/>
    <w:rsid w:val="00D65FDA"/>
    <w:rsid w:val="00D66773"/>
    <w:rsid w:val="00D66882"/>
    <w:rsid w:val="00D67DB8"/>
    <w:rsid w:val="00D70335"/>
    <w:rsid w:val="00D70592"/>
    <w:rsid w:val="00D708B3"/>
    <w:rsid w:val="00D70C0A"/>
    <w:rsid w:val="00D715C9"/>
    <w:rsid w:val="00D71794"/>
    <w:rsid w:val="00D720DD"/>
    <w:rsid w:val="00D72222"/>
    <w:rsid w:val="00D724E8"/>
    <w:rsid w:val="00D7276F"/>
    <w:rsid w:val="00D72C5F"/>
    <w:rsid w:val="00D72CE3"/>
    <w:rsid w:val="00D73CDB"/>
    <w:rsid w:val="00D73D69"/>
    <w:rsid w:val="00D73FD6"/>
    <w:rsid w:val="00D74389"/>
    <w:rsid w:val="00D7485B"/>
    <w:rsid w:val="00D762E5"/>
    <w:rsid w:val="00D76352"/>
    <w:rsid w:val="00D76482"/>
    <w:rsid w:val="00D768B3"/>
    <w:rsid w:val="00D77C52"/>
    <w:rsid w:val="00D77DD3"/>
    <w:rsid w:val="00D77DFD"/>
    <w:rsid w:val="00D77F3B"/>
    <w:rsid w:val="00D80136"/>
    <w:rsid w:val="00D8027C"/>
    <w:rsid w:val="00D80CD9"/>
    <w:rsid w:val="00D80F76"/>
    <w:rsid w:val="00D81079"/>
    <w:rsid w:val="00D813EC"/>
    <w:rsid w:val="00D815D5"/>
    <w:rsid w:val="00D815FF"/>
    <w:rsid w:val="00D81667"/>
    <w:rsid w:val="00D816A5"/>
    <w:rsid w:val="00D81FEF"/>
    <w:rsid w:val="00D82644"/>
    <w:rsid w:val="00D82685"/>
    <w:rsid w:val="00D827E0"/>
    <w:rsid w:val="00D82A81"/>
    <w:rsid w:val="00D82DB5"/>
    <w:rsid w:val="00D82E96"/>
    <w:rsid w:val="00D834F1"/>
    <w:rsid w:val="00D83A71"/>
    <w:rsid w:val="00D83C50"/>
    <w:rsid w:val="00D83D9B"/>
    <w:rsid w:val="00D84079"/>
    <w:rsid w:val="00D840C9"/>
    <w:rsid w:val="00D8428D"/>
    <w:rsid w:val="00D847AD"/>
    <w:rsid w:val="00D84EEF"/>
    <w:rsid w:val="00D8565C"/>
    <w:rsid w:val="00D85F4E"/>
    <w:rsid w:val="00D86CBA"/>
    <w:rsid w:val="00D87175"/>
    <w:rsid w:val="00D8758A"/>
    <w:rsid w:val="00D876D3"/>
    <w:rsid w:val="00D87D0E"/>
    <w:rsid w:val="00D90027"/>
    <w:rsid w:val="00D9098C"/>
    <w:rsid w:val="00D909B2"/>
    <w:rsid w:val="00D90B7E"/>
    <w:rsid w:val="00D90F7B"/>
    <w:rsid w:val="00D91443"/>
    <w:rsid w:val="00D916C3"/>
    <w:rsid w:val="00D91A35"/>
    <w:rsid w:val="00D92200"/>
    <w:rsid w:val="00D92A0B"/>
    <w:rsid w:val="00D92A33"/>
    <w:rsid w:val="00D92BFB"/>
    <w:rsid w:val="00D931EE"/>
    <w:rsid w:val="00D938D0"/>
    <w:rsid w:val="00D939D9"/>
    <w:rsid w:val="00D93FE3"/>
    <w:rsid w:val="00D94275"/>
    <w:rsid w:val="00D943C7"/>
    <w:rsid w:val="00D9491B"/>
    <w:rsid w:val="00D94D93"/>
    <w:rsid w:val="00D953CB"/>
    <w:rsid w:val="00D96534"/>
    <w:rsid w:val="00D96C5A"/>
    <w:rsid w:val="00D96D3F"/>
    <w:rsid w:val="00D96EF0"/>
    <w:rsid w:val="00D971B6"/>
    <w:rsid w:val="00D9741D"/>
    <w:rsid w:val="00D97673"/>
    <w:rsid w:val="00DA05DE"/>
    <w:rsid w:val="00DA1348"/>
    <w:rsid w:val="00DA160E"/>
    <w:rsid w:val="00DA1E72"/>
    <w:rsid w:val="00DA27DA"/>
    <w:rsid w:val="00DA2956"/>
    <w:rsid w:val="00DA2B43"/>
    <w:rsid w:val="00DA3010"/>
    <w:rsid w:val="00DA3317"/>
    <w:rsid w:val="00DA3517"/>
    <w:rsid w:val="00DA37AF"/>
    <w:rsid w:val="00DA3EE5"/>
    <w:rsid w:val="00DA4085"/>
    <w:rsid w:val="00DA415F"/>
    <w:rsid w:val="00DA5287"/>
    <w:rsid w:val="00DA5C13"/>
    <w:rsid w:val="00DA5FCE"/>
    <w:rsid w:val="00DA5FD7"/>
    <w:rsid w:val="00DA6147"/>
    <w:rsid w:val="00DA6338"/>
    <w:rsid w:val="00DA649E"/>
    <w:rsid w:val="00DA6C07"/>
    <w:rsid w:val="00DA6C19"/>
    <w:rsid w:val="00DA747C"/>
    <w:rsid w:val="00DA7D70"/>
    <w:rsid w:val="00DB1043"/>
    <w:rsid w:val="00DB1190"/>
    <w:rsid w:val="00DB18D3"/>
    <w:rsid w:val="00DB1EFF"/>
    <w:rsid w:val="00DB25DD"/>
    <w:rsid w:val="00DB25F1"/>
    <w:rsid w:val="00DB2C07"/>
    <w:rsid w:val="00DB2DCA"/>
    <w:rsid w:val="00DB317B"/>
    <w:rsid w:val="00DB32D2"/>
    <w:rsid w:val="00DB341B"/>
    <w:rsid w:val="00DB3543"/>
    <w:rsid w:val="00DB36E3"/>
    <w:rsid w:val="00DB3A32"/>
    <w:rsid w:val="00DB3B62"/>
    <w:rsid w:val="00DB4452"/>
    <w:rsid w:val="00DB4637"/>
    <w:rsid w:val="00DB4C0A"/>
    <w:rsid w:val="00DB4E2E"/>
    <w:rsid w:val="00DB4F29"/>
    <w:rsid w:val="00DB5114"/>
    <w:rsid w:val="00DB51C4"/>
    <w:rsid w:val="00DB5FAF"/>
    <w:rsid w:val="00DB6055"/>
    <w:rsid w:val="00DB63DE"/>
    <w:rsid w:val="00DB6ACC"/>
    <w:rsid w:val="00DB70D5"/>
    <w:rsid w:val="00DB7B47"/>
    <w:rsid w:val="00DC030A"/>
    <w:rsid w:val="00DC07E5"/>
    <w:rsid w:val="00DC0BD2"/>
    <w:rsid w:val="00DC20F0"/>
    <w:rsid w:val="00DC22D5"/>
    <w:rsid w:val="00DC30B6"/>
    <w:rsid w:val="00DC3519"/>
    <w:rsid w:val="00DC353E"/>
    <w:rsid w:val="00DC3993"/>
    <w:rsid w:val="00DC3BB5"/>
    <w:rsid w:val="00DC3D08"/>
    <w:rsid w:val="00DC3E0A"/>
    <w:rsid w:val="00DC3FE9"/>
    <w:rsid w:val="00DC40CD"/>
    <w:rsid w:val="00DC49BB"/>
    <w:rsid w:val="00DC4A23"/>
    <w:rsid w:val="00DC4EF0"/>
    <w:rsid w:val="00DC516C"/>
    <w:rsid w:val="00DC555A"/>
    <w:rsid w:val="00DC56B8"/>
    <w:rsid w:val="00DC5BD8"/>
    <w:rsid w:val="00DC6001"/>
    <w:rsid w:val="00DC674E"/>
    <w:rsid w:val="00DC69CF"/>
    <w:rsid w:val="00DC6B8A"/>
    <w:rsid w:val="00DC6BC7"/>
    <w:rsid w:val="00DC70AC"/>
    <w:rsid w:val="00DC7150"/>
    <w:rsid w:val="00DC71FD"/>
    <w:rsid w:val="00DC747C"/>
    <w:rsid w:val="00DC7534"/>
    <w:rsid w:val="00DC7A47"/>
    <w:rsid w:val="00DC7B90"/>
    <w:rsid w:val="00DC7CCC"/>
    <w:rsid w:val="00DC7D27"/>
    <w:rsid w:val="00DD01CD"/>
    <w:rsid w:val="00DD01F0"/>
    <w:rsid w:val="00DD02F6"/>
    <w:rsid w:val="00DD0415"/>
    <w:rsid w:val="00DD090E"/>
    <w:rsid w:val="00DD0DB2"/>
    <w:rsid w:val="00DD123B"/>
    <w:rsid w:val="00DD136F"/>
    <w:rsid w:val="00DD1517"/>
    <w:rsid w:val="00DD1D20"/>
    <w:rsid w:val="00DD22DF"/>
    <w:rsid w:val="00DD258F"/>
    <w:rsid w:val="00DD2883"/>
    <w:rsid w:val="00DD314C"/>
    <w:rsid w:val="00DD324F"/>
    <w:rsid w:val="00DD35FD"/>
    <w:rsid w:val="00DD363E"/>
    <w:rsid w:val="00DD3654"/>
    <w:rsid w:val="00DD39C8"/>
    <w:rsid w:val="00DD3A9C"/>
    <w:rsid w:val="00DD4746"/>
    <w:rsid w:val="00DD496E"/>
    <w:rsid w:val="00DD4EAD"/>
    <w:rsid w:val="00DD55CF"/>
    <w:rsid w:val="00DD5EF4"/>
    <w:rsid w:val="00DD6265"/>
    <w:rsid w:val="00DD6348"/>
    <w:rsid w:val="00DD6949"/>
    <w:rsid w:val="00DD6C1D"/>
    <w:rsid w:val="00DD6CFD"/>
    <w:rsid w:val="00DD724E"/>
    <w:rsid w:val="00DD7420"/>
    <w:rsid w:val="00DD746A"/>
    <w:rsid w:val="00DD7729"/>
    <w:rsid w:val="00DD7F9F"/>
    <w:rsid w:val="00DE027B"/>
    <w:rsid w:val="00DE10D7"/>
    <w:rsid w:val="00DE1985"/>
    <w:rsid w:val="00DE1D7F"/>
    <w:rsid w:val="00DE28B0"/>
    <w:rsid w:val="00DE2C50"/>
    <w:rsid w:val="00DE2CBE"/>
    <w:rsid w:val="00DE3669"/>
    <w:rsid w:val="00DE3BE1"/>
    <w:rsid w:val="00DE42EC"/>
    <w:rsid w:val="00DE487A"/>
    <w:rsid w:val="00DE557B"/>
    <w:rsid w:val="00DE630C"/>
    <w:rsid w:val="00DE652E"/>
    <w:rsid w:val="00DE68F8"/>
    <w:rsid w:val="00DE7CEF"/>
    <w:rsid w:val="00DE7E82"/>
    <w:rsid w:val="00DF05B9"/>
    <w:rsid w:val="00DF077B"/>
    <w:rsid w:val="00DF0922"/>
    <w:rsid w:val="00DF0B7D"/>
    <w:rsid w:val="00DF0F2B"/>
    <w:rsid w:val="00DF0FBE"/>
    <w:rsid w:val="00DF10DC"/>
    <w:rsid w:val="00DF1633"/>
    <w:rsid w:val="00DF1BDB"/>
    <w:rsid w:val="00DF2018"/>
    <w:rsid w:val="00DF21FE"/>
    <w:rsid w:val="00DF2230"/>
    <w:rsid w:val="00DF2536"/>
    <w:rsid w:val="00DF28B8"/>
    <w:rsid w:val="00DF2CB1"/>
    <w:rsid w:val="00DF3588"/>
    <w:rsid w:val="00DF377F"/>
    <w:rsid w:val="00DF394F"/>
    <w:rsid w:val="00DF45A6"/>
    <w:rsid w:val="00DF4FBE"/>
    <w:rsid w:val="00DF51E9"/>
    <w:rsid w:val="00DF5919"/>
    <w:rsid w:val="00DF61B0"/>
    <w:rsid w:val="00DF6537"/>
    <w:rsid w:val="00DF65FF"/>
    <w:rsid w:val="00DF6613"/>
    <w:rsid w:val="00DF67D2"/>
    <w:rsid w:val="00DF7169"/>
    <w:rsid w:val="00DF73CE"/>
    <w:rsid w:val="00DF7DA3"/>
    <w:rsid w:val="00E00343"/>
    <w:rsid w:val="00E00C34"/>
    <w:rsid w:val="00E00D6E"/>
    <w:rsid w:val="00E010D1"/>
    <w:rsid w:val="00E0139D"/>
    <w:rsid w:val="00E013DF"/>
    <w:rsid w:val="00E0159C"/>
    <w:rsid w:val="00E02317"/>
    <w:rsid w:val="00E02E84"/>
    <w:rsid w:val="00E02EDC"/>
    <w:rsid w:val="00E03024"/>
    <w:rsid w:val="00E03A39"/>
    <w:rsid w:val="00E042D7"/>
    <w:rsid w:val="00E04A9E"/>
    <w:rsid w:val="00E0562F"/>
    <w:rsid w:val="00E05D4A"/>
    <w:rsid w:val="00E06003"/>
    <w:rsid w:val="00E061C6"/>
    <w:rsid w:val="00E06403"/>
    <w:rsid w:val="00E067A5"/>
    <w:rsid w:val="00E07418"/>
    <w:rsid w:val="00E07CC1"/>
    <w:rsid w:val="00E07DF7"/>
    <w:rsid w:val="00E07E25"/>
    <w:rsid w:val="00E104AB"/>
    <w:rsid w:val="00E10857"/>
    <w:rsid w:val="00E10878"/>
    <w:rsid w:val="00E108D1"/>
    <w:rsid w:val="00E10DE4"/>
    <w:rsid w:val="00E10E43"/>
    <w:rsid w:val="00E10F49"/>
    <w:rsid w:val="00E10FE1"/>
    <w:rsid w:val="00E1103B"/>
    <w:rsid w:val="00E112DE"/>
    <w:rsid w:val="00E1148F"/>
    <w:rsid w:val="00E115C0"/>
    <w:rsid w:val="00E11A17"/>
    <w:rsid w:val="00E11F05"/>
    <w:rsid w:val="00E1202C"/>
    <w:rsid w:val="00E12308"/>
    <w:rsid w:val="00E12456"/>
    <w:rsid w:val="00E124C0"/>
    <w:rsid w:val="00E126EB"/>
    <w:rsid w:val="00E127F4"/>
    <w:rsid w:val="00E12894"/>
    <w:rsid w:val="00E12DF7"/>
    <w:rsid w:val="00E1315D"/>
    <w:rsid w:val="00E13373"/>
    <w:rsid w:val="00E13DAB"/>
    <w:rsid w:val="00E140DF"/>
    <w:rsid w:val="00E14187"/>
    <w:rsid w:val="00E14256"/>
    <w:rsid w:val="00E146F3"/>
    <w:rsid w:val="00E1479D"/>
    <w:rsid w:val="00E1485E"/>
    <w:rsid w:val="00E149A3"/>
    <w:rsid w:val="00E1574B"/>
    <w:rsid w:val="00E1581F"/>
    <w:rsid w:val="00E16206"/>
    <w:rsid w:val="00E16418"/>
    <w:rsid w:val="00E168AE"/>
    <w:rsid w:val="00E16FA4"/>
    <w:rsid w:val="00E1727C"/>
    <w:rsid w:val="00E20779"/>
    <w:rsid w:val="00E20906"/>
    <w:rsid w:val="00E21C37"/>
    <w:rsid w:val="00E223B0"/>
    <w:rsid w:val="00E225C4"/>
    <w:rsid w:val="00E227CD"/>
    <w:rsid w:val="00E22848"/>
    <w:rsid w:val="00E22F4D"/>
    <w:rsid w:val="00E23269"/>
    <w:rsid w:val="00E2349D"/>
    <w:rsid w:val="00E2367D"/>
    <w:rsid w:val="00E237A8"/>
    <w:rsid w:val="00E237B1"/>
    <w:rsid w:val="00E23888"/>
    <w:rsid w:val="00E2396F"/>
    <w:rsid w:val="00E24070"/>
    <w:rsid w:val="00E24CD1"/>
    <w:rsid w:val="00E24DF1"/>
    <w:rsid w:val="00E263CE"/>
    <w:rsid w:val="00E26958"/>
    <w:rsid w:val="00E26C8A"/>
    <w:rsid w:val="00E26E21"/>
    <w:rsid w:val="00E27516"/>
    <w:rsid w:val="00E30019"/>
    <w:rsid w:val="00E307E5"/>
    <w:rsid w:val="00E30AE7"/>
    <w:rsid w:val="00E30BCB"/>
    <w:rsid w:val="00E30C5F"/>
    <w:rsid w:val="00E30D11"/>
    <w:rsid w:val="00E314FA"/>
    <w:rsid w:val="00E314FE"/>
    <w:rsid w:val="00E3167C"/>
    <w:rsid w:val="00E31879"/>
    <w:rsid w:val="00E31CA9"/>
    <w:rsid w:val="00E323BC"/>
    <w:rsid w:val="00E32944"/>
    <w:rsid w:val="00E32D92"/>
    <w:rsid w:val="00E32EFD"/>
    <w:rsid w:val="00E33093"/>
    <w:rsid w:val="00E33227"/>
    <w:rsid w:val="00E33324"/>
    <w:rsid w:val="00E334AE"/>
    <w:rsid w:val="00E33A91"/>
    <w:rsid w:val="00E33B00"/>
    <w:rsid w:val="00E35878"/>
    <w:rsid w:val="00E35E6C"/>
    <w:rsid w:val="00E36A9A"/>
    <w:rsid w:val="00E36AD8"/>
    <w:rsid w:val="00E36C6F"/>
    <w:rsid w:val="00E36CBE"/>
    <w:rsid w:val="00E36D41"/>
    <w:rsid w:val="00E37B9A"/>
    <w:rsid w:val="00E37C1B"/>
    <w:rsid w:val="00E37E3F"/>
    <w:rsid w:val="00E40207"/>
    <w:rsid w:val="00E40D2C"/>
    <w:rsid w:val="00E415CF"/>
    <w:rsid w:val="00E426E5"/>
    <w:rsid w:val="00E42ABE"/>
    <w:rsid w:val="00E430E8"/>
    <w:rsid w:val="00E4317B"/>
    <w:rsid w:val="00E431A9"/>
    <w:rsid w:val="00E4340C"/>
    <w:rsid w:val="00E43634"/>
    <w:rsid w:val="00E4379D"/>
    <w:rsid w:val="00E43983"/>
    <w:rsid w:val="00E43C8C"/>
    <w:rsid w:val="00E43D97"/>
    <w:rsid w:val="00E43E26"/>
    <w:rsid w:val="00E43EDF"/>
    <w:rsid w:val="00E43FD9"/>
    <w:rsid w:val="00E443B9"/>
    <w:rsid w:val="00E44E22"/>
    <w:rsid w:val="00E45078"/>
    <w:rsid w:val="00E452BD"/>
    <w:rsid w:val="00E45503"/>
    <w:rsid w:val="00E45589"/>
    <w:rsid w:val="00E45902"/>
    <w:rsid w:val="00E46083"/>
    <w:rsid w:val="00E4663F"/>
    <w:rsid w:val="00E47369"/>
    <w:rsid w:val="00E47515"/>
    <w:rsid w:val="00E4777F"/>
    <w:rsid w:val="00E477C3"/>
    <w:rsid w:val="00E505AA"/>
    <w:rsid w:val="00E50799"/>
    <w:rsid w:val="00E50CBE"/>
    <w:rsid w:val="00E513A2"/>
    <w:rsid w:val="00E51674"/>
    <w:rsid w:val="00E516EB"/>
    <w:rsid w:val="00E51933"/>
    <w:rsid w:val="00E51F0F"/>
    <w:rsid w:val="00E51F58"/>
    <w:rsid w:val="00E523C9"/>
    <w:rsid w:val="00E52BDA"/>
    <w:rsid w:val="00E52F55"/>
    <w:rsid w:val="00E52F5A"/>
    <w:rsid w:val="00E53D6D"/>
    <w:rsid w:val="00E541B0"/>
    <w:rsid w:val="00E5443A"/>
    <w:rsid w:val="00E54577"/>
    <w:rsid w:val="00E546E9"/>
    <w:rsid w:val="00E5476B"/>
    <w:rsid w:val="00E54CE8"/>
    <w:rsid w:val="00E54DE0"/>
    <w:rsid w:val="00E5507F"/>
    <w:rsid w:val="00E5525B"/>
    <w:rsid w:val="00E552C0"/>
    <w:rsid w:val="00E5587F"/>
    <w:rsid w:val="00E55E81"/>
    <w:rsid w:val="00E562F8"/>
    <w:rsid w:val="00E567AB"/>
    <w:rsid w:val="00E56D52"/>
    <w:rsid w:val="00E56E06"/>
    <w:rsid w:val="00E57002"/>
    <w:rsid w:val="00E57167"/>
    <w:rsid w:val="00E5718C"/>
    <w:rsid w:val="00E571FE"/>
    <w:rsid w:val="00E57C59"/>
    <w:rsid w:val="00E57CBC"/>
    <w:rsid w:val="00E57F88"/>
    <w:rsid w:val="00E6079B"/>
    <w:rsid w:val="00E612D4"/>
    <w:rsid w:val="00E6149A"/>
    <w:rsid w:val="00E614C0"/>
    <w:rsid w:val="00E614DB"/>
    <w:rsid w:val="00E61ACF"/>
    <w:rsid w:val="00E62036"/>
    <w:rsid w:val="00E625E1"/>
    <w:rsid w:val="00E62763"/>
    <w:rsid w:val="00E62E49"/>
    <w:rsid w:val="00E62F0D"/>
    <w:rsid w:val="00E62F40"/>
    <w:rsid w:val="00E636EB"/>
    <w:rsid w:val="00E639BC"/>
    <w:rsid w:val="00E63C9E"/>
    <w:rsid w:val="00E63CEE"/>
    <w:rsid w:val="00E640C1"/>
    <w:rsid w:val="00E6465C"/>
    <w:rsid w:val="00E64904"/>
    <w:rsid w:val="00E64AA7"/>
    <w:rsid w:val="00E64AFB"/>
    <w:rsid w:val="00E65B66"/>
    <w:rsid w:val="00E65D94"/>
    <w:rsid w:val="00E6625C"/>
    <w:rsid w:val="00E664EC"/>
    <w:rsid w:val="00E66650"/>
    <w:rsid w:val="00E668DC"/>
    <w:rsid w:val="00E66AF5"/>
    <w:rsid w:val="00E66CB7"/>
    <w:rsid w:val="00E66FB7"/>
    <w:rsid w:val="00E67235"/>
    <w:rsid w:val="00E678F1"/>
    <w:rsid w:val="00E67F29"/>
    <w:rsid w:val="00E700A7"/>
    <w:rsid w:val="00E70421"/>
    <w:rsid w:val="00E706EA"/>
    <w:rsid w:val="00E70F77"/>
    <w:rsid w:val="00E71107"/>
    <w:rsid w:val="00E715D3"/>
    <w:rsid w:val="00E71AED"/>
    <w:rsid w:val="00E71B4D"/>
    <w:rsid w:val="00E72162"/>
    <w:rsid w:val="00E73473"/>
    <w:rsid w:val="00E74114"/>
    <w:rsid w:val="00E7455E"/>
    <w:rsid w:val="00E74562"/>
    <w:rsid w:val="00E74644"/>
    <w:rsid w:val="00E7483E"/>
    <w:rsid w:val="00E7530D"/>
    <w:rsid w:val="00E75553"/>
    <w:rsid w:val="00E760B9"/>
    <w:rsid w:val="00E764F8"/>
    <w:rsid w:val="00E76B5C"/>
    <w:rsid w:val="00E76EFF"/>
    <w:rsid w:val="00E77019"/>
    <w:rsid w:val="00E77156"/>
    <w:rsid w:val="00E773E0"/>
    <w:rsid w:val="00E77B62"/>
    <w:rsid w:val="00E80182"/>
    <w:rsid w:val="00E801BF"/>
    <w:rsid w:val="00E804DF"/>
    <w:rsid w:val="00E806BB"/>
    <w:rsid w:val="00E807A2"/>
    <w:rsid w:val="00E80BB7"/>
    <w:rsid w:val="00E80E22"/>
    <w:rsid w:val="00E80FCE"/>
    <w:rsid w:val="00E8130B"/>
    <w:rsid w:val="00E81670"/>
    <w:rsid w:val="00E817D0"/>
    <w:rsid w:val="00E8181C"/>
    <w:rsid w:val="00E81855"/>
    <w:rsid w:val="00E81BE1"/>
    <w:rsid w:val="00E81F22"/>
    <w:rsid w:val="00E81F7C"/>
    <w:rsid w:val="00E8207A"/>
    <w:rsid w:val="00E822AC"/>
    <w:rsid w:val="00E82362"/>
    <w:rsid w:val="00E83048"/>
    <w:rsid w:val="00E833CA"/>
    <w:rsid w:val="00E834B1"/>
    <w:rsid w:val="00E834F5"/>
    <w:rsid w:val="00E842E0"/>
    <w:rsid w:val="00E84498"/>
    <w:rsid w:val="00E8479C"/>
    <w:rsid w:val="00E84BF0"/>
    <w:rsid w:val="00E85756"/>
    <w:rsid w:val="00E85B3A"/>
    <w:rsid w:val="00E85B65"/>
    <w:rsid w:val="00E85E6B"/>
    <w:rsid w:val="00E85F0F"/>
    <w:rsid w:val="00E8607F"/>
    <w:rsid w:val="00E86302"/>
    <w:rsid w:val="00E863AA"/>
    <w:rsid w:val="00E865C0"/>
    <w:rsid w:val="00E8670B"/>
    <w:rsid w:val="00E86795"/>
    <w:rsid w:val="00E867FC"/>
    <w:rsid w:val="00E870D4"/>
    <w:rsid w:val="00E870E9"/>
    <w:rsid w:val="00E87910"/>
    <w:rsid w:val="00E87E2A"/>
    <w:rsid w:val="00E87E71"/>
    <w:rsid w:val="00E9077A"/>
    <w:rsid w:val="00E90E60"/>
    <w:rsid w:val="00E9149E"/>
    <w:rsid w:val="00E91A6B"/>
    <w:rsid w:val="00E91EFF"/>
    <w:rsid w:val="00E91FDC"/>
    <w:rsid w:val="00E92076"/>
    <w:rsid w:val="00E92B4A"/>
    <w:rsid w:val="00E92C6C"/>
    <w:rsid w:val="00E92FF0"/>
    <w:rsid w:val="00E9357A"/>
    <w:rsid w:val="00E93A72"/>
    <w:rsid w:val="00E949AC"/>
    <w:rsid w:val="00E949FE"/>
    <w:rsid w:val="00E94B2A"/>
    <w:rsid w:val="00E94C8B"/>
    <w:rsid w:val="00E94F32"/>
    <w:rsid w:val="00E95FC9"/>
    <w:rsid w:val="00E96520"/>
    <w:rsid w:val="00E965CC"/>
    <w:rsid w:val="00E9660B"/>
    <w:rsid w:val="00E96F2F"/>
    <w:rsid w:val="00E978D3"/>
    <w:rsid w:val="00E97FF4"/>
    <w:rsid w:val="00EA012B"/>
    <w:rsid w:val="00EA0276"/>
    <w:rsid w:val="00EA041F"/>
    <w:rsid w:val="00EA0897"/>
    <w:rsid w:val="00EA0A49"/>
    <w:rsid w:val="00EA0D2F"/>
    <w:rsid w:val="00EA0D3F"/>
    <w:rsid w:val="00EA0E81"/>
    <w:rsid w:val="00EA17B3"/>
    <w:rsid w:val="00EA2032"/>
    <w:rsid w:val="00EA204C"/>
    <w:rsid w:val="00EA205A"/>
    <w:rsid w:val="00EA27E8"/>
    <w:rsid w:val="00EA2891"/>
    <w:rsid w:val="00EA2D72"/>
    <w:rsid w:val="00EA2E2B"/>
    <w:rsid w:val="00EA3424"/>
    <w:rsid w:val="00EA3B1D"/>
    <w:rsid w:val="00EA3F7D"/>
    <w:rsid w:val="00EA3F86"/>
    <w:rsid w:val="00EA4081"/>
    <w:rsid w:val="00EA46C5"/>
    <w:rsid w:val="00EA4F4A"/>
    <w:rsid w:val="00EA5998"/>
    <w:rsid w:val="00EA608E"/>
    <w:rsid w:val="00EA63CD"/>
    <w:rsid w:val="00EA6466"/>
    <w:rsid w:val="00EA6629"/>
    <w:rsid w:val="00EA6633"/>
    <w:rsid w:val="00EA6A43"/>
    <w:rsid w:val="00EA6F7F"/>
    <w:rsid w:val="00EA7067"/>
    <w:rsid w:val="00EA71D3"/>
    <w:rsid w:val="00EA7407"/>
    <w:rsid w:val="00EA774A"/>
    <w:rsid w:val="00EA7A89"/>
    <w:rsid w:val="00EA7CD9"/>
    <w:rsid w:val="00EB067F"/>
    <w:rsid w:val="00EB092A"/>
    <w:rsid w:val="00EB19BE"/>
    <w:rsid w:val="00EB1B7C"/>
    <w:rsid w:val="00EB1C18"/>
    <w:rsid w:val="00EB3032"/>
    <w:rsid w:val="00EB3B28"/>
    <w:rsid w:val="00EB3C7B"/>
    <w:rsid w:val="00EB41C5"/>
    <w:rsid w:val="00EB42C2"/>
    <w:rsid w:val="00EB43B3"/>
    <w:rsid w:val="00EB46E7"/>
    <w:rsid w:val="00EB474B"/>
    <w:rsid w:val="00EB4989"/>
    <w:rsid w:val="00EB4A1D"/>
    <w:rsid w:val="00EB51DA"/>
    <w:rsid w:val="00EB5334"/>
    <w:rsid w:val="00EB552F"/>
    <w:rsid w:val="00EB5530"/>
    <w:rsid w:val="00EB5EEF"/>
    <w:rsid w:val="00EB5FB2"/>
    <w:rsid w:val="00EB5FC1"/>
    <w:rsid w:val="00EB6573"/>
    <w:rsid w:val="00EB6995"/>
    <w:rsid w:val="00EC0188"/>
    <w:rsid w:val="00EC0408"/>
    <w:rsid w:val="00EC0BC4"/>
    <w:rsid w:val="00EC0F09"/>
    <w:rsid w:val="00EC0F2D"/>
    <w:rsid w:val="00EC1090"/>
    <w:rsid w:val="00EC12C7"/>
    <w:rsid w:val="00EC14F7"/>
    <w:rsid w:val="00EC16EB"/>
    <w:rsid w:val="00EC19CB"/>
    <w:rsid w:val="00EC1E19"/>
    <w:rsid w:val="00EC2269"/>
    <w:rsid w:val="00EC2507"/>
    <w:rsid w:val="00EC2B10"/>
    <w:rsid w:val="00EC2C55"/>
    <w:rsid w:val="00EC2FEE"/>
    <w:rsid w:val="00EC3A87"/>
    <w:rsid w:val="00EC3BE1"/>
    <w:rsid w:val="00EC3E4F"/>
    <w:rsid w:val="00EC4108"/>
    <w:rsid w:val="00EC429A"/>
    <w:rsid w:val="00EC5EAA"/>
    <w:rsid w:val="00EC674D"/>
    <w:rsid w:val="00EC787B"/>
    <w:rsid w:val="00EC7BE2"/>
    <w:rsid w:val="00EC7DA8"/>
    <w:rsid w:val="00EC7E49"/>
    <w:rsid w:val="00ED0180"/>
    <w:rsid w:val="00ED0464"/>
    <w:rsid w:val="00ED0733"/>
    <w:rsid w:val="00ED0913"/>
    <w:rsid w:val="00ED0A22"/>
    <w:rsid w:val="00ED0C29"/>
    <w:rsid w:val="00ED13F4"/>
    <w:rsid w:val="00ED173A"/>
    <w:rsid w:val="00ED229A"/>
    <w:rsid w:val="00ED2391"/>
    <w:rsid w:val="00ED27C0"/>
    <w:rsid w:val="00ED3281"/>
    <w:rsid w:val="00ED38EA"/>
    <w:rsid w:val="00ED3A6F"/>
    <w:rsid w:val="00ED3CC9"/>
    <w:rsid w:val="00ED3CD1"/>
    <w:rsid w:val="00ED3FBC"/>
    <w:rsid w:val="00ED43BB"/>
    <w:rsid w:val="00ED4449"/>
    <w:rsid w:val="00ED445A"/>
    <w:rsid w:val="00ED4822"/>
    <w:rsid w:val="00ED56FA"/>
    <w:rsid w:val="00ED603D"/>
    <w:rsid w:val="00ED6356"/>
    <w:rsid w:val="00ED680F"/>
    <w:rsid w:val="00ED686A"/>
    <w:rsid w:val="00ED690D"/>
    <w:rsid w:val="00ED6C12"/>
    <w:rsid w:val="00ED7119"/>
    <w:rsid w:val="00ED7627"/>
    <w:rsid w:val="00ED772E"/>
    <w:rsid w:val="00ED7DF5"/>
    <w:rsid w:val="00EE0202"/>
    <w:rsid w:val="00EE04E4"/>
    <w:rsid w:val="00EE070C"/>
    <w:rsid w:val="00EE0E98"/>
    <w:rsid w:val="00EE12B2"/>
    <w:rsid w:val="00EE152E"/>
    <w:rsid w:val="00EE1718"/>
    <w:rsid w:val="00EE1AD1"/>
    <w:rsid w:val="00EE1BE4"/>
    <w:rsid w:val="00EE2504"/>
    <w:rsid w:val="00EE291C"/>
    <w:rsid w:val="00EE3A9A"/>
    <w:rsid w:val="00EE3CD4"/>
    <w:rsid w:val="00EE42C5"/>
    <w:rsid w:val="00EE430B"/>
    <w:rsid w:val="00EE4867"/>
    <w:rsid w:val="00EE48BC"/>
    <w:rsid w:val="00EE4B62"/>
    <w:rsid w:val="00EE4E0C"/>
    <w:rsid w:val="00EE57EB"/>
    <w:rsid w:val="00EE584F"/>
    <w:rsid w:val="00EE5EA6"/>
    <w:rsid w:val="00EE5ED9"/>
    <w:rsid w:val="00EE636A"/>
    <w:rsid w:val="00EE65A9"/>
    <w:rsid w:val="00EE693F"/>
    <w:rsid w:val="00EE6D34"/>
    <w:rsid w:val="00EE7BE5"/>
    <w:rsid w:val="00EF0039"/>
    <w:rsid w:val="00EF054F"/>
    <w:rsid w:val="00EF0A3F"/>
    <w:rsid w:val="00EF0C9A"/>
    <w:rsid w:val="00EF0F8E"/>
    <w:rsid w:val="00EF0FCB"/>
    <w:rsid w:val="00EF11C7"/>
    <w:rsid w:val="00EF1262"/>
    <w:rsid w:val="00EF1C1B"/>
    <w:rsid w:val="00EF27B1"/>
    <w:rsid w:val="00EF3978"/>
    <w:rsid w:val="00EF3A0A"/>
    <w:rsid w:val="00EF4366"/>
    <w:rsid w:val="00EF4E31"/>
    <w:rsid w:val="00EF500D"/>
    <w:rsid w:val="00EF5182"/>
    <w:rsid w:val="00EF5210"/>
    <w:rsid w:val="00EF52A9"/>
    <w:rsid w:val="00EF56FD"/>
    <w:rsid w:val="00EF6081"/>
    <w:rsid w:val="00EF638D"/>
    <w:rsid w:val="00EF7435"/>
    <w:rsid w:val="00EF7868"/>
    <w:rsid w:val="00F002C0"/>
    <w:rsid w:val="00F005EC"/>
    <w:rsid w:val="00F007C5"/>
    <w:rsid w:val="00F00DE8"/>
    <w:rsid w:val="00F0146A"/>
    <w:rsid w:val="00F014D9"/>
    <w:rsid w:val="00F020CC"/>
    <w:rsid w:val="00F02300"/>
    <w:rsid w:val="00F0272E"/>
    <w:rsid w:val="00F027FA"/>
    <w:rsid w:val="00F028CE"/>
    <w:rsid w:val="00F02B50"/>
    <w:rsid w:val="00F02C8D"/>
    <w:rsid w:val="00F02D9C"/>
    <w:rsid w:val="00F03503"/>
    <w:rsid w:val="00F035B6"/>
    <w:rsid w:val="00F03F8E"/>
    <w:rsid w:val="00F04096"/>
    <w:rsid w:val="00F04363"/>
    <w:rsid w:val="00F04520"/>
    <w:rsid w:val="00F045F2"/>
    <w:rsid w:val="00F04710"/>
    <w:rsid w:val="00F06371"/>
    <w:rsid w:val="00F06BB0"/>
    <w:rsid w:val="00F075A7"/>
    <w:rsid w:val="00F07685"/>
    <w:rsid w:val="00F1044E"/>
    <w:rsid w:val="00F1045E"/>
    <w:rsid w:val="00F108BD"/>
    <w:rsid w:val="00F108C4"/>
    <w:rsid w:val="00F11297"/>
    <w:rsid w:val="00F11422"/>
    <w:rsid w:val="00F11558"/>
    <w:rsid w:val="00F11A77"/>
    <w:rsid w:val="00F121CA"/>
    <w:rsid w:val="00F12D31"/>
    <w:rsid w:val="00F12DE9"/>
    <w:rsid w:val="00F132FE"/>
    <w:rsid w:val="00F1337F"/>
    <w:rsid w:val="00F137E4"/>
    <w:rsid w:val="00F13DFE"/>
    <w:rsid w:val="00F140C2"/>
    <w:rsid w:val="00F1436E"/>
    <w:rsid w:val="00F143C1"/>
    <w:rsid w:val="00F14490"/>
    <w:rsid w:val="00F144F9"/>
    <w:rsid w:val="00F14B58"/>
    <w:rsid w:val="00F15137"/>
    <w:rsid w:val="00F159F2"/>
    <w:rsid w:val="00F15A2E"/>
    <w:rsid w:val="00F15EED"/>
    <w:rsid w:val="00F1609A"/>
    <w:rsid w:val="00F162E1"/>
    <w:rsid w:val="00F16BAF"/>
    <w:rsid w:val="00F16DB3"/>
    <w:rsid w:val="00F17725"/>
    <w:rsid w:val="00F17B6C"/>
    <w:rsid w:val="00F17E2F"/>
    <w:rsid w:val="00F17EA5"/>
    <w:rsid w:val="00F17EAF"/>
    <w:rsid w:val="00F2035C"/>
    <w:rsid w:val="00F2101A"/>
    <w:rsid w:val="00F214BC"/>
    <w:rsid w:val="00F215F8"/>
    <w:rsid w:val="00F2220C"/>
    <w:rsid w:val="00F22743"/>
    <w:rsid w:val="00F22923"/>
    <w:rsid w:val="00F23C41"/>
    <w:rsid w:val="00F23EA8"/>
    <w:rsid w:val="00F23EA9"/>
    <w:rsid w:val="00F242D3"/>
    <w:rsid w:val="00F243D7"/>
    <w:rsid w:val="00F24412"/>
    <w:rsid w:val="00F245A1"/>
    <w:rsid w:val="00F247F7"/>
    <w:rsid w:val="00F24D37"/>
    <w:rsid w:val="00F2545D"/>
    <w:rsid w:val="00F254CF"/>
    <w:rsid w:val="00F256C9"/>
    <w:rsid w:val="00F25D77"/>
    <w:rsid w:val="00F26278"/>
    <w:rsid w:val="00F2674D"/>
    <w:rsid w:val="00F268B8"/>
    <w:rsid w:val="00F26AC8"/>
    <w:rsid w:val="00F26C42"/>
    <w:rsid w:val="00F26FC8"/>
    <w:rsid w:val="00F2715A"/>
    <w:rsid w:val="00F2754A"/>
    <w:rsid w:val="00F277B1"/>
    <w:rsid w:val="00F27833"/>
    <w:rsid w:val="00F30266"/>
    <w:rsid w:val="00F30764"/>
    <w:rsid w:val="00F308D9"/>
    <w:rsid w:val="00F30B14"/>
    <w:rsid w:val="00F30BCC"/>
    <w:rsid w:val="00F31026"/>
    <w:rsid w:val="00F312C9"/>
    <w:rsid w:val="00F31493"/>
    <w:rsid w:val="00F3172D"/>
    <w:rsid w:val="00F32056"/>
    <w:rsid w:val="00F32070"/>
    <w:rsid w:val="00F32362"/>
    <w:rsid w:val="00F33241"/>
    <w:rsid w:val="00F33A0C"/>
    <w:rsid w:val="00F342BF"/>
    <w:rsid w:val="00F34926"/>
    <w:rsid w:val="00F349AB"/>
    <w:rsid w:val="00F35FAE"/>
    <w:rsid w:val="00F36177"/>
    <w:rsid w:val="00F361D1"/>
    <w:rsid w:val="00F36669"/>
    <w:rsid w:val="00F369D2"/>
    <w:rsid w:val="00F36A9A"/>
    <w:rsid w:val="00F36FAD"/>
    <w:rsid w:val="00F3701C"/>
    <w:rsid w:val="00F376B4"/>
    <w:rsid w:val="00F379C3"/>
    <w:rsid w:val="00F37CC7"/>
    <w:rsid w:val="00F37F1A"/>
    <w:rsid w:val="00F402E7"/>
    <w:rsid w:val="00F40435"/>
    <w:rsid w:val="00F4083B"/>
    <w:rsid w:val="00F40A63"/>
    <w:rsid w:val="00F40BF6"/>
    <w:rsid w:val="00F4175D"/>
    <w:rsid w:val="00F41EA5"/>
    <w:rsid w:val="00F420FE"/>
    <w:rsid w:val="00F42C45"/>
    <w:rsid w:val="00F43615"/>
    <w:rsid w:val="00F437BE"/>
    <w:rsid w:val="00F43BBE"/>
    <w:rsid w:val="00F44341"/>
    <w:rsid w:val="00F448BF"/>
    <w:rsid w:val="00F44AE2"/>
    <w:rsid w:val="00F45AC0"/>
    <w:rsid w:val="00F46700"/>
    <w:rsid w:val="00F469C2"/>
    <w:rsid w:val="00F46EBA"/>
    <w:rsid w:val="00F503A9"/>
    <w:rsid w:val="00F51070"/>
    <w:rsid w:val="00F51259"/>
    <w:rsid w:val="00F51605"/>
    <w:rsid w:val="00F51ABC"/>
    <w:rsid w:val="00F51BED"/>
    <w:rsid w:val="00F51D74"/>
    <w:rsid w:val="00F51E9B"/>
    <w:rsid w:val="00F535D7"/>
    <w:rsid w:val="00F53A10"/>
    <w:rsid w:val="00F53E02"/>
    <w:rsid w:val="00F546F2"/>
    <w:rsid w:val="00F54AB5"/>
    <w:rsid w:val="00F54EBD"/>
    <w:rsid w:val="00F5526F"/>
    <w:rsid w:val="00F552F8"/>
    <w:rsid w:val="00F55ED4"/>
    <w:rsid w:val="00F5645E"/>
    <w:rsid w:val="00F5646D"/>
    <w:rsid w:val="00F5656F"/>
    <w:rsid w:val="00F56A61"/>
    <w:rsid w:val="00F56FDE"/>
    <w:rsid w:val="00F57312"/>
    <w:rsid w:val="00F573A6"/>
    <w:rsid w:val="00F60899"/>
    <w:rsid w:val="00F60912"/>
    <w:rsid w:val="00F60FB3"/>
    <w:rsid w:val="00F61685"/>
    <w:rsid w:val="00F6196A"/>
    <w:rsid w:val="00F61A01"/>
    <w:rsid w:val="00F61A7D"/>
    <w:rsid w:val="00F61C3A"/>
    <w:rsid w:val="00F61E5E"/>
    <w:rsid w:val="00F6208B"/>
    <w:rsid w:val="00F62AFE"/>
    <w:rsid w:val="00F631FF"/>
    <w:rsid w:val="00F636DB"/>
    <w:rsid w:val="00F63AE1"/>
    <w:rsid w:val="00F63C0B"/>
    <w:rsid w:val="00F64693"/>
    <w:rsid w:val="00F649D0"/>
    <w:rsid w:val="00F64A93"/>
    <w:rsid w:val="00F65360"/>
    <w:rsid w:val="00F65608"/>
    <w:rsid w:val="00F65763"/>
    <w:rsid w:val="00F65B34"/>
    <w:rsid w:val="00F6662F"/>
    <w:rsid w:val="00F6666B"/>
    <w:rsid w:val="00F66711"/>
    <w:rsid w:val="00F67420"/>
    <w:rsid w:val="00F67ADE"/>
    <w:rsid w:val="00F67BFA"/>
    <w:rsid w:val="00F67D02"/>
    <w:rsid w:val="00F67D6D"/>
    <w:rsid w:val="00F703DE"/>
    <w:rsid w:val="00F704DB"/>
    <w:rsid w:val="00F712F8"/>
    <w:rsid w:val="00F71602"/>
    <w:rsid w:val="00F7189B"/>
    <w:rsid w:val="00F718B4"/>
    <w:rsid w:val="00F71B8A"/>
    <w:rsid w:val="00F72B85"/>
    <w:rsid w:val="00F72D87"/>
    <w:rsid w:val="00F73445"/>
    <w:rsid w:val="00F74717"/>
    <w:rsid w:val="00F74752"/>
    <w:rsid w:val="00F75592"/>
    <w:rsid w:val="00F7596E"/>
    <w:rsid w:val="00F75FE4"/>
    <w:rsid w:val="00F7649D"/>
    <w:rsid w:val="00F76A0B"/>
    <w:rsid w:val="00F8038A"/>
    <w:rsid w:val="00F80791"/>
    <w:rsid w:val="00F809AE"/>
    <w:rsid w:val="00F80D4B"/>
    <w:rsid w:val="00F81B56"/>
    <w:rsid w:val="00F81BBA"/>
    <w:rsid w:val="00F828A9"/>
    <w:rsid w:val="00F82993"/>
    <w:rsid w:val="00F82B0B"/>
    <w:rsid w:val="00F82BFF"/>
    <w:rsid w:val="00F82F2D"/>
    <w:rsid w:val="00F8307A"/>
    <w:rsid w:val="00F834A5"/>
    <w:rsid w:val="00F8358C"/>
    <w:rsid w:val="00F83C1C"/>
    <w:rsid w:val="00F840FF"/>
    <w:rsid w:val="00F8474C"/>
    <w:rsid w:val="00F84F58"/>
    <w:rsid w:val="00F85055"/>
    <w:rsid w:val="00F85FB9"/>
    <w:rsid w:val="00F869C3"/>
    <w:rsid w:val="00F86D00"/>
    <w:rsid w:val="00F86E1E"/>
    <w:rsid w:val="00F87E26"/>
    <w:rsid w:val="00F900F7"/>
    <w:rsid w:val="00F90123"/>
    <w:rsid w:val="00F90216"/>
    <w:rsid w:val="00F9029F"/>
    <w:rsid w:val="00F903E0"/>
    <w:rsid w:val="00F90961"/>
    <w:rsid w:val="00F90B7E"/>
    <w:rsid w:val="00F913D6"/>
    <w:rsid w:val="00F91478"/>
    <w:rsid w:val="00F91640"/>
    <w:rsid w:val="00F91BC2"/>
    <w:rsid w:val="00F925D6"/>
    <w:rsid w:val="00F9278E"/>
    <w:rsid w:val="00F93259"/>
    <w:rsid w:val="00F935E4"/>
    <w:rsid w:val="00F937C2"/>
    <w:rsid w:val="00F94B19"/>
    <w:rsid w:val="00F94C23"/>
    <w:rsid w:val="00F95201"/>
    <w:rsid w:val="00F95589"/>
    <w:rsid w:val="00F95B28"/>
    <w:rsid w:val="00F95CD9"/>
    <w:rsid w:val="00F95FF7"/>
    <w:rsid w:val="00F972DE"/>
    <w:rsid w:val="00F97554"/>
    <w:rsid w:val="00F97917"/>
    <w:rsid w:val="00F979D5"/>
    <w:rsid w:val="00F97A0C"/>
    <w:rsid w:val="00F97EBF"/>
    <w:rsid w:val="00FA05AC"/>
    <w:rsid w:val="00FA0C3D"/>
    <w:rsid w:val="00FA14C1"/>
    <w:rsid w:val="00FA1765"/>
    <w:rsid w:val="00FA1EDB"/>
    <w:rsid w:val="00FA22E1"/>
    <w:rsid w:val="00FA2BF4"/>
    <w:rsid w:val="00FA301B"/>
    <w:rsid w:val="00FA37AE"/>
    <w:rsid w:val="00FA3BAB"/>
    <w:rsid w:val="00FA4FF2"/>
    <w:rsid w:val="00FA50E5"/>
    <w:rsid w:val="00FA5136"/>
    <w:rsid w:val="00FA514D"/>
    <w:rsid w:val="00FA5DE4"/>
    <w:rsid w:val="00FA5E96"/>
    <w:rsid w:val="00FA601B"/>
    <w:rsid w:val="00FA6291"/>
    <w:rsid w:val="00FA649D"/>
    <w:rsid w:val="00FA696D"/>
    <w:rsid w:val="00FA708D"/>
    <w:rsid w:val="00FA70FC"/>
    <w:rsid w:val="00FA7A00"/>
    <w:rsid w:val="00FA7C41"/>
    <w:rsid w:val="00FA7E30"/>
    <w:rsid w:val="00FA7F0F"/>
    <w:rsid w:val="00FB02CE"/>
    <w:rsid w:val="00FB034C"/>
    <w:rsid w:val="00FB1142"/>
    <w:rsid w:val="00FB15E4"/>
    <w:rsid w:val="00FB1824"/>
    <w:rsid w:val="00FB26FF"/>
    <w:rsid w:val="00FB2D48"/>
    <w:rsid w:val="00FB332A"/>
    <w:rsid w:val="00FB35F2"/>
    <w:rsid w:val="00FB3850"/>
    <w:rsid w:val="00FB3965"/>
    <w:rsid w:val="00FB4162"/>
    <w:rsid w:val="00FB4336"/>
    <w:rsid w:val="00FB4928"/>
    <w:rsid w:val="00FB49EE"/>
    <w:rsid w:val="00FB4B00"/>
    <w:rsid w:val="00FB6144"/>
    <w:rsid w:val="00FB67E8"/>
    <w:rsid w:val="00FB77CA"/>
    <w:rsid w:val="00FB7CF8"/>
    <w:rsid w:val="00FB7FAC"/>
    <w:rsid w:val="00FC0997"/>
    <w:rsid w:val="00FC0C29"/>
    <w:rsid w:val="00FC0EB1"/>
    <w:rsid w:val="00FC123E"/>
    <w:rsid w:val="00FC15DC"/>
    <w:rsid w:val="00FC1712"/>
    <w:rsid w:val="00FC1793"/>
    <w:rsid w:val="00FC1FEF"/>
    <w:rsid w:val="00FC29A5"/>
    <w:rsid w:val="00FC2AE5"/>
    <w:rsid w:val="00FC2BF3"/>
    <w:rsid w:val="00FC2BFD"/>
    <w:rsid w:val="00FC329E"/>
    <w:rsid w:val="00FC32D4"/>
    <w:rsid w:val="00FC338C"/>
    <w:rsid w:val="00FC3577"/>
    <w:rsid w:val="00FC36B6"/>
    <w:rsid w:val="00FC38FD"/>
    <w:rsid w:val="00FC3D54"/>
    <w:rsid w:val="00FC3DE7"/>
    <w:rsid w:val="00FC3F77"/>
    <w:rsid w:val="00FC42EB"/>
    <w:rsid w:val="00FC5B74"/>
    <w:rsid w:val="00FC6947"/>
    <w:rsid w:val="00FC6A40"/>
    <w:rsid w:val="00FC6CA7"/>
    <w:rsid w:val="00FC718F"/>
    <w:rsid w:val="00FC7237"/>
    <w:rsid w:val="00FC73D1"/>
    <w:rsid w:val="00FC75D1"/>
    <w:rsid w:val="00FD06DD"/>
    <w:rsid w:val="00FD0849"/>
    <w:rsid w:val="00FD0A40"/>
    <w:rsid w:val="00FD22D5"/>
    <w:rsid w:val="00FD2418"/>
    <w:rsid w:val="00FD2813"/>
    <w:rsid w:val="00FD2BB1"/>
    <w:rsid w:val="00FD2F30"/>
    <w:rsid w:val="00FD346D"/>
    <w:rsid w:val="00FD3DAF"/>
    <w:rsid w:val="00FD3E9B"/>
    <w:rsid w:val="00FD4934"/>
    <w:rsid w:val="00FD52CC"/>
    <w:rsid w:val="00FD5581"/>
    <w:rsid w:val="00FD5B74"/>
    <w:rsid w:val="00FD61F1"/>
    <w:rsid w:val="00FD6766"/>
    <w:rsid w:val="00FD6BCE"/>
    <w:rsid w:val="00FD6C80"/>
    <w:rsid w:val="00FD715E"/>
    <w:rsid w:val="00FD7564"/>
    <w:rsid w:val="00FD7A4D"/>
    <w:rsid w:val="00FD7B10"/>
    <w:rsid w:val="00FD7D86"/>
    <w:rsid w:val="00FD7E60"/>
    <w:rsid w:val="00FE0031"/>
    <w:rsid w:val="00FE004D"/>
    <w:rsid w:val="00FE0785"/>
    <w:rsid w:val="00FE0A1A"/>
    <w:rsid w:val="00FE0E45"/>
    <w:rsid w:val="00FE0FE1"/>
    <w:rsid w:val="00FE118D"/>
    <w:rsid w:val="00FE1428"/>
    <w:rsid w:val="00FE1B0C"/>
    <w:rsid w:val="00FE28D3"/>
    <w:rsid w:val="00FE3011"/>
    <w:rsid w:val="00FE3561"/>
    <w:rsid w:val="00FE3F28"/>
    <w:rsid w:val="00FE442D"/>
    <w:rsid w:val="00FE4858"/>
    <w:rsid w:val="00FE4917"/>
    <w:rsid w:val="00FE5942"/>
    <w:rsid w:val="00FE5AB3"/>
    <w:rsid w:val="00FE5F7E"/>
    <w:rsid w:val="00FE6004"/>
    <w:rsid w:val="00FE61F4"/>
    <w:rsid w:val="00FE65BF"/>
    <w:rsid w:val="00FE71EE"/>
    <w:rsid w:val="00FE7200"/>
    <w:rsid w:val="00FE72A8"/>
    <w:rsid w:val="00FE77C7"/>
    <w:rsid w:val="00FE7C0F"/>
    <w:rsid w:val="00FF0F6B"/>
    <w:rsid w:val="00FF1334"/>
    <w:rsid w:val="00FF134B"/>
    <w:rsid w:val="00FF1504"/>
    <w:rsid w:val="00FF166C"/>
    <w:rsid w:val="00FF26BB"/>
    <w:rsid w:val="00FF2A61"/>
    <w:rsid w:val="00FF2FE0"/>
    <w:rsid w:val="00FF3B4E"/>
    <w:rsid w:val="00FF3BCE"/>
    <w:rsid w:val="00FF4ABB"/>
    <w:rsid w:val="00FF4FA9"/>
    <w:rsid w:val="00FF504D"/>
    <w:rsid w:val="00FF57DE"/>
    <w:rsid w:val="00FF5A14"/>
    <w:rsid w:val="00FF5E20"/>
    <w:rsid w:val="00FF6D76"/>
    <w:rsid w:val="00FF72B2"/>
    <w:rsid w:val="00FF7953"/>
    <w:rsid w:val="00FF7B21"/>
    <w:rsid w:val="01527EDF"/>
    <w:rsid w:val="043F299D"/>
    <w:rsid w:val="059701D0"/>
    <w:rsid w:val="07A96F74"/>
    <w:rsid w:val="07D40BA9"/>
    <w:rsid w:val="0889068B"/>
    <w:rsid w:val="0A87125C"/>
    <w:rsid w:val="0F890262"/>
    <w:rsid w:val="0FBA55CD"/>
    <w:rsid w:val="0FC8250A"/>
    <w:rsid w:val="10EB1CB4"/>
    <w:rsid w:val="13230C83"/>
    <w:rsid w:val="15533FA5"/>
    <w:rsid w:val="15BF56EC"/>
    <w:rsid w:val="1AD31352"/>
    <w:rsid w:val="1B740D26"/>
    <w:rsid w:val="1E877BA2"/>
    <w:rsid w:val="210660FC"/>
    <w:rsid w:val="22AC524A"/>
    <w:rsid w:val="279A6239"/>
    <w:rsid w:val="28C766C7"/>
    <w:rsid w:val="2AC36AEE"/>
    <w:rsid w:val="2BDE5CBC"/>
    <w:rsid w:val="33303CEA"/>
    <w:rsid w:val="36341386"/>
    <w:rsid w:val="378F6129"/>
    <w:rsid w:val="3C6D73A0"/>
    <w:rsid w:val="3CC33464"/>
    <w:rsid w:val="414508EB"/>
    <w:rsid w:val="420D777F"/>
    <w:rsid w:val="4610641A"/>
    <w:rsid w:val="465A4B42"/>
    <w:rsid w:val="489B2542"/>
    <w:rsid w:val="4BD07BFF"/>
    <w:rsid w:val="4C63650D"/>
    <w:rsid w:val="4E9E788D"/>
    <w:rsid w:val="4ED71D49"/>
    <w:rsid w:val="51556929"/>
    <w:rsid w:val="51A64D6D"/>
    <w:rsid w:val="53B11E10"/>
    <w:rsid w:val="5526593F"/>
    <w:rsid w:val="55F5778E"/>
    <w:rsid w:val="57843E62"/>
    <w:rsid w:val="5D0565C3"/>
    <w:rsid w:val="601362E3"/>
    <w:rsid w:val="6227008D"/>
    <w:rsid w:val="6709601B"/>
    <w:rsid w:val="68A8006C"/>
    <w:rsid w:val="6C7C0DB6"/>
    <w:rsid w:val="713A4DD9"/>
    <w:rsid w:val="71836742"/>
    <w:rsid w:val="74737AEB"/>
    <w:rsid w:val="75D2099E"/>
    <w:rsid w:val="77CE00FF"/>
    <w:rsid w:val="7DEE06F4"/>
    <w:rsid w:val="7E407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34B1B7-BC80-4CF3-BCC9-93A13255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uiPriority="22" w:qFormat="1"/>
    <w:lsdException w:name="Emphasis" w:qFormat="1"/>
    <w:lsdException w:name="Document Map" w:semiHidden="1" w:unhideWhenUsed="1"/>
    <w:lsdException w:name="Plain Text"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4"/>
    </w:rPr>
  </w:style>
  <w:style w:type="paragraph" w:styleId="1">
    <w:name w:val="heading 1"/>
    <w:basedOn w:val="a"/>
    <w:next w:val="a"/>
    <w:link w:val="1Char"/>
    <w:autoRedefine/>
    <w:qFormat/>
    <w:pPr>
      <w:keepNext/>
      <w:keepLines/>
      <w:numPr>
        <w:numId w:val="1"/>
      </w:numPr>
      <w:spacing w:before="240" w:after="120" w:line="360" w:lineRule="auto"/>
      <w:jc w:val="center"/>
      <w:outlineLvl w:val="0"/>
    </w:pPr>
    <w:rPr>
      <w:b/>
      <w:kern w:val="44"/>
      <w:sz w:val="36"/>
      <w:szCs w:val="20"/>
    </w:rPr>
  </w:style>
  <w:style w:type="paragraph" w:styleId="2">
    <w:name w:val="heading 2"/>
    <w:basedOn w:val="a"/>
    <w:next w:val="a"/>
    <w:link w:val="2Char"/>
    <w:autoRedefine/>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0"/>
    <w:link w:val="4Char"/>
    <w:autoRedefine/>
    <w:qFormat/>
    <w:pPr>
      <w:numPr>
        <w:ilvl w:val="3"/>
        <w:numId w:val="1"/>
      </w:numPr>
      <w:adjustRightInd w:val="0"/>
      <w:spacing w:before="60" w:after="40" w:line="288" w:lineRule="auto"/>
      <w:textAlignment w:val="baseline"/>
      <w:outlineLvl w:val="3"/>
    </w:pPr>
    <w:rPr>
      <w:kern w:val="0"/>
      <w:sz w:val="28"/>
      <w:szCs w:val="20"/>
    </w:rPr>
  </w:style>
  <w:style w:type="paragraph" w:styleId="5">
    <w:name w:val="heading 5"/>
    <w:basedOn w:val="a"/>
    <w:next w:val="a0"/>
    <w:link w:val="5Char"/>
    <w:autoRedefine/>
    <w:qFormat/>
    <w:pPr>
      <w:numPr>
        <w:ilvl w:val="4"/>
        <w:numId w:val="1"/>
      </w:numPr>
      <w:adjustRightInd w:val="0"/>
      <w:spacing w:before="40" w:after="20" w:line="288" w:lineRule="auto"/>
      <w:textAlignment w:val="baseline"/>
      <w:outlineLvl w:val="4"/>
    </w:pPr>
    <w:rPr>
      <w:kern w:val="0"/>
      <w:sz w:val="28"/>
      <w:szCs w:val="20"/>
    </w:rPr>
  </w:style>
  <w:style w:type="paragraph" w:styleId="6">
    <w:name w:val="heading 6"/>
    <w:basedOn w:val="a"/>
    <w:next w:val="a0"/>
    <w:link w:val="6Char"/>
    <w:autoRedefine/>
    <w:qFormat/>
    <w:pPr>
      <w:keepNext/>
      <w:keepLines/>
      <w:numPr>
        <w:ilvl w:val="5"/>
        <w:numId w:val="1"/>
      </w:numPr>
      <w:adjustRightInd w:val="0"/>
      <w:spacing w:before="240" w:after="64" w:line="320" w:lineRule="auto"/>
      <w:textAlignment w:val="baseline"/>
      <w:outlineLvl w:val="5"/>
    </w:pPr>
    <w:rPr>
      <w:rFonts w:ascii="Arial" w:eastAsia="黑体" w:hAnsi="Arial"/>
      <w:b/>
      <w:kern w:val="0"/>
      <w:sz w:val="24"/>
      <w:szCs w:val="20"/>
    </w:rPr>
  </w:style>
  <w:style w:type="paragraph" w:styleId="7">
    <w:name w:val="heading 7"/>
    <w:basedOn w:val="a"/>
    <w:next w:val="a0"/>
    <w:link w:val="7Char"/>
    <w:autoRedefine/>
    <w:qFormat/>
    <w:pPr>
      <w:keepNext/>
      <w:keepLines/>
      <w:numPr>
        <w:ilvl w:val="6"/>
        <w:numId w:val="1"/>
      </w:numPr>
      <w:adjustRightInd w:val="0"/>
      <w:spacing w:before="240" w:after="64" w:line="320" w:lineRule="auto"/>
      <w:textAlignment w:val="baseline"/>
      <w:outlineLvl w:val="6"/>
    </w:pPr>
    <w:rPr>
      <w:rFonts w:ascii="宋体"/>
      <w:b/>
      <w:kern w:val="0"/>
      <w:sz w:val="24"/>
      <w:szCs w:val="20"/>
    </w:rPr>
  </w:style>
  <w:style w:type="paragraph" w:styleId="8">
    <w:name w:val="heading 8"/>
    <w:basedOn w:val="a"/>
    <w:next w:val="a0"/>
    <w:link w:val="8Char"/>
    <w:autoRedefine/>
    <w:qFormat/>
    <w:pPr>
      <w:keepNext/>
      <w:keepLines/>
      <w:numPr>
        <w:ilvl w:val="7"/>
        <w:numId w:val="1"/>
      </w:numPr>
      <w:adjustRightInd w:val="0"/>
      <w:spacing w:before="240" w:after="64" w:line="320" w:lineRule="auto"/>
      <w:textAlignment w:val="baseline"/>
      <w:outlineLvl w:val="7"/>
    </w:pPr>
    <w:rPr>
      <w:rFonts w:ascii="Arial" w:eastAsia="黑体" w:hAnsi="Arial"/>
      <w:kern w:val="0"/>
      <w:sz w:val="24"/>
      <w:szCs w:val="20"/>
    </w:rPr>
  </w:style>
  <w:style w:type="paragraph" w:styleId="9">
    <w:name w:val="heading 9"/>
    <w:basedOn w:val="a"/>
    <w:next w:val="a0"/>
    <w:link w:val="9Char"/>
    <w:autoRedefine/>
    <w:qFormat/>
    <w:pPr>
      <w:keepNext/>
      <w:keepLines/>
      <w:numPr>
        <w:ilvl w:val="8"/>
        <w:numId w:val="1"/>
      </w:numPr>
      <w:adjustRightInd w:val="0"/>
      <w:spacing w:before="240" w:after="64" w:line="320" w:lineRule="auto"/>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a4">
    <w:name w:val="annotation text"/>
    <w:basedOn w:val="a"/>
    <w:link w:val="Char"/>
    <w:uiPriority w:val="99"/>
    <w:qFormat/>
    <w:pPr>
      <w:jc w:val="left"/>
    </w:pPr>
  </w:style>
  <w:style w:type="paragraph" w:styleId="a5">
    <w:name w:val="Body Text"/>
    <w:basedOn w:val="a"/>
    <w:link w:val="Char0"/>
    <w:qFormat/>
    <w:pPr>
      <w:spacing w:after="120"/>
    </w:pPr>
  </w:style>
  <w:style w:type="paragraph" w:styleId="a6">
    <w:name w:val="Plain Text"/>
    <w:basedOn w:val="a"/>
    <w:link w:val="Char1"/>
    <w:uiPriority w:val="99"/>
    <w:unhideWhenUsed/>
    <w:qFormat/>
    <w:pPr>
      <w:jc w:val="left"/>
    </w:pPr>
    <w:rPr>
      <w:rFonts w:ascii="Calibri" w:hAnsi="Courier New"/>
      <w:szCs w:val="21"/>
    </w:rPr>
  </w:style>
  <w:style w:type="paragraph" w:styleId="a7">
    <w:name w:val="Balloon Text"/>
    <w:basedOn w:val="a"/>
    <w:link w:val="Char2"/>
    <w:uiPriority w:val="99"/>
    <w:qFormat/>
    <w:rPr>
      <w:sz w:val="18"/>
      <w:szCs w:val="18"/>
    </w:rPr>
  </w:style>
  <w:style w:type="paragraph" w:styleId="a8">
    <w:name w:val="footer"/>
    <w:basedOn w:val="a"/>
    <w:link w:val="Char3"/>
    <w:uiPriority w:val="99"/>
    <w:qFormat/>
    <w:pPr>
      <w:tabs>
        <w:tab w:val="center" w:pos="4153"/>
        <w:tab w:val="right" w:pos="8306"/>
      </w:tabs>
      <w:snapToGrid w:val="0"/>
      <w:jc w:val="left"/>
    </w:pPr>
    <w:rPr>
      <w:sz w:val="18"/>
      <w:szCs w:val="18"/>
    </w:rPr>
  </w:style>
  <w:style w:type="paragraph" w:styleId="a9">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b">
    <w:name w:val="annotation subject"/>
    <w:basedOn w:val="a4"/>
    <w:next w:val="a4"/>
    <w:link w:val="Char5"/>
    <w:autoRedefine/>
    <w:qFormat/>
    <w:rPr>
      <w:b/>
      <w:bCs/>
    </w:rPr>
  </w:style>
  <w:style w:type="character" w:styleId="ac">
    <w:name w:val="Strong"/>
    <w:basedOn w:val="a1"/>
    <w:uiPriority w:val="22"/>
    <w:qFormat/>
    <w:rPr>
      <w:b/>
      <w:bCs/>
    </w:rPr>
  </w:style>
  <w:style w:type="character" w:styleId="ad">
    <w:name w:val="page number"/>
    <w:basedOn w:val="a1"/>
    <w:qFormat/>
  </w:style>
  <w:style w:type="character" w:styleId="ae">
    <w:name w:val="FollowedHyperlink"/>
    <w:basedOn w:val="a1"/>
    <w:autoRedefine/>
    <w:semiHidden/>
    <w:unhideWhenUsed/>
    <w:qFormat/>
    <w:rPr>
      <w:color w:val="800080" w:themeColor="followedHyperlink"/>
      <w:u w:val="single"/>
    </w:rPr>
  </w:style>
  <w:style w:type="character" w:styleId="af">
    <w:name w:val="Hyperlink"/>
    <w:autoRedefine/>
    <w:uiPriority w:val="99"/>
    <w:qFormat/>
    <w:rPr>
      <w:color w:val="0000FF"/>
      <w:u w:val="single"/>
    </w:rPr>
  </w:style>
  <w:style w:type="character" w:styleId="af0">
    <w:name w:val="annotation reference"/>
    <w:qFormat/>
    <w:rPr>
      <w:sz w:val="21"/>
      <w:szCs w:val="21"/>
    </w:rPr>
  </w:style>
  <w:style w:type="character" w:customStyle="1" w:styleId="da">
    <w:name w:val="da"/>
    <w:basedOn w:val="a1"/>
    <w:qFormat/>
  </w:style>
  <w:style w:type="character" w:customStyle="1" w:styleId="txtcontent1">
    <w:name w:val="txtcontent1"/>
    <w:basedOn w:val="a1"/>
    <w:qFormat/>
  </w:style>
  <w:style w:type="character" w:customStyle="1" w:styleId="big1">
    <w:name w:val="big1"/>
    <w:qFormat/>
    <w:rPr>
      <w:spacing w:val="360"/>
      <w:sz w:val="22"/>
      <w:szCs w:val="22"/>
    </w:rPr>
  </w:style>
  <w:style w:type="character" w:customStyle="1" w:styleId="Char4">
    <w:name w:val="页眉 Char"/>
    <w:link w:val="a9"/>
    <w:uiPriority w:val="99"/>
    <w:qFormat/>
    <w:rPr>
      <w:kern w:val="2"/>
      <w:sz w:val="18"/>
      <w:szCs w:val="18"/>
    </w:rPr>
  </w:style>
  <w:style w:type="character" w:customStyle="1" w:styleId="Char2">
    <w:name w:val="批注框文本 Char"/>
    <w:link w:val="a7"/>
    <w:uiPriority w:val="99"/>
    <w:qFormat/>
    <w:rPr>
      <w:kern w:val="2"/>
      <w:sz w:val="18"/>
      <w:szCs w:val="18"/>
    </w:rPr>
  </w:style>
  <w:style w:type="character" w:customStyle="1" w:styleId="Char">
    <w:name w:val="批注文字 Char"/>
    <w:link w:val="a4"/>
    <w:uiPriority w:val="99"/>
    <w:qFormat/>
    <w:rPr>
      <w:kern w:val="2"/>
      <w:sz w:val="21"/>
      <w:szCs w:val="24"/>
    </w:rPr>
  </w:style>
  <w:style w:type="paragraph" w:customStyle="1" w:styleId="af1">
    <w:name w:val="正文所"/>
    <w:basedOn w:val="a"/>
    <w:qFormat/>
    <w:pPr>
      <w:spacing w:line="360" w:lineRule="auto"/>
      <w:ind w:firstLineChars="200" w:firstLine="420"/>
    </w:pPr>
    <w:rPr>
      <w:rFonts w:ascii="宋体"/>
      <w:szCs w:val="20"/>
    </w:rPr>
  </w:style>
  <w:style w:type="character" w:customStyle="1" w:styleId="Char1">
    <w:name w:val="纯文本 Char"/>
    <w:link w:val="a6"/>
    <w:uiPriority w:val="99"/>
    <w:qFormat/>
    <w:rPr>
      <w:rFonts w:ascii="Calibri" w:hAnsi="Courier New" w:cs="Courier New"/>
      <w:kern w:val="2"/>
      <w:sz w:val="21"/>
      <w:szCs w:val="21"/>
    </w:rPr>
  </w:style>
  <w:style w:type="paragraph" w:customStyle="1" w:styleId="af2">
    <w:name w:val="正文 + 小四"/>
    <w:basedOn w:val="a5"/>
    <w:qFormat/>
    <w:pPr>
      <w:spacing w:after="0" w:line="312" w:lineRule="auto"/>
    </w:pPr>
    <w:rPr>
      <w:sz w:val="24"/>
      <w:szCs w:val="28"/>
    </w:rPr>
  </w:style>
  <w:style w:type="character" w:customStyle="1" w:styleId="Char0">
    <w:name w:val="正文文本 Char"/>
    <w:link w:val="a5"/>
    <w:autoRedefine/>
    <w:qFormat/>
    <w:rPr>
      <w:kern w:val="2"/>
      <w:sz w:val="21"/>
      <w:szCs w:val="24"/>
    </w:rPr>
  </w:style>
  <w:style w:type="paragraph" w:customStyle="1" w:styleId="CharCharCharChar1">
    <w:name w:val="Char Char Char Char1"/>
    <w:basedOn w:val="a"/>
    <w:qFormat/>
  </w:style>
  <w:style w:type="character" w:customStyle="1" w:styleId="Char5">
    <w:name w:val="批注主题 Char"/>
    <w:link w:val="ab"/>
    <w:autoRedefine/>
    <w:qFormat/>
    <w:rPr>
      <w:b/>
      <w:bCs/>
      <w:kern w:val="2"/>
      <w:sz w:val="21"/>
      <w:szCs w:val="24"/>
    </w:rPr>
  </w:style>
  <w:style w:type="paragraph" w:customStyle="1" w:styleId="10">
    <w:name w:val="列出段落1"/>
    <w:basedOn w:val="a"/>
    <w:autoRedefine/>
    <w:uiPriority w:val="34"/>
    <w:qFormat/>
    <w:pPr>
      <w:ind w:firstLineChars="200" w:firstLine="420"/>
    </w:pPr>
  </w:style>
  <w:style w:type="character" w:customStyle="1" w:styleId="2Char">
    <w:name w:val="标题 2 Char"/>
    <w:link w:val="2"/>
    <w:uiPriority w:val="9"/>
    <w:qFormat/>
    <w:rPr>
      <w:rFonts w:ascii="Cambria" w:eastAsia="宋体" w:hAnsi="Cambria" w:cs="Times New Roman"/>
      <w:b/>
      <w:bCs/>
      <w:kern w:val="2"/>
      <w:sz w:val="32"/>
      <w:szCs w:val="32"/>
    </w:rPr>
  </w:style>
  <w:style w:type="paragraph" w:customStyle="1" w:styleId="Default">
    <w:name w:val="Default"/>
    <w:autoRedefine/>
    <w:qFormat/>
    <w:pPr>
      <w:widowControl w:val="0"/>
      <w:autoSpaceDE w:val="0"/>
      <w:autoSpaceDN w:val="0"/>
      <w:adjustRightInd w:val="0"/>
    </w:pPr>
    <w:rPr>
      <w:rFonts w:ascii="宋体" w:hAnsiTheme="minorHAnsi" w:cs="宋体"/>
      <w:color w:val="000000"/>
      <w:sz w:val="24"/>
      <w:szCs w:val="24"/>
    </w:rPr>
  </w:style>
  <w:style w:type="paragraph" w:customStyle="1" w:styleId="Char6">
    <w:name w:val="Char"/>
    <w:basedOn w:val="a"/>
    <w:autoRedefine/>
    <w:qFormat/>
  </w:style>
  <w:style w:type="paragraph" w:styleId="af3">
    <w:name w:val="List Paragraph"/>
    <w:basedOn w:val="a"/>
    <w:autoRedefine/>
    <w:uiPriority w:val="34"/>
    <w:unhideWhenUsed/>
    <w:qFormat/>
    <w:pPr>
      <w:ind w:firstLineChars="200" w:firstLine="420"/>
    </w:pPr>
  </w:style>
  <w:style w:type="character" w:customStyle="1" w:styleId="apple-converted-space">
    <w:name w:val="apple-converted-space"/>
    <w:basedOn w:val="a1"/>
    <w:autoRedefine/>
    <w:qFormat/>
  </w:style>
  <w:style w:type="character" w:customStyle="1" w:styleId="num">
    <w:name w:val="num"/>
    <w:basedOn w:val="a1"/>
    <w:qFormat/>
  </w:style>
  <w:style w:type="paragraph" w:customStyle="1" w:styleId="11">
    <w:name w:val="修订1"/>
    <w:autoRedefine/>
    <w:hidden/>
    <w:uiPriority w:val="99"/>
    <w:unhideWhenUsed/>
    <w:qFormat/>
    <w:rPr>
      <w:kern w:val="2"/>
      <w:sz w:val="21"/>
      <w:szCs w:val="24"/>
    </w:rPr>
  </w:style>
  <w:style w:type="character" w:customStyle="1" w:styleId="1Char">
    <w:name w:val="标题 1 Char"/>
    <w:basedOn w:val="a1"/>
    <w:link w:val="1"/>
    <w:autoRedefine/>
    <w:qFormat/>
    <w:rPr>
      <w:b/>
      <w:kern w:val="44"/>
      <w:sz w:val="36"/>
    </w:rPr>
  </w:style>
  <w:style w:type="character" w:customStyle="1" w:styleId="4Char">
    <w:name w:val="标题 4 Char"/>
    <w:basedOn w:val="a1"/>
    <w:link w:val="4"/>
    <w:autoRedefine/>
    <w:qFormat/>
    <w:rPr>
      <w:sz w:val="28"/>
    </w:rPr>
  </w:style>
  <w:style w:type="character" w:customStyle="1" w:styleId="5Char">
    <w:name w:val="标题 5 Char"/>
    <w:basedOn w:val="a1"/>
    <w:link w:val="5"/>
    <w:autoRedefine/>
    <w:qFormat/>
    <w:rPr>
      <w:sz w:val="28"/>
    </w:rPr>
  </w:style>
  <w:style w:type="character" w:customStyle="1" w:styleId="6Char">
    <w:name w:val="标题 6 Char"/>
    <w:basedOn w:val="a1"/>
    <w:link w:val="6"/>
    <w:autoRedefine/>
    <w:qFormat/>
    <w:rPr>
      <w:rFonts w:ascii="Arial" w:eastAsia="黑体" w:hAnsi="Arial"/>
      <w:b/>
      <w:sz w:val="24"/>
    </w:rPr>
  </w:style>
  <w:style w:type="character" w:customStyle="1" w:styleId="7Char">
    <w:name w:val="标题 7 Char"/>
    <w:basedOn w:val="a1"/>
    <w:link w:val="7"/>
    <w:qFormat/>
    <w:rPr>
      <w:rFonts w:ascii="宋体"/>
      <w:b/>
      <w:sz w:val="24"/>
    </w:rPr>
  </w:style>
  <w:style w:type="character" w:customStyle="1" w:styleId="8Char">
    <w:name w:val="标题 8 Char"/>
    <w:basedOn w:val="a1"/>
    <w:link w:val="8"/>
    <w:autoRedefine/>
    <w:qFormat/>
    <w:rPr>
      <w:rFonts w:ascii="Arial" w:eastAsia="黑体" w:hAnsi="Arial"/>
      <w:sz w:val="24"/>
    </w:rPr>
  </w:style>
  <w:style w:type="character" w:customStyle="1" w:styleId="9Char">
    <w:name w:val="标题 9 Char"/>
    <w:basedOn w:val="a1"/>
    <w:link w:val="9"/>
    <w:autoRedefine/>
    <w:qFormat/>
    <w:rPr>
      <w:rFonts w:ascii="Arial" w:eastAsia="黑体" w:hAnsi="Arial"/>
      <w:sz w:val="21"/>
    </w:rPr>
  </w:style>
  <w:style w:type="character" w:customStyle="1" w:styleId="Char3">
    <w:name w:val="页脚 Char"/>
    <w:basedOn w:val="a1"/>
    <w:link w:val="a8"/>
    <w:autoRedefine/>
    <w:uiPriority w:val="99"/>
    <w:qFormat/>
    <w:rPr>
      <w:kern w:val="2"/>
      <w:sz w:val="18"/>
      <w:szCs w:val="18"/>
    </w:rPr>
  </w:style>
  <w:style w:type="character" w:customStyle="1" w:styleId="keyword">
    <w:name w:val="keyword"/>
    <w:basedOn w:val="a1"/>
    <w:autoRedefine/>
    <w:qFormat/>
  </w:style>
  <w:style w:type="table" w:customStyle="1" w:styleId="-5">
    <w:name w:val="模板-表格5"/>
    <w:basedOn w:val="a2"/>
    <w:qFormat/>
    <w:pPr>
      <w:overflowPunct w:val="0"/>
    </w:p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jc w:val="center"/>
    </w:trPr>
    <w:tcPr>
      <w:vAlign w:val="center"/>
    </w:tcPr>
    <w:tblStylePr w:type="firstRow">
      <w:pPr>
        <w:jc w:val="center"/>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FFFF"/>
      </w:tcPr>
    </w:tblStylePr>
    <w:tblStylePr w:type="firstCol">
      <w:pPr>
        <w:jc w:val="center"/>
      </w:pPr>
    </w:tblStylePr>
  </w:style>
  <w:style w:type="paragraph" w:customStyle="1" w:styleId="20">
    <w:name w:val="修订2"/>
    <w:autoRedefine/>
    <w:hidden/>
    <w:uiPriority w:val="99"/>
    <w:semiHidden/>
    <w:qFormat/>
    <w:rPr>
      <w:kern w:val="2"/>
      <w:sz w:val="21"/>
      <w:szCs w:val="24"/>
    </w:rPr>
  </w:style>
  <w:style w:type="character" w:customStyle="1" w:styleId="fontstyle01">
    <w:name w:val="fontstyle01"/>
    <w:autoRedefine/>
    <w:qFormat/>
    <w:rPr>
      <w:rFonts w:ascii="宋体" w:eastAsia="宋体" w:hAnsi="宋体" w:cs="宋体" w:hint="eastAsia"/>
      <w:color w:val="000000"/>
      <w:sz w:val="26"/>
      <w:szCs w:val="26"/>
    </w:rPr>
  </w:style>
  <w:style w:type="character" w:customStyle="1" w:styleId="wd-highlight3dwty">
    <w:name w:val="wd-highlight_3dwty"/>
    <w:basedOn w:val="a1"/>
    <w:autoRedefine/>
    <w:qFormat/>
  </w:style>
  <w:style w:type="paragraph" w:customStyle="1" w:styleId="3">
    <w:name w:val="修订3"/>
    <w:autoRedefine/>
    <w:hidden/>
    <w:uiPriority w:val="99"/>
    <w:semiHidden/>
    <w:qFormat/>
    <w:rPr>
      <w:kern w:val="2"/>
      <w:sz w:val="21"/>
      <w:szCs w:val="24"/>
    </w:rPr>
  </w:style>
  <w:style w:type="paragraph" w:customStyle="1" w:styleId="40">
    <w:name w:val="修订4"/>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hsfund.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hsfund.com"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sfund.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hsfund.com"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0CA96-FFF7-4799-862E-BBEF50B7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1601</Words>
  <Characters>9128</Characters>
  <Application>Microsoft Office Word</Application>
  <DocSecurity>0</DocSecurity>
  <Lines>76</Lines>
  <Paragraphs>21</Paragraphs>
  <ScaleCrop>false</ScaleCrop>
  <Company>www.ftpdown.com</Company>
  <LinksUpToDate>false</LinksUpToDate>
  <CharactersWithSpaces>10708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华商动态阿尔法灵活配置混合型</dc:title>
  <dc:creator>xiaoq</dc:creator>
  <cp:lastModifiedBy>杨清鹏</cp:lastModifiedBy>
  <cp:revision>3</cp:revision>
  <cp:lastPrinted>2026-07-30T04:31:00Z</cp:lastPrinted>
  <dcterms:created xsi:type="dcterms:W3CDTF">2026-09-08T08:20:00Z</dcterms:created>
  <dcterms:modified xsi:type="dcterms:W3CDTF">2026-09-10T02:34:00Z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44F2172791E142B3BDD9A1C43F7A4F31_13</vt:lpwstr>
  </property>
  <property fmtid="{D5CDD505-2E9C-101B-9397-08002B2CF9AE}" pid="4" name="KSOTemplateDocerSaveRecord">
    <vt:lpwstr>eyJoZGlkIjoiNGYyNzE0OTMxZGZkZmYzNGI5YTNhMjEzMWVhNjYwMzUiLCJ1c2VySWQiOiIyNDMxOTI2MjIifQ==</vt:lpwstr>
  </property>
</Properties>
</file>