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3A3" w:rsidRDefault="00B46F62" w:rsidP="00F403A3">
      <w:pPr>
        <w:widowControl/>
        <w:jc w:val="center"/>
        <w:outlineLvl w:val="0"/>
        <w:rPr>
          <w:rFonts w:ascii="Arial" w:hAnsi="宋体" w:cs="Arial"/>
          <w:b/>
          <w:bCs/>
          <w:kern w:val="36"/>
          <w:sz w:val="32"/>
          <w:szCs w:val="32"/>
        </w:rPr>
      </w:pPr>
      <w:bookmarkStart w:id="0" w:name="OLE_LINK1"/>
      <w:bookmarkStart w:id="1" w:name="OLE_LINK2"/>
      <w:bookmarkStart w:id="2" w:name="OLE_LINK3"/>
      <w:bookmarkStart w:id="3" w:name="_GoBack"/>
      <w:bookmarkEnd w:id="3"/>
      <w:r>
        <w:rPr>
          <w:rFonts w:ascii="Arial" w:hAnsi="宋体" w:cs="Arial" w:hint="eastAsia"/>
          <w:b/>
          <w:bCs/>
          <w:kern w:val="36"/>
          <w:sz w:val="32"/>
          <w:szCs w:val="32"/>
        </w:rPr>
        <w:t>华商基金管理有限公司关于</w:t>
      </w:r>
      <w:r w:rsidR="00972ABB">
        <w:rPr>
          <w:rFonts w:ascii="Arial" w:hAnsi="宋体" w:cs="Arial" w:hint="eastAsia"/>
          <w:b/>
          <w:bCs/>
          <w:kern w:val="36"/>
          <w:sz w:val="32"/>
          <w:szCs w:val="32"/>
        </w:rPr>
        <w:t>华商致远回报混合型证券投资基金</w:t>
      </w:r>
      <w:r>
        <w:rPr>
          <w:rFonts w:ascii="Arial" w:hAnsi="宋体" w:cs="Arial"/>
          <w:b/>
          <w:bCs/>
          <w:kern w:val="36"/>
          <w:sz w:val="32"/>
          <w:szCs w:val="32"/>
        </w:rPr>
        <w:t>2025</w:t>
      </w:r>
      <w:r>
        <w:rPr>
          <w:rFonts w:ascii="Arial" w:hAnsi="宋体" w:cs="Arial"/>
          <w:b/>
          <w:bCs/>
          <w:kern w:val="36"/>
          <w:sz w:val="32"/>
          <w:szCs w:val="32"/>
        </w:rPr>
        <w:t>年</w:t>
      </w:r>
      <w:r>
        <w:rPr>
          <w:rFonts w:ascii="Arial" w:hAnsi="宋体" w:cs="Arial" w:hint="eastAsia"/>
          <w:b/>
          <w:bCs/>
          <w:kern w:val="36"/>
          <w:sz w:val="32"/>
          <w:szCs w:val="32"/>
        </w:rPr>
        <w:t>非港股通交易日暂停申购赎回等交易类业务的公告</w:t>
      </w:r>
      <w:bookmarkEnd w:id="0"/>
      <w:bookmarkEnd w:id="1"/>
      <w:bookmarkEnd w:id="2"/>
    </w:p>
    <w:p w:rsidR="00E85BDE" w:rsidRDefault="00E85BDE">
      <w:pPr>
        <w:widowControl/>
        <w:jc w:val="center"/>
        <w:outlineLvl w:val="0"/>
        <w:rPr>
          <w:rFonts w:ascii="Arial" w:hAnsi="Arial" w:cs="Arial"/>
          <w:kern w:val="0"/>
          <w:sz w:val="24"/>
          <w:szCs w:val="24"/>
          <w:highlight w:val="lightGray"/>
        </w:rPr>
      </w:pPr>
    </w:p>
    <w:p w:rsidR="00E85BDE" w:rsidRDefault="00B46F62">
      <w:pPr>
        <w:widowControl/>
        <w:spacing w:line="360" w:lineRule="auto"/>
        <w:ind w:firstLineChars="177" w:firstLine="425"/>
        <w:rPr>
          <w:rFonts w:ascii="Times New Roman" w:hAnsi="Times New Roman"/>
          <w:sz w:val="24"/>
          <w:szCs w:val="24"/>
        </w:rPr>
      </w:pPr>
      <w:r>
        <w:rPr>
          <w:rFonts w:ascii="Times New Roman" w:hAnsi="Times New Roman" w:hint="eastAsia"/>
          <w:sz w:val="24"/>
          <w:szCs w:val="24"/>
        </w:rPr>
        <w:t>为保障基金平稳运作，维护基金份额持有人利益，</w:t>
      </w:r>
      <w:r w:rsidR="004D0BD4" w:rsidRPr="004D0BD4">
        <w:rPr>
          <w:rFonts w:ascii="Times New Roman" w:hAnsi="Times New Roman" w:hint="eastAsia"/>
          <w:sz w:val="24"/>
          <w:szCs w:val="24"/>
        </w:rPr>
        <w:t>根据华商基金管理有限公司（以下简称“本公司”或“本基金管理人”）</w:t>
      </w:r>
      <w:r w:rsidR="00972ABB">
        <w:rPr>
          <w:rFonts w:ascii="Times New Roman" w:hAnsi="Times New Roman" w:hint="eastAsia"/>
          <w:sz w:val="24"/>
          <w:szCs w:val="24"/>
        </w:rPr>
        <w:t>华商致远回报混合型证券投资基金</w:t>
      </w:r>
      <w:r w:rsidR="004D0BD4" w:rsidRPr="004D0BD4">
        <w:rPr>
          <w:rFonts w:ascii="Times New Roman" w:hAnsi="Times New Roman" w:hint="eastAsia"/>
          <w:sz w:val="24"/>
          <w:szCs w:val="24"/>
        </w:rPr>
        <w:t>（以下简称“本基金”）的基金合同和招募说明书的有关规定，</w:t>
      </w:r>
      <w:r w:rsidR="004D0BD4">
        <w:rPr>
          <w:rFonts w:ascii="Times New Roman" w:hAnsi="Times New Roman" w:hint="eastAsia"/>
          <w:sz w:val="24"/>
          <w:szCs w:val="24"/>
        </w:rPr>
        <w:t>同时</w:t>
      </w:r>
      <w:r>
        <w:rPr>
          <w:rFonts w:ascii="Times New Roman" w:hAnsi="Times New Roman" w:hint="eastAsia"/>
          <w:sz w:val="24"/>
          <w:szCs w:val="24"/>
        </w:rPr>
        <w:t>根据深圳证券交易所《关于</w:t>
      </w:r>
      <w:r>
        <w:rPr>
          <w:rFonts w:ascii="Times New Roman" w:hAnsi="Times New Roman" w:hint="eastAsia"/>
          <w:sz w:val="24"/>
          <w:szCs w:val="24"/>
        </w:rPr>
        <w:t>2024</w:t>
      </w:r>
      <w:r>
        <w:rPr>
          <w:rFonts w:ascii="Times New Roman" w:hAnsi="Times New Roman" w:hint="eastAsia"/>
          <w:sz w:val="24"/>
          <w:szCs w:val="24"/>
        </w:rPr>
        <w:t>年底及</w:t>
      </w:r>
      <w:r>
        <w:rPr>
          <w:rFonts w:ascii="Times New Roman" w:hAnsi="Times New Roman" w:hint="eastAsia"/>
          <w:sz w:val="24"/>
          <w:szCs w:val="24"/>
        </w:rPr>
        <w:t>2025</w:t>
      </w:r>
      <w:r>
        <w:rPr>
          <w:rFonts w:ascii="Times New Roman" w:hAnsi="Times New Roman" w:hint="eastAsia"/>
          <w:sz w:val="24"/>
          <w:szCs w:val="24"/>
        </w:rPr>
        <w:t>年深港通下的港股通交易日有关安排的通知》和上海证券交易所《关于</w:t>
      </w:r>
      <w:r>
        <w:rPr>
          <w:rFonts w:ascii="Times New Roman" w:hAnsi="Times New Roman" w:hint="eastAsia"/>
          <w:sz w:val="24"/>
          <w:szCs w:val="24"/>
        </w:rPr>
        <w:t>2024</w:t>
      </w:r>
      <w:r>
        <w:rPr>
          <w:rFonts w:ascii="Times New Roman" w:hAnsi="Times New Roman" w:hint="eastAsia"/>
          <w:sz w:val="24"/>
          <w:szCs w:val="24"/>
        </w:rPr>
        <w:t>年岁末及</w:t>
      </w:r>
      <w:r>
        <w:rPr>
          <w:rFonts w:ascii="Times New Roman" w:hAnsi="Times New Roman" w:hint="eastAsia"/>
          <w:sz w:val="24"/>
          <w:szCs w:val="24"/>
        </w:rPr>
        <w:t>2025</w:t>
      </w:r>
      <w:r>
        <w:rPr>
          <w:rFonts w:ascii="Times New Roman" w:hAnsi="Times New Roman" w:hint="eastAsia"/>
          <w:sz w:val="24"/>
          <w:szCs w:val="24"/>
        </w:rPr>
        <w:t>年沪港通下港股通交易日安排的通知》和《华商基金管理有限公司关于旗下部分基金</w:t>
      </w:r>
      <w:r>
        <w:rPr>
          <w:rFonts w:ascii="Times New Roman" w:hAnsi="Times New Roman" w:hint="eastAsia"/>
          <w:sz w:val="24"/>
          <w:szCs w:val="24"/>
        </w:rPr>
        <w:t>2024</w:t>
      </w:r>
      <w:r>
        <w:rPr>
          <w:rFonts w:ascii="Times New Roman" w:hAnsi="Times New Roman" w:hint="eastAsia"/>
          <w:sz w:val="24"/>
          <w:szCs w:val="24"/>
        </w:rPr>
        <w:t>年底及</w:t>
      </w:r>
      <w:r>
        <w:rPr>
          <w:rFonts w:ascii="Times New Roman" w:hAnsi="Times New Roman" w:hint="eastAsia"/>
          <w:sz w:val="24"/>
          <w:szCs w:val="24"/>
        </w:rPr>
        <w:t>2025</w:t>
      </w:r>
      <w:r>
        <w:rPr>
          <w:rFonts w:ascii="Times New Roman" w:hAnsi="Times New Roman" w:hint="eastAsia"/>
          <w:sz w:val="24"/>
          <w:szCs w:val="24"/>
        </w:rPr>
        <w:t>年非港股通交易日暂停申购赎回等交易类业务的公告》，本公司决定在</w:t>
      </w:r>
      <w:r>
        <w:rPr>
          <w:rFonts w:ascii="Times New Roman" w:hAnsi="Times New Roman"/>
          <w:sz w:val="24"/>
          <w:szCs w:val="24"/>
        </w:rPr>
        <w:t>2025</w:t>
      </w:r>
      <w:r>
        <w:rPr>
          <w:rFonts w:ascii="Times New Roman" w:hAnsi="Times New Roman"/>
          <w:sz w:val="24"/>
          <w:szCs w:val="24"/>
        </w:rPr>
        <w:t>年</w:t>
      </w:r>
      <w:r>
        <w:rPr>
          <w:rFonts w:ascii="Times New Roman" w:hAnsi="Times New Roman" w:hint="eastAsia"/>
          <w:sz w:val="24"/>
          <w:szCs w:val="24"/>
        </w:rPr>
        <w:t>下列非港股通交易日暂停部分基金的申购、赎回、定期定额申购、基金转换及转托管等交易类业务，并自</w:t>
      </w:r>
      <w:r>
        <w:rPr>
          <w:rFonts w:ascii="Times New Roman" w:hAnsi="Times New Roman" w:hint="eastAsia"/>
          <w:sz w:val="24"/>
          <w:szCs w:val="24"/>
        </w:rPr>
        <w:t>2025</w:t>
      </w:r>
      <w:r>
        <w:rPr>
          <w:rFonts w:ascii="Times New Roman" w:hAnsi="Times New Roman" w:hint="eastAsia"/>
          <w:sz w:val="24"/>
          <w:szCs w:val="24"/>
        </w:rPr>
        <w:t>年下列非港股通交易日的下一开放日恢复本基金的上述业务，届时不再另行公告。</w:t>
      </w:r>
    </w:p>
    <w:p w:rsidR="00E85BDE" w:rsidRDefault="00E85BDE">
      <w:pPr>
        <w:widowControl/>
        <w:spacing w:line="360" w:lineRule="auto"/>
        <w:ind w:firstLineChars="177" w:firstLine="425"/>
        <w:rPr>
          <w:rFonts w:ascii="Times New Roman" w:hAnsi="Times New Roman"/>
          <w:sz w:val="24"/>
          <w:szCs w:val="24"/>
        </w:rPr>
      </w:pPr>
    </w:p>
    <w:p w:rsidR="00E85BDE" w:rsidRDefault="00B46F62">
      <w:pPr>
        <w:pStyle w:val="aa"/>
        <w:numPr>
          <w:ilvl w:val="0"/>
          <w:numId w:val="1"/>
        </w:numPr>
        <w:adjustRightInd w:val="0"/>
        <w:snapToGrid w:val="0"/>
        <w:spacing w:line="360" w:lineRule="auto"/>
        <w:ind w:firstLineChars="0"/>
        <w:jc w:val="left"/>
        <w:rPr>
          <w:rFonts w:ascii="Times New Roman" w:eastAsia="宋体" w:hAnsi="Times New Roman" w:cs="Times New Roman"/>
          <w:b/>
          <w:sz w:val="24"/>
          <w:szCs w:val="24"/>
        </w:rPr>
      </w:pPr>
      <w:r>
        <w:rPr>
          <w:rFonts w:ascii="Times New Roman" w:eastAsia="宋体" w:hAnsi="Times New Roman" w:cs="Times New Roman" w:hint="eastAsia"/>
          <w:b/>
          <w:sz w:val="24"/>
          <w:szCs w:val="24"/>
        </w:rPr>
        <w:t>适用基金范围</w:t>
      </w:r>
    </w:p>
    <w:tbl>
      <w:tblPr>
        <w:tblW w:w="85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1842"/>
        <w:gridCol w:w="5670"/>
      </w:tblGrid>
      <w:tr w:rsidR="00E85BDE">
        <w:trPr>
          <w:trHeight w:val="401"/>
        </w:trPr>
        <w:tc>
          <w:tcPr>
            <w:tcW w:w="1008" w:type="dxa"/>
            <w:shd w:val="clear" w:color="auto" w:fill="auto"/>
            <w:noWrap/>
            <w:vAlign w:val="center"/>
          </w:tcPr>
          <w:p w:rsidR="00E85BDE" w:rsidRDefault="00B46F62">
            <w:pPr>
              <w:widowControl/>
              <w:jc w:val="center"/>
              <w:rPr>
                <w:rFonts w:ascii="宋体" w:hAnsi="宋体" w:cs="宋体"/>
                <w:b/>
                <w:color w:val="000000"/>
                <w:kern w:val="0"/>
                <w:sz w:val="24"/>
                <w:szCs w:val="24"/>
              </w:rPr>
            </w:pPr>
            <w:r>
              <w:rPr>
                <w:rFonts w:ascii="宋体" w:hAnsi="宋体" w:cs="宋体" w:hint="eastAsia"/>
                <w:b/>
                <w:color w:val="000000"/>
                <w:kern w:val="0"/>
                <w:sz w:val="24"/>
                <w:szCs w:val="24"/>
              </w:rPr>
              <w:t>序号</w:t>
            </w:r>
          </w:p>
        </w:tc>
        <w:tc>
          <w:tcPr>
            <w:tcW w:w="1842" w:type="dxa"/>
            <w:shd w:val="clear" w:color="auto" w:fill="auto"/>
            <w:noWrap/>
            <w:vAlign w:val="center"/>
          </w:tcPr>
          <w:p w:rsidR="00E85BDE" w:rsidRDefault="00B46F62">
            <w:pPr>
              <w:widowControl/>
              <w:jc w:val="center"/>
              <w:rPr>
                <w:rFonts w:ascii="宋体" w:hAnsi="宋体" w:cs="宋体"/>
                <w:b/>
                <w:color w:val="000000"/>
                <w:kern w:val="0"/>
                <w:sz w:val="24"/>
                <w:szCs w:val="24"/>
              </w:rPr>
            </w:pPr>
            <w:r>
              <w:rPr>
                <w:rFonts w:ascii="宋体" w:hAnsi="宋体" w:cs="宋体" w:hint="eastAsia"/>
                <w:b/>
                <w:color w:val="000000"/>
                <w:kern w:val="0"/>
                <w:sz w:val="24"/>
                <w:szCs w:val="24"/>
              </w:rPr>
              <w:t>基金代码</w:t>
            </w:r>
          </w:p>
        </w:tc>
        <w:tc>
          <w:tcPr>
            <w:tcW w:w="5670" w:type="dxa"/>
            <w:shd w:val="clear" w:color="auto" w:fill="auto"/>
            <w:noWrap/>
            <w:vAlign w:val="center"/>
          </w:tcPr>
          <w:p w:rsidR="00E85BDE" w:rsidRDefault="00B46F62">
            <w:pPr>
              <w:widowControl/>
              <w:jc w:val="center"/>
              <w:rPr>
                <w:rFonts w:ascii="宋体" w:hAnsi="宋体" w:cs="宋体"/>
                <w:b/>
                <w:color w:val="000000"/>
                <w:kern w:val="0"/>
                <w:sz w:val="24"/>
                <w:szCs w:val="24"/>
              </w:rPr>
            </w:pPr>
            <w:r>
              <w:rPr>
                <w:rFonts w:ascii="宋体" w:hAnsi="宋体" w:cs="宋体" w:hint="eastAsia"/>
                <w:b/>
                <w:color w:val="000000"/>
                <w:kern w:val="0"/>
                <w:sz w:val="24"/>
                <w:szCs w:val="24"/>
              </w:rPr>
              <w:t>基金名称</w:t>
            </w:r>
          </w:p>
        </w:tc>
      </w:tr>
      <w:tr w:rsidR="00E85BDE">
        <w:trPr>
          <w:trHeight w:val="546"/>
        </w:trPr>
        <w:tc>
          <w:tcPr>
            <w:tcW w:w="1008" w:type="dxa"/>
            <w:shd w:val="clear" w:color="auto" w:fill="auto"/>
            <w:noWrap/>
            <w:vAlign w:val="center"/>
          </w:tcPr>
          <w:p w:rsidR="00E85BDE" w:rsidRPr="00E739B7" w:rsidRDefault="00A605BF" w:rsidP="00E739B7">
            <w:pPr>
              <w:widowControl/>
              <w:jc w:val="center"/>
              <w:rPr>
                <w:rFonts w:ascii="宋体" w:hAnsi="宋体" w:cs="宋体"/>
                <w:color w:val="000000"/>
                <w:kern w:val="0"/>
                <w:szCs w:val="21"/>
              </w:rPr>
            </w:pPr>
            <w:r>
              <w:rPr>
                <w:rFonts w:ascii="宋体" w:hAnsi="宋体" w:cs="宋体" w:hint="eastAsia"/>
                <w:color w:val="000000"/>
                <w:kern w:val="0"/>
                <w:szCs w:val="21"/>
              </w:rPr>
              <w:t>1</w:t>
            </w:r>
            <w:r>
              <w:rPr>
                <w:rFonts w:ascii="宋体" w:hAnsi="宋体" w:cs="宋体"/>
                <w:color w:val="000000"/>
                <w:kern w:val="0"/>
                <w:szCs w:val="21"/>
              </w:rPr>
              <w:t>.</w:t>
            </w:r>
          </w:p>
        </w:tc>
        <w:tc>
          <w:tcPr>
            <w:tcW w:w="1842" w:type="dxa"/>
            <w:shd w:val="clear" w:color="auto" w:fill="auto"/>
            <w:noWrap/>
            <w:vAlign w:val="center"/>
          </w:tcPr>
          <w:p w:rsidR="00E85BDE" w:rsidRPr="000C7872" w:rsidRDefault="00972ABB" w:rsidP="000C7872">
            <w:pPr>
              <w:widowControl/>
              <w:jc w:val="center"/>
              <w:rPr>
                <w:rFonts w:ascii="宋体" w:hAnsi="宋体" w:cs="宋体"/>
                <w:color w:val="000000"/>
                <w:kern w:val="0"/>
                <w:sz w:val="22"/>
              </w:rPr>
            </w:pPr>
            <w:r w:rsidRPr="000C7872">
              <w:rPr>
                <w:rFonts w:ascii="宋体" w:hAnsi="宋体" w:cs="宋体"/>
                <w:color w:val="000000"/>
                <w:kern w:val="0"/>
                <w:sz w:val="22"/>
              </w:rPr>
              <w:t>024459</w:t>
            </w:r>
          </w:p>
        </w:tc>
        <w:tc>
          <w:tcPr>
            <w:tcW w:w="5670" w:type="dxa"/>
            <w:shd w:val="clear" w:color="auto" w:fill="auto"/>
            <w:noWrap/>
            <w:vAlign w:val="center"/>
          </w:tcPr>
          <w:p w:rsidR="00E85BDE" w:rsidRDefault="00972ABB">
            <w:pPr>
              <w:widowControl/>
              <w:jc w:val="center"/>
              <w:rPr>
                <w:rFonts w:ascii="宋体" w:hAnsi="宋体" w:cs="宋体"/>
                <w:color w:val="000000"/>
                <w:kern w:val="0"/>
                <w:sz w:val="22"/>
              </w:rPr>
            </w:pPr>
            <w:r>
              <w:rPr>
                <w:rFonts w:ascii="宋体" w:hAnsi="宋体" w:cs="宋体" w:hint="eastAsia"/>
                <w:color w:val="000000"/>
                <w:kern w:val="0"/>
                <w:sz w:val="22"/>
              </w:rPr>
              <w:t>华商致远回报混合型证券投资基金</w:t>
            </w:r>
            <w:r w:rsidR="00B46F62">
              <w:rPr>
                <w:rFonts w:ascii="宋体" w:hAnsi="宋体" w:cs="宋体" w:hint="eastAsia"/>
                <w:color w:val="000000"/>
                <w:kern w:val="0"/>
                <w:sz w:val="22"/>
              </w:rPr>
              <w:t>A</w:t>
            </w:r>
          </w:p>
        </w:tc>
      </w:tr>
      <w:tr w:rsidR="00E85BDE">
        <w:trPr>
          <w:trHeight w:val="546"/>
        </w:trPr>
        <w:tc>
          <w:tcPr>
            <w:tcW w:w="1008" w:type="dxa"/>
            <w:shd w:val="clear" w:color="auto" w:fill="auto"/>
            <w:noWrap/>
            <w:vAlign w:val="center"/>
          </w:tcPr>
          <w:p w:rsidR="00E85BDE" w:rsidRPr="00E739B7" w:rsidRDefault="00A605BF" w:rsidP="00E739B7">
            <w:pPr>
              <w:widowControl/>
              <w:jc w:val="center"/>
              <w:rPr>
                <w:rFonts w:ascii="宋体" w:hAnsi="宋体" w:cs="宋体"/>
                <w:color w:val="000000"/>
                <w:kern w:val="0"/>
                <w:szCs w:val="21"/>
              </w:rPr>
            </w:pPr>
            <w:r>
              <w:rPr>
                <w:rFonts w:ascii="宋体" w:hAnsi="宋体" w:cs="宋体" w:hint="eastAsia"/>
                <w:color w:val="000000"/>
                <w:kern w:val="0"/>
                <w:szCs w:val="21"/>
              </w:rPr>
              <w:t>2</w:t>
            </w:r>
            <w:r>
              <w:rPr>
                <w:rFonts w:ascii="宋体" w:hAnsi="宋体" w:cs="宋体"/>
                <w:color w:val="000000"/>
                <w:kern w:val="0"/>
                <w:szCs w:val="21"/>
              </w:rPr>
              <w:t>.</w:t>
            </w:r>
          </w:p>
        </w:tc>
        <w:tc>
          <w:tcPr>
            <w:tcW w:w="1842" w:type="dxa"/>
            <w:shd w:val="clear" w:color="auto" w:fill="auto"/>
            <w:noWrap/>
            <w:vAlign w:val="center"/>
          </w:tcPr>
          <w:p w:rsidR="00E85BDE" w:rsidRPr="000C7872" w:rsidRDefault="00972ABB" w:rsidP="000C7872">
            <w:pPr>
              <w:widowControl/>
              <w:jc w:val="center"/>
              <w:rPr>
                <w:rFonts w:ascii="宋体" w:hAnsi="宋体" w:cs="宋体"/>
                <w:color w:val="000000"/>
                <w:kern w:val="0"/>
                <w:sz w:val="22"/>
              </w:rPr>
            </w:pPr>
            <w:r w:rsidRPr="000C7872">
              <w:rPr>
                <w:rFonts w:ascii="宋体" w:hAnsi="宋体" w:cs="宋体"/>
                <w:color w:val="000000"/>
                <w:kern w:val="0"/>
                <w:sz w:val="22"/>
              </w:rPr>
              <w:t>024460</w:t>
            </w:r>
          </w:p>
        </w:tc>
        <w:tc>
          <w:tcPr>
            <w:tcW w:w="5670" w:type="dxa"/>
            <w:shd w:val="clear" w:color="auto" w:fill="auto"/>
            <w:noWrap/>
            <w:vAlign w:val="center"/>
          </w:tcPr>
          <w:p w:rsidR="00E85BDE" w:rsidRDefault="00972ABB">
            <w:pPr>
              <w:widowControl/>
              <w:jc w:val="center"/>
              <w:rPr>
                <w:rFonts w:ascii="宋体" w:hAnsi="宋体" w:cs="宋体"/>
                <w:color w:val="000000"/>
                <w:kern w:val="0"/>
                <w:sz w:val="22"/>
              </w:rPr>
            </w:pPr>
            <w:r>
              <w:rPr>
                <w:rFonts w:ascii="宋体" w:hAnsi="宋体" w:cs="宋体" w:hint="eastAsia"/>
                <w:color w:val="000000"/>
                <w:kern w:val="0"/>
                <w:sz w:val="22"/>
              </w:rPr>
              <w:t>华商致远回报混合型证券投资基金</w:t>
            </w:r>
            <w:r w:rsidR="00B46F62">
              <w:rPr>
                <w:rFonts w:ascii="宋体" w:hAnsi="宋体" w:cs="宋体" w:hint="eastAsia"/>
                <w:color w:val="000000"/>
                <w:kern w:val="0"/>
                <w:sz w:val="22"/>
              </w:rPr>
              <w:t>C</w:t>
            </w:r>
          </w:p>
        </w:tc>
      </w:tr>
    </w:tbl>
    <w:p w:rsidR="00E85BDE" w:rsidRDefault="00E85BDE">
      <w:pPr>
        <w:adjustRightInd w:val="0"/>
        <w:snapToGrid w:val="0"/>
        <w:spacing w:line="360" w:lineRule="auto"/>
        <w:ind w:firstLineChars="200" w:firstLine="480"/>
        <w:jc w:val="left"/>
        <w:rPr>
          <w:rFonts w:ascii="Times New Roman" w:hAnsi="Times New Roman"/>
          <w:sz w:val="24"/>
          <w:szCs w:val="24"/>
        </w:rPr>
      </w:pPr>
    </w:p>
    <w:p w:rsidR="00E85BDE" w:rsidRDefault="00B46F62">
      <w:pPr>
        <w:pStyle w:val="aa"/>
        <w:numPr>
          <w:ilvl w:val="0"/>
          <w:numId w:val="1"/>
        </w:numPr>
        <w:adjustRightInd w:val="0"/>
        <w:snapToGrid w:val="0"/>
        <w:spacing w:line="360" w:lineRule="auto"/>
        <w:ind w:firstLineChars="0"/>
        <w:jc w:val="left"/>
        <w:rPr>
          <w:rFonts w:ascii="Times New Roman" w:hAnsi="Times New Roman"/>
          <w:b/>
          <w:sz w:val="24"/>
          <w:szCs w:val="24"/>
        </w:rPr>
      </w:pPr>
      <w:r>
        <w:rPr>
          <w:rFonts w:ascii="Times New Roman" w:hAnsi="Times New Roman" w:hint="eastAsia"/>
          <w:b/>
          <w:sz w:val="24"/>
          <w:szCs w:val="24"/>
        </w:rPr>
        <w:t>适用时间范围</w:t>
      </w:r>
    </w:p>
    <w:tbl>
      <w:tblPr>
        <w:tblW w:w="837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0"/>
        <w:gridCol w:w="5529"/>
      </w:tblGrid>
      <w:tr w:rsidR="00E85BDE">
        <w:trPr>
          <w:trHeight w:val="547"/>
        </w:trPr>
        <w:tc>
          <w:tcPr>
            <w:tcW w:w="2850" w:type="dxa"/>
            <w:shd w:val="clear" w:color="auto" w:fill="auto"/>
            <w:noWrap/>
            <w:vAlign w:val="center"/>
          </w:tcPr>
          <w:p w:rsidR="00E85BDE" w:rsidRDefault="00B46F62">
            <w:pPr>
              <w:widowControl/>
              <w:jc w:val="center"/>
              <w:rPr>
                <w:rFonts w:asciiTheme="minorEastAsia" w:hAnsiTheme="minorEastAsia" w:cs="宋体"/>
                <w:b/>
                <w:color w:val="000000"/>
                <w:kern w:val="0"/>
                <w:sz w:val="24"/>
                <w:szCs w:val="24"/>
              </w:rPr>
            </w:pPr>
            <w:r>
              <w:rPr>
                <w:rFonts w:asciiTheme="minorEastAsia" w:hAnsiTheme="minorEastAsia" w:cs="宋体" w:hint="eastAsia"/>
                <w:b/>
                <w:color w:val="000000"/>
                <w:kern w:val="0"/>
                <w:sz w:val="24"/>
                <w:szCs w:val="24"/>
              </w:rPr>
              <w:t>节日名称</w:t>
            </w:r>
          </w:p>
        </w:tc>
        <w:tc>
          <w:tcPr>
            <w:tcW w:w="5529" w:type="dxa"/>
            <w:shd w:val="clear" w:color="auto" w:fill="auto"/>
            <w:noWrap/>
            <w:vAlign w:val="center"/>
          </w:tcPr>
          <w:p w:rsidR="00E85BDE" w:rsidRDefault="00B46F62">
            <w:pPr>
              <w:widowControl/>
              <w:ind w:firstLineChars="550" w:firstLine="1325"/>
              <w:rPr>
                <w:rFonts w:asciiTheme="minorEastAsia" w:hAnsiTheme="minorEastAsia" w:cs="宋体"/>
                <w:b/>
                <w:color w:val="000000"/>
                <w:kern w:val="0"/>
                <w:sz w:val="24"/>
                <w:szCs w:val="24"/>
              </w:rPr>
            </w:pPr>
            <w:r>
              <w:rPr>
                <w:rFonts w:asciiTheme="minorEastAsia" w:hAnsiTheme="minorEastAsia" w:cs="宋体" w:hint="eastAsia"/>
                <w:b/>
                <w:color w:val="000000"/>
                <w:kern w:val="0"/>
                <w:sz w:val="24"/>
                <w:szCs w:val="24"/>
              </w:rPr>
              <w:t>2025年非港股通交易日</w:t>
            </w:r>
          </w:p>
        </w:tc>
      </w:tr>
      <w:tr w:rsidR="00E85BDE">
        <w:trPr>
          <w:trHeight w:val="425"/>
        </w:trPr>
        <w:tc>
          <w:tcPr>
            <w:tcW w:w="2850" w:type="dxa"/>
            <w:shd w:val="clear" w:color="auto" w:fill="auto"/>
            <w:noWrap/>
            <w:vAlign w:val="center"/>
          </w:tcPr>
          <w:p w:rsidR="00E85BDE" w:rsidRDefault="00B46F62">
            <w:pPr>
              <w:widowControl/>
              <w:jc w:val="center"/>
              <w:rPr>
                <w:rFonts w:ascii="宋体" w:hAnsi="宋体" w:cs="宋体"/>
                <w:color w:val="000000"/>
                <w:kern w:val="0"/>
                <w:sz w:val="22"/>
              </w:rPr>
            </w:pPr>
            <w:r>
              <w:rPr>
                <w:rFonts w:ascii="宋体" w:hAnsi="宋体" w:cs="宋体" w:hint="eastAsia"/>
                <w:color w:val="000000"/>
                <w:kern w:val="0"/>
                <w:sz w:val="22"/>
              </w:rPr>
              <w:t>香港重阳节</w:t>
            </w:r>
          </w:p>
        </w:tc>
        <w:tc>
          <w:tcPr>
            <w:tcW w:w="5529" w:type="dxa"/>
            <w:shd w:val="clear" w:color="auto" w:fill="auto"/>
            <w:noWrap/>
            <w:vAlign w:val="center"/>
          </w:tcPr>
          <w:p w:rsidR="00E85BDE" w:rsidRDefault="00B46F62">
            <w:pPr>
              <w:widowControl/>
              <w:jc w:val="center"/>
              <w:rPr>
                <w:rFonts w:ascii="宋体" w:hAnsi="宋体" w:cs="宋体"/>
                <w:color w:val="000000"/>
                <w:kern w:val="0"/>
                <w:sz w:val="22"/>
              </w:rPr>
            </w:pPr>
            <w:r>
              <w:rPr>
                <w:rFonts w:ascii="宋体" w:hAnsi="宋体" w:cs="宋体" w:hint="eastAsia"/>
                <w:color w:val="000000"/>
                <w:kern w:val="0"/>
                <w:sz w:val="22"/>
              </w:rPr>
              <w:t>10月29日（星期三）</w:t>
            </w:r>
          </w:p>
        </w:tc>
      </w:tr>
      <w:tr w:rsidR="00E85BDE">
        <w:trPr>
          <w:trHeight w:val="558"/>
        </w:trPr>
        <w:tc>
          <w:tcPr>
            <w:tcW w:w="2850" w:type="dxa"/>
            <w:shd w:val="clear" w:color="auto" w:fill="auto"/>
            <w:noWrap/>
            <w:vAlign w:val="center"/>
          </w:tcPr>
          <w:p w:rsidR="00E85BDE" w:rsidRDefault="00B46F62">
            <w:pPr>
              <w:widowControl/>
              <w:jc w:val="center"/>
              <w:rPr>
                <w:rFonts w:ascii="宋体" w:hAnsi="宋体" w:cs="宋体"/>
                <w:color w:val="000000"/>
                <w:kern w:val="0"/>
                <w:sz w:val="22"/>
              </w:rPr>
            </w:pPr>
            <w:r>
              <w:rPr>
                <w:rFonts w:ascii="宋体" w:hAnsi="宋体" w:cs="宋体" w:hint="eastAsia"/>
                <w:color w:val="000000"/>
                <w:kern w:val="0"/>
                <w:sz w:val="22"/>
              </w:rPr>
              <w:t>香港圣诞节</w:t>
            </w:r>
          </w:p>
        </w:tc>
        <w:tc>
          <w:tcPr>
            <w:tcW w:w="5529" w:type="dxa"/>
            <w:shd w:val="clear" w:color="auto" w:fill="auto"/>
            <w:noWrap/>
            <w:vAlign w:val="center"/>
          </w:tcPr>
          <w:p w:rsidR="00E85BDE" w:rsidRDefault="00B46F62">
            <w:pPr>
              <w:widowControl/>
              <w:jc w:val="center"/>
              <w:rPr>
                <w:rFonts w:ascii="宋体" w:hAnsi="宋体" w:cs="宋体"/>
                <w:color w:val="000000"/>
                <w:kern w:val="0"/>
                <w:sz w:val="22"/>
              </w:rPr>
            </w:pPr>
            <w:r>
              <w:rPr>
                <w:rFonts w:ascii="宋体" w:hAnsi="宋体" w:cs="宋体" w:hint="eastAsia"/>
                <w:color w:val="000000"/>
                <w:kern w:val="0"/>
                <w:sz w:val="22"/>
              </w:rPr>
              <w:t>12月24日（星期三）下午至12月26日（星期五）</w:t>
            </w:r>
          </w:p>
        </w:tc>
      </w:tr>
      <w:tr w:rsidR="00E85BDE">
        <w:trPr>
          <w:trHeight w:val="558"/>
        </w:trPr>
        <w:tc>
          <w:tcPr>
            <w:tcW w:w="2850" w:type="dxa"/>
            <w:shd w:val="clear" w:color="auto" w:fill="auto"/>
            <w:noWrap/>
            <w:vAlign w:val="center"/>
          </w:tcPr>
          <w:p w:rsidR="00E85BDE" w:rsidRDefault="00B46F62">
            <w:pPr>
              <w:widowControl/>
              <w:jc w:val="center"/>
              <w:rPr>
                <w:rFonts w:ascii="宋体" w:hAnsi="宋体" w:cs="宋体"/>
                <w:color w:val="000000"/>
                <w:kern w:val="0"/>
                <w:sz w:val="22"/>
              </w:rPr>
            </w:pPr>
            <w:r>
              <w:rPr>
                <w:rFonts w:ascii="宋体" w:hAnsi="宋体" w:cs="宋体" w:hint="eastAsia"/>
                <w:color w:val="000000"/>
                <w:kern w:val="0"/>
                <w:sz w:val="22"/>
              </w:rPr>
              <w:t>香港新年前夕</w:t>
            </w:r>
          </w:p>
        </w:tc>
        <w:tc>
          <w:tcPr>
            <w:tcW w:w="5529" w:type="dxa"/>
            <w:shd w:val="clear" w:color="auto" w:fill="auto"/>
            <w:noWrap/>
            <w:vAlign w:val="center"/>
          </w:tcPr>
          <w:p w:rsidR="00E85BDE" w:rsidRDefault="00B46F62">
            <w:pPr>
              <w:widowControl/>
              <w:jc w:val="center"/>
              <w:rPr>
                <w:rFonts w:ascii="宋体" w:hAnsi="宋体" w:cs="宋体"/>
                <w:color w:val="000000"/>
                <w:kern w:val="0"/>
                <w:sz w:val="22"/>
              </w:rPr>
            </w:pPr>
            <w:r>
              <w:rPr>
                <w:rFonts w:ascii="宋体" w:hAnsi="宋体" w:cs="宋体" w:hint="eastAsia"/>
                <w:color w:val="000000"/>
                <w:kern w:val="0"/>
                <w:sz w:val="22"/>
              </w:rPr>
              <w:t>12月31日（星期三）下午</w:t>
            </w:r>
          </w:p>
        </w:tc>
      </w:tr>
    </w:tbl>
    <w:p w:rsidR="00E85BDE" w:rsidRDefault="00B46F62">
      <w:pPr>
        <w:spacing w:line="360" w:lineRule="auto"/>
        <w:ind w:firstLineChars="200" w:firstLine="480"/>
        <w:rPr>
          <w:rFonts w:ascii="Times New Roman" w:hAnsi="Times New Roman"/>
          <w:sz w:val="24"/>
          <w:szCs w:val="24"/>
        </w:rPr>
      </w:pPr>
      <w:r>
        <w:rPr>
          <w:rFonts w:ascii="Times New Roman" w:hAnsi="Times New Roman"/>
          <w:sz w:val="24"/>
          <w:szCs w:val="24"/>
        </w:rPr>
        <w:t>上述</w:t>
      </w:r>
      <w:r>
        <w:rPr>
          <w:rFonts w:ascii="Times New Roman" w:hAnsi="Times New Roman" w:hint="eastAsia"/>
          <w:sz w:val="24"/>
          <w:szCs w:val="24"/>
        </w:rPr>
        <w:t>2025</w:t>
      </w:r>
      <w:r>
        <w:rPr>
          <w:rFonts w:ascii="Times New Roman" w:hAnsi="Times New Roman" w:hint="eastAsia"/>
          <w:sz w:val="24"/>
          <w:szCs w:val="24"/>
        </w:rPr>
        <w:t>年非港股通交易日或非港股通交易时间</w:t>
      </w:r>
      <w:r>
        <w:rPr>
          <w:rFonts w:ascii="Times New Roman" w:hAnsi="Times New Roman"/>
          <w:sz w:val="24"/>
          <w:szCs w:val="24"/>
        </w:rPr>
        <w:t>，将</w:t>
      </w:r>
      <w:r>
        <w:rPr>
          <w:rFonts w:ascii="Times New Roman" w:hAnsi="Times New Roman" w:hint="eastAsia"/>
          <w:sz w:val="24"/>
          <w:szCs w:val="24"/>
        </w:rPr>
        <w:t>全天</w:t>
      </w:r>
      <w:r>
        <w:rPr>
          <w:rFonts w:ascii="Times New Roman" w:hAnsi="Times New Roman"/>
          <w:sz w:val="24"/>
          <w:szCs w:val="24"/>
        </w:rPr>
        <w:t>不开放基金的申购、赎回、</w:t>
      </w:r>
      <w:r>
        <w:rPr>
          <w:rFonts w:ascii="Times New Roman" w:hAnsi="Times New Roman" w:hint="eastAsia"/>
          <w:sz w:val="24"/>
          <w:szCs w:val="24"/>
        </w:rPr>
        <w:t>定期定额申购、基金转换及转托管</w:t>
      </w:r>
      <w:r>
        <w:rPr>
          <w:rFonts w:ascii="Times New Roman" w:hAnsi="Times New Roman"/>
          <w:sz w:val="24"/>
          <w:szCs w:val="24"/>
        </w:rPr>
        <w:t>等交易类业务。</w:t>
      </w:r>
    </w:p>
    <w:p w:rsidR="00E85BDE" w:rsidRDefault="00B46F62">
      <w:pPr>
        <w:spacing w:line="360" w:lineRule="auto"/>
        <w:ind w:firstLineChars="200" w:firstLine="480"/>
        <w:rPr>
          <w:rFonts w:ascii="Times New Roman" w:hAnsi="Times New Roman"/>
          <w:sz w:val="24"/>
          <w:szCs w:val="24"/>
        </w:rPr>
      </w:pPr>
      <w:r>
        <w:rPr>
          <w:rFonts w:ascii="Times New Roman" w:hAnsi="Times New Roman"/>
          <w:sz w:val="24"/>
          <w:szCs w:val="24"/>
        </w:rPr>
        <w:t>若非港股通交易日安排发生变化</w:t>
      </w:r>
      <w:r>
        <w:rPr>
          <w:rFonts w:ascii="Times New Roman" w:hAnsi="Times New Roman" w:hint="eastAsia"/>
          <w:sz w:val="24"/>
          <w:szCs w:val="24"/>
        </w:rPr>
        <w:t>，</w:t>
      </w:r>
      <w:r>
        <w:rPr>
          <w:rFonts w:ascii="Times New Roman" w:hAnsi="Times New Roman"/>
          <w:sz w:val="24"/>
          <w:szCs w:val="24"/>
        </w:rPr>
        <w:t>本基金管理人将进行相应调整并公告。</w:t>
      </w:r>
      <w:r>
        <w:rPr>
          <w:rFonts w:ascii="Times New Roman" w:hAnsi="Times New Roman" w:hint="eastAsia"/>
          <w:sz w:val="24"/>
          <w:szCs w:val="24"/>
        </w:rPr>
        <w:t>敬</w:t>
      </w:r>
      <w:r>
        <w:rPr>
          <w:rFonts w:ascii="Times New Roman" w:hAnsi="Times New Roman" w:hint="eastAsia"/>
          <w:sz w:val="24"/>
          <w:szCs w:val="24"/>
        </w:rPr>
        <w:lastRenderedPageBreak/>
        <w:t>请投资者及早做好交易安排，避免因假期原因带来不便。如有疑问，请拨打本公司客服电话：</w:t>
      </w:r>
      <w:r>
        <w:rPr>
          <w:rFonts w:ascii="Times New Roman" w:hAnsi="Times New Roman" w:hint="eastAsia"/>
          <w:sz w:val="24"/>
          <w:szCs w:val="24"/>
        </w:rPr>
        <w:t>400-700-8880</w:t>
      </w:r>
      <w:r>
        <w:rPr>
          <w:rFonts w:ascii="Times New Roman" w:hAnsi="Times New Roman" w:hint="eastAsia"/>
          <w:sz w:val="24"/>
          <w:szCs w:val="24"/>
        </w:rPr>
        <w:t>、</w:t>
      </w:r>
      <w:r>
        <w:rPr>
          <w:rFonts w:ascii="Times New Roman" w:hAnsi="Times New Roman" w:hint="eastAsia"/>
          <w:sz w:val="24"/>
          <w:szCs w:val="24"/>
        </w:rPr>
        <w:t>010-</w:t>
      </w:r>
      <w:r>
        <w:rPr>
          <w:rFonts w:ascii="Times New Roman" w:hAnsi="Times New Roman"/>
          <w:sz w:val="24"/>
          <w:szCs w:val="24"/>
        </w:rPr>
        <w:t>58573300</w:t>
      </w:r>
      <w:r>
        <w:rPr>
          <w:rFonts w:ascii="Times New Roman" w:hAnsi="Times New Roman" w:hint="eastAsia"/>
          <w:sz w:val="24"/>
          <w:szCs w:val="24"/>
        </w:rPr>
        <w:t>，或登录本公司官方网站</w:t>
      </w:r>
      <w:r>
        <w:rPr>
          <w:rFonts w:ascii="Times New Roman" w:hAnsi="Times New Roman" w:hint="eastAsia"/>
          <w:sz w:val="24"/>
          <w:szCs w:val="24"/>
        </w:rPr>
        <w:t>www.hsfund.com</w:t>
      </w:r>
      <w:r>
        <w:rPr>
          <w:rFonts w:ascii="Times New Roman" w:hAnsi="Times New Roman" w:hint="eastAsia"/>
          <w:sz w:val="24"/>
          <w:szCs w:val="24"/>
        </w:rPr>
        <w:t>获取相关信息。</w:t>
      </w:r>
    </w:p>
    <w:p w:rsidR="00E85BDE" w:rsidRDefault="00E85BDE">
      <w:pPr>
        <w:spacing w:line="360" w:lineRule="auto"/>
        <w:ind w:firstLineChars="200" w:firstLine="480"/>
        <w:rPr>
          <w:rFonts w:ascii="Times New Roman" w:hAnsi="Times New Roman"/>
          <w:sz w:val="24"/>
          <w:szCs w:val="24"/>
        </w:rPr>
      </w:pPr>
    </w:p>
    <w:p w:rsidR="00E85BDE" w:rsidRDefault="00B46F62">
      <w:pPr>
        <w:pStyle w:val="aa"/>
        <w:numPr>
          <w:ilvl w:val="0"/>
          <w:numId w:val="1"/>
        </w:numPr>
        <w:adjustRightInd w:val="0"/>
        <w:snapToGrid w:val="0"/>
        <w:spacing w:line="360" w:lineRule="auto"/>
        <w:ind w:firstLineChars="0"/>
        <w:jc w:val="left"/>
        <w:rPr>
          <w:rFonts w:ascii="Times New Roman" w:eastAsia="宋体" w:hAnsi="Times New Roman" w:cs="Times New Roman"/>
          <w:b/>
          <w:sz w:val="24"/>
          <w:szCs w:val="24"/>
        </w:rPr>
      </w:pPr>
      <w:r>
        <w:rPr>
          <w:rFonts w:ascii="Times New Roman" w:eastAsia="宋体" w:hAnsi="Times New Roman" w:cs="Times New Roman" w:hint="eastAsia"/>
          <w:b/>
          <w:sz w:val="24"/>
          <w:szCs w:val="24"/>
        </w:rPr>
        <w:t>风险提</w:t>
      </w:r>
      <w:r>
        <w:rPr>
          <w:rFonts w:ascii="Times New Roman" w:eastAsia="宋体" w:hAnsi="Times New Roman" w:cs="Times New Roman"/>
          <w:b/>
          <w:sz w:val="24"/>
          <w:szCs w:val="24"/>
        </w:rPr>
        <w:t>示</w:t>
      </w:r>
    </w:p>
    <w:p w:rsidR="00BE6908" w:rsidRDefault="00BE6908">
      <w:pPr>
        <w:spacing w:line="360" w:lineRule="auto"/>
        <w:ind w:firstLineChars="200" w:firstLine="480"/>
        <w:rPr>
          <w:rFonts w:ascii="Times New Roman" w:hAnsi="Times New Roman"/>
          <w:sz w:val="24"/>
          <w:szCs w:val="24"/>
        </w:rPr>
      </w:pPr>
      <w:r w:rsidRPr="00BE6908">
        <w:rPr>
          <w:rFonts w:ascii="Times New Roman" w:hAnsi="Times New Roman" w:hint="eastAsia"/>
          <w:sz w:val="24"/>
          <w:szCs w:val="24"/>
        </w:rPr>
        <w:t>本基金的管理费由固定管理费、或有管理费和超额管理费组成，其中或有管理费和超额管理费取决于每笔基金份额的持有时长和持有期间年化收益率水平，因此投资者在申购本基金时无法预先确定本基金的整体管理费水平。本基金采用浮动管理费的收费模式，不代表基金管理人对基金收益的保证。</w:t>
      </w:r>
    </w:p>
    <w:p w:rsidR="00E85BDE" w:rsidRDefault="00B46F62">
      <w:pPr>
        <w:spacing w:line="360" w:lineRule="auto"/>
        <w:ind w:firstLineChars="200" w:firstLine="480"/>
        <w:rPr>
          <w:rFonts w:ascii="Times New Roman" w:hAnsi="Times New Roman"/>
          <w:sz w:val="24"/>
          <w:szCs w:val="24"/>
        </w:rPr>
      </w:pPr>
      <w:r>
        <w:rPr>
          <w:rFonts w:ascii="Times New Roman" w:hAnsi="Times New Roman" w:hint="eastAsia"/>
          <w:sz w:val="24"/>
          <w:szCs w:val="24"/>
        </w:rPr>
        <w:t>本基金可根据投资策略需要或不同配置地市场环境的变化，选择将部分基金资产投资于港股或选择不将基金资产投资于港股，基金资产并非必然投资港股。</w:t>
      </w:r>
    </w:p>
    <w:p w:rsidR="00E85BDE" w:rsidRDefault="00B46F62">
      <w:pPr>
        <w:spacing w:line="360" w:lineRule="auto"/>
        <w:ind w:firstLineChars="200" w:firstLine="480"/>
        <w:rPr>
          <w:rFonts w:ascii="Times New Roman" w:hAnsi="Times New Roman"/>
          <w:sz w:val="24"/>
          <w:szCs w:val="24"/>
        </w:rPr>
      </w:pPr>
      <w:r>
        <w:rPr>
          <w:rFonts w:ascii="Times New Roman" w:hAnsi="Times New Roman" w:hint="eastAsia"/>
          <w:sz w:val="24"/>
          <w:szCs w:val="24"/>
        </w:rPr>
        <w:t>本基金若投资内地与香港股票市场交易互联互通机制（以下简称“港股通机制”）允许买卖的规定范围内的香港联合交易所上市的股票的，会面临港股通机制下因投资环境、投资标的、市场制度以及交易规则等差异带来的特有风险。</w:t>
      </w:r>
    </w:p>
    <w:p w:rsidR="00360CA0" w:rsidRDefault="00972ABB">
      <w:pPr>
        <w:spacing w:line="360" w:lineRule="auto"/>
        <w:ind w:firstLineChars="200" w:firstLine="480"/>
        <w:rPr>
          <w:rFonts w:ascii="Times New Roman" w:hAnsi="Times New Roman"/>
          <w:sz w:val="24"/>
          <w:szCs w:val="24"/>
        </w:rPr>
      </w:pPr>
      <w:r w:rsidRPr="000C7872">
        <w:rPr>
          <w:rFonts w:ascii="Times New Roman" w:hAnsi="Times New Roman" w:hint="eastAsia"/>
          <w:sz w:val="24"/>
          <w:szCs w:val="24"/>
        </w:rPr>
        <w:t>本基金为混合型基金，其预期收益和风险高于货币市场基金和债券型基金，低于股票型基金</w:t>
      </w:r>
      <w:r w:rsidR="00360CA0" w:rsidRPr="00360CA0">
        <w:rPr>
          <w:rFonts w:ascii="Times New Roman" w:hAnsi="Times New Roman" w:hint="eastAsia"/>
          <w:sz w:val="24"/>
          <w:szCs w:val="24"/>
        </w:rPr>
        <w:t>。</w:t>
      </w:r>
    </w:p>
    <w:p w:rsidR="00E85BDE" w:rsidRDefault="00B46F62">
      <w:pPr>
        <w:spacing w:line="360" w:lineRule="auto"/>
        <w:ind w:firstLineChars="200" w:firstLine="480"/>
        <w:rPr>
          <w:rFonts w:ascii="Times New Roman" w:hAnsi="Times New Roman"/>
          <w:sz w:val="24"/>
          <w:szCs w:val="24"/>
        </w:rPr>
      </w:pPr>
      <w:r>
        <w:rPr>
          <w:rFonts w:ascii="Times New Roman" w:hAnsi="Times New Roman"/>
          <w:sz w:val="24"/>
          <w:szCs w:val="24"/>
        </w:rPr>
        <w:t>本基金管理人承诺以诚实信用、勤勉尽责的原则管理和运用基金资产，但不保证基金一定盈利，也不保证最低收益。投资者在投资各基金前，请务必考虑自己的风险承受能力，在控制风险的前提下实现投资收益。敬请投资者阅读</w:t>
      </w:r>
      <w:r>
        <w:rPr>
          <w:rFonts w:ascii="Times New Roman" w:hAnsi="Times New Roman" w:hint="eastAsia"/>
          <w:sz w:val="24"/>
          <w:szCs w:val="24"/>
        </w:rPr>
        <w:t>上述</w:t>
      </w:r>
      <w:r>
        <w:rPr>
          <w:rFonts w:ascii="Times New Roman" w:hAnsi="Times New Roman"/>
          <w:sz w:val="24"/>
          <w:szCs w:val="24"/>
        </w:rPr>
        <w:t>基金的基金合同、招募说明书</w:t>
      </w:r>
      <w:r>
        <w:rPr>
          <w:rFonts w:ascii="Times New Roman" w:hAnsi="Times New Roman" w:hint="eastAsia"/>
          <w:sz w:val="24"/>
          <w:szCs w:val="24"/>
        </w:rPr>
        <w:t>、基金产品资料概要</w:t>
      </w:r>
      <w:r>
        <w:rPr>
          <w:rFonts w:ascii="Times New Roman" w:hAnsi="Times New Roman"/>
          <w:sz w:val="24"/>
          <w:szCs w:val="24"/>
        </w:rPr>
        <w:t>等法律文件。投资有风险，选择须谨慎。</w:t>
      </w:r>
    </w:p>
    <w:p w:rsidR="00E85BDE" w:rsidRDefault="00B46F62">
      <w:pPr>
        <w:widowControl/>
        <w:spacing w:line="360" w:lineRule="auto"/>
        <w:ind w:firstLineChars="177" w:firstLine="425"/>
        <w:rPr>
          <w:rFonts w:ascii="Times New Roman" w:hAnsi="Times New Roman"/>
          <w:sz w:val="24"/>
          <w:szCs w:val="24"/>
        </w:rPr>
      </w:pPr>
      <w:r>
        <w:rPr>
          <w:rFonts w:ascii="Times New Roman" w:hAnsi="Times New Roman"/>
          <w:sz w:val="24"/>
          <w:szCs w:val="24"/>
        </w:rPr>
        <w:t>特此公告。</w:t>
      </w:r>
    </w:p>
    <w:p w:rsidR="00E85BDE" w:rsidRDefault="00E85BDE">
      <w:pPr>
        <w:widowControl/>
        <w:spacing w:line="360" w:lineRule="auto"/>
        <w:jc w:val="right"/>
        <w:rPr>
          <w:rFonts w:ascii="Arial" w:hAnsi="宋体" w:cs="Arial"/>
          <w:kern w:val="0"/>
          <w:sz w:val="24"/>
          <w:szCs w:val="24"/>
        </w:rPr>
      </w:pPr>
    </w:p>
    <w:p w:rsidR="00E85BDE" w:rsidRDefault="00B46F62">
      <w:pPr>
        <w:widowControl/>
        <w:spacing w:line="360" w:lineRule="auto"/>
        <w:jc w:val="right"/>
        <w:rPr>
          <w:rFonts w:ascii="Times New Roman" w:hAnsi="Times New Roman"/>
          <w:sz w:val="24"/>
          <w:szCs w:val="24"/>
        </w:rPr>
      </w:pPr>
      <w:r>
        <w:rPr>
          <w:rFonts w:ascii="Times New Roman" w:hAnsi="Times New Roman" w:hint="eastAsia"/>
          <w:sz w:val="24"/>
          <w:szCs w:val="24"/>
        </w:rPr>
        <w:t>华商基金管理有限公司</w:t>
      </w:r>
    </w:p>
    <w:p w:rsidR="00E85BDE" w:rsidRDefault="00394572" w:rsidP="00972ABB">
      <w:pPr>
        <w:widowControl/>
        <w:spacing w:line="360" w:lineRule="auto"/>
        <w:jc w:val="right"/>
        <w:rPr>
          <w:rFonts w:ascii="Times New Roman" w:hAnsi="Times New Roman"/>
          <w:sz w:val="24"/>
          <w:szCs w:val="24"/>
        </w:rPr>
      </w:pPr>
      <w:r>
        <w:rPr>
          <w:rFonts w:ascii="Times New Roman" w:hAnsi="Times New Roman"/>
          <w:sz w:val="24"/>
          <w:szCs w:val="24"/>
        </w:rPr>
        <w:t>2025</w:t>
      </w:r>
      <w:r>
        <w:rPr>
          <w:rFonts w:ascii="Times New Roman" w:hAnsi="Times New Roman"/>
          <w:sz w:val="24"/>
          <w:szCs w:val="24"/>
        </w:rPr>
        <w:t>年</w:t>
      </w:r>
      <w:r w:rsidR="00A8046A">
        <w:rPr>
          <w:rFonts w:ascii="Times New Roman" w:hAnsi="Times New Roman"/>
          <w:sz w:val="24"/>
          <w:szCs w:val="24"/>
        </w:rPr>
        <w:t>10</w:t>
      </w:r>
      <w:r>
        <w:rPr>
          <w:rFonts w:ascii="Times New Roman" w:hAnsi="Times New Roman" w:hint="eastAsia"/>
          <w:sz w:val="24"/>
          <w:szCs w:val="24"/>
        </w:rPr>
        <w:t>月</w:t>
      </w:r>
      <w:r w:rsidR="00A8046A">
        <w:rPr>
          <w:rFonts w:ascii="Times New Roman" w:hAnsi="Times New Roman"/>
          <w:sz w:val="24"/>
          <w:szCs w:val="24"/>
        </w:rPr>
        <w:t>13</w:t>
      </w:r>
      <w:r w:rsidR="00B46F62">
        <w:rPr>
          <w:rFonts w:ascii="Times New Roman" w:hAnsi="Times New Roman" w:hint="eastAsia"/>
          <w:sz w:val="24"/>
          <w:szCs w:val="24"/>
        </w:rPr>
        <w:t>日</w:t>
      </w:r>
    </w:p>
    <w:sectPr w:rsidR="00E85BD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628C" w:rsidRDefault="00DF628C"/>
  </w:endnote>
  <w:endnote w:type="continuationSeparator" w:id="0">
    <w:p w:rsidR="00DF628C" w:rsidRDefault="00DF62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628C" w:rsidRDefault="00DF628C"/>
  </w:footnote>
  <w:footnote w:type="continuationSeparator" w:id="0">
    <w:p w:rsidR="00DF628C" w:rsidRDefault="00DF628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88783F"/>
    <w:multiLevelType w:val="multilevel"/>
    <w:tmpl w:val="4E88783F"/>
    <w:lvl w:ilvl="0">
      <w:start w:val="1"/>
      <w:numFmt w:val="japaneseCounting"/>
      <w:lvlText w:val="%1、"/>
      <w:lvlJc w:val="left"/>
      <w:pPr>
        <w:ind w:left="930" w:hanging="510"/>
      </w:pPr>
      <w:rPr>
        <w:rFonts w:hint="default"/>
        <w: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nsid w:val="6DD43626"/>
    <w:multiLevelType w:val="multilevel"/>
    <w:tmpl w:val="6DD43626"/>
    <w:lvl w:ilvl="0">
      <w:start w:val="1"/>
      <w:numFmt w:val="decimal"/>
      <w:lvlText w:val="%1."/>
      <w:lvlJc w:val="left"/>
      <w:pPr>
        <w:ind w:left="960" w:hanging="420"/>
      </w:pPr>
      <w:rPr>
        <w:rFonts w:hint="default"/>
        <w:sz w:val="22"/>
        <w:szCs w:val="22"/>
      </w:r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JiYzRjZDg4ODIxMmZkMzVjYzYxNzIzMDEwYjJjY2IifQ=="/>
  </w:docVars>
  <w:rsids>
    <w:rsidRoot w:val="000040E5"/>
    <w:rsid w:val="000040E5"/>
    <w:rsid w:val="00004E52"/>
    <w:rsid w:val="00010278"/>
    <w:rsid w:val="0001052E"/>
    <w:rsid w:val="00011DD5"/>
    <w:rsid w:val="00014EFC"/>
    <w:rsid w:val="00020123"/>
    <w:rsid w:val="0002210D"/>
    <w:rsid w:val="000224D9"/>
    <w:rsid w:val="00023C00"/>
    <w:rsid w:val="00023D51"/>
    <w:rsid w:val="00024E75"/>
    <w:rsid w:val="00032B8E"/>
    <w:rsid w:val="000335F5"/>
    <w:rsid w:val="0003750B"/>
    <w:rsid w:val="00046FB8"/>
    <w:rsid w:val="000505B6"/>
    <w:rsid w:val="00050CD7"/>
    <w:rsid w:val="00065793"/>
    <w:rsid w:val="000725E2"/>
    <w:rsid w:val="00081F32"/>
    <w:rsid w:val="00086B27"/>
    <w:rsid w:val="000940F2"/>
    <w:rsid w:val="000948D2"/>
    <w:rsid w:val="000A0F4D"/>
    <w:rsid w:val="000A588E"/>
    <w:rsid w:val="000A663E"/>
    <w:rsid w:val="000B2AC5"/>
    <w:rsid w:val="000B488C"/>
    <w:rsid w:val="000C7872"/>
    <w:rsid w:val="000C7F95"/>
    <w:rsid w:val="000D0137"/>
    <w:rsid w:val="000D2FCF"/>
    <w:rsid w:val="000D3FF7"/>
    <w:rsid w:val="000D622B"/>
    <w:rsid w:val="000D71F7"/>
    <w:rsid w:val="000E2D88"/>
    <w:rsid w:val="000F3B77"/>
    <w:rsid w:val="000F3FCD"/>
    <w:rsid w:val="00100230"/>
    <w:rsid w:val="00101AB2"/>
    <w:rsid w:val="00101AF9"/>
    <w:rsid w:val="00102CB1"/>
    <w:rsid w:val="001030F7"/>
    <w:rsid w:val="00103B01"/>
    <w:rsid w:val="00106451"/>
    <w:rsid w:val="001126C9"/>
    <w:rsid w:val="0011693C"/>
    <w:rsid w:val="001176C1"/>
    <w:rsid w:val="00121FB6"/>
    <w:rsid w:val="001223A7"/>
    <w:rsid w:val="0012468C"/>
    <w:rsid w:val="00125F9B"/>
    <w:rsid w:val="00131A46"/>
    <w:rsid w:val="001345F9"/>
    <w:rsid w:val="00136F7A"/>
    <w:rsid w:val="00141E0A"/>
    <w:rsid w:val="001437BC"/>
    <w:rsid w:val="00157121"/>
    <w:rsid w:val="00162F5D"/>
    <w:rsid w:val="001703C9"/>
    <w:rsid w:val="00172FED"/>
    <w:rsid w:val="00173C4C"/>
    <w:rsid w:val="00175E6D"/>
    <w:rsid w:val="00176B93"/>
    <w:rsid w:val="001840EA"/>
    <w:rsid w:val="00192DB2"/>
    <w:rsid w:val="001A3A2A"/>
    <w:rsid w:val="001A58E2"/>
    <w:rsid w:val="001A7D5A"/>
    <w:rsid w:val="001B3B42"/>
    <w:rsid w:val="001B6E8D"/>
    <w:rsid w:val="001C7F01"/>
    <w:rsid w:val="001D601E"/>
    <w:rsid w:val="001E1308"/>
    <w:rsid w:val="001E1A18"/>
    <w:rsid w:val="001E2845"/>
    <w:rsid w:val="001F15B9"/>
    <w:rsid w:val="00201BB2"/>
    <w:rsid w:val="00202803"/>
    <w:rsid w:val="00207871"/>
    <w:rsid w:val="002127CB"/>
    <w:rsid w:val="00214E17"/>
    <w:rsid w:val="0021613E"/>
    <w:rsid w:val="002175EC"/>
    <w:rsid w:val="00225A96"/>
    <w:rsid w:val="0022607B"/>
    <w:rsid w:val="00227719"/>
    <w:rsid w:val="00230FDC"/>
    <w:rsid w:val="00232B48"/>
    <w:rsid w:val="00240C92"/>
    <w:rsid w:val="002414EA"/>
    <w:rsid w:val="002423C3"/>
    <w:rsid w:val="00245A27"/>
    <w:rsid w:val="0025003F"/>
    <w:rsid w:val="00255948"/>
    <w:rsid w:val="00261147"/>
    <w:rsid w:val="00286729"/>
    <w:rsid w:val="0029443A"/>
    <w:rsid w:val="0029678D"/>
    <w:rsid w:val="002A7722"/>
    <w:rsid w:val="002C717F"/>
    <w:rsid w:val="002E1E27"/>
    <w:rsid w:val="002E3425"/>
    <w:rsid w:val="002E485D"/>
    <w:rsid w:val="002F2252"/>
    <w:rsid w:val="00303A84"/>
    <w:rsid w:val="00304746"/>
    <w:rsid w:val="003108D2"/>
    <w:rsid w:val="00310E82"/>
    <w:rsid w:val="00314F9A"/>
    <w:rsid w:val="00314FE9"/>
    <w:rsid w:val="00321173"/>
    <w:rsid w:val="00323CF3"/>
    <w:rsid w:val="00324618"/>
    <w:rsid w:val="00330AC8"/>
    <w:rsid w:val="00331B48"/>
    <w:rsid w:val="003418BB"/>
    <w:rsid w:val="00346C62"/>
    <w:rsid w:val="00347951"/>
    <w:rsid w:val="00360CA0"/>
    <w:rsid w:val="003616B6"/>
    <w:rsid w:val="0037232F"/>
    <w:rsid w:val="00394572"/>
    <w:rsid w:val="00395E3A"/>
    <w:rsid w:val="00396C1F"/>
    <w:rsid w:val="003A05C5"/>
    <w:rsid w:val="003A22C0"/>
    <w:rsid w:val="003B1CD0"/>
    <w:rsid w:val="003B3D7F"/>
    <w:rsid w:val="003C1647"/>
    <w:rsid w:val="003C273E"/>
    <w:rsid w:val="003C3C7C"/>
    <w:rsid w:val="003E396D"/>
    <w:rsid w:val="003F10EF"/>
    <w:rsid w:val="003F1FA0"/>
    <w:rsid w:val="00416F2C"/>
    <w:rsid w:val="0041799F"/>
    <w:rsid w:val="00420E26"/>
    <w:rsid w:val="0042540B"/>
    <w:rsid w:val="004366AE"/>
    <w:rsid w:val="0044528D"/>
    <w:rsid w:val="00450787"/>
    <w:rsid w:val="00451F78"/>
    <w:rsid w:val="004634C0"/>
    <w:rsid w:val="0047746A"/>
    <w:rsid w:val="00481E72"/>
    <w:rsid w:val="00482B57"/>
    <w:rsid w:val="004831A6"/>
    <w:rsid w:val="004836A5"/>
    <w:rsid w:val="00487F10"/>
    <w:rsid w:val="00495277"/>
    <w:rsid w:val="004A56D7"/>
    <w:rsid w:val="004A69E6"/>
    <w:rsid w:val="004B0F40"/>
    <w:rsid w:val="004B3AB4"/>
    <w:rsid w:val="004B5D09"/>
    <w:rsid w:val="004B7587"/>
    <w:rsid w:val="004C3064"/>
    <w:rsid w:val="004C3BFF"/>
    <w:rsid w:val="004C6740"/>
    <w:rsid w:val="004C7164"/>
    <w:rsid w:val="004D0BD4"/>
    <w:rsid w:val="004E2FE5"/>
    <w:rsid w:val="004E34D0"/>
    <w:rsid w:val="004E3E60"/>
    <w:rsid w:val="00501D40"/>
    <w:rsid w:val="00504D4C"/>
    <w:rsid w:val="0051164D"/>
    <w:rsid w:val="00511833"/>
    <w:rsid w:val="00513E88"/>
    <w:rsid w:val="005143E8"/>
    <w:rsid w:val="00520CCB"/>
    <w:rsid w:val="00522C9C"/>
    <w:rsid w:val="005244C6"/>
    <w:rsid w:val="00525631"/>
    <w:rsid w:val="00525E05"/>
    <w:rsid w:val="005327B9"/>
    <w:rsid w:val="00537A6D"/>
    <w:rsid w:val="00542F9D"/>
    <w:rsid w:val="00547870"/>
    <w:rsid w:val="00551EA6"/>
    <w:rsid w:val="005565A4"/>
    <w:rsid w:val="0055765B"/>
    <w:rsid w:val="00562A14"/>
    <w:rsid w:val="00565F6D"/>
    <w:rsid w:val="00567CFE"/>
    <w:rsid w:val="00567FBF"/>
    <w:rsid w:val="00576425"/>
    <w:rsid w:val="0057690E"/>
    <w:rsid w:val="00577C9F"/>
    <w:rsid w:val="0058596B"/>
    <w:rsid w:val="00590BAD"/>
    <w:rsid w:val="00592CDB"/>
    <w:rsid w:val="00594F81"/>
    <w:rsid w:val="005A07F6"/>
    <w:rsid w:val="005A105F"/>
    <w:rsid w:val="005A6D73"/>
    <w:rsid w:val="005C2226"/>
    <w:rsid w:val="005C4183"/>
    <w:rsid w:val="005C5700"/>
    <w:rsid w:val="005C6B76"/>
    <w:rsid w:val="005C73B5"/>
    <w:rsid w:val="005D0635"/>
    <w:rsid w:val="005D2352"/>
    <w:rsid w:val="005D4FE5"/>
    <w:rsid w:val="005D7918"/>
    <w:rsid w:val="005E4F10"/>
    <w:rsid w:val="005F14F6"/>
    <w:rsid w:val="005F2C46"/>
    <w:rsid w:val="005F4989"/>
    <w:rsid w:val="005F6A99"/>
    <w:rsid w:val="0061025A"/>
    <w:rsid w:val="006170BA"/>
    <w:rsid w:val="00620556"/>
    <w:rsid w:val="0062335F"/>
    <w:rsid w:val="00624CFD"/>
    <w:rsid w:val="00630A87"/>
    <w:rsid w:val="00631529"/>
    <w:rsid w:val="00632CE1"/>
    <w:rsid w:val="00642011"/>
    <w:rsid w:val="00643D82"/>
    <w:rsid w:val="006475A0"/>
    <w:rsid w:val="00663229"/>
    <w:rsid w:val="00666897"/>
    <w:rsid w:val="00672669"/>
    <w:rsid w:val="00675E74"/>
    <w:rsid w:val="0067627B"/>
    <w:rsid w:val="00677BCF"/>
    <w:rsid w:val="00680B58"/>
    <w:rsid w:val="00683B86"/>
    <w:rsid w:val="00683D7B"/>
    <w:rsid w:val="00685FAC"/>
    <w:rsid w:val="00697B39"/>
    <w:rsid w:val="00697DB6"/>
    <w:rsid w:val="006A12AA"/>
    <w:rsid w:val="006A5874"/>
    <w:rsid w:val="006A5982"/>
    <w:rsid w:val="006A63FA"/>
    <w:rsid w:val="006B65DC"/>
    <w:rsid w:val="006B786F"/>
    <w:rsid w:val="006B78D2"/>
    <w:rsid w:val="006C3D93"/>
    <w:rsid w:val="006D03BF"/>
    <w:rsid w:val="006D10A3"/>
    <w:rsid w:val="006D68EB"/>
    <w:rsid w:val="006E1A9A"/>
    <w:rsid w:val="006E2E1E"/>
    <w:rsid w:val="006E2F75"/>
    <w:rsid w:val="006E41DF"/>
    <w:rsid w:val="006E5CE6"/>
    <w:rsid w:val="006E6882"/>
    <w:rsid w:val="006F0118"/>
    <w:rsid w:val="006F0C2F"/>
    <w:rsid w:val="007004FC"/>
    <w:rsid w:val="007009A8"/>
    <w:rsid w:val="00705281"/>
    <w:rsid w:val="007142CA"/>
    <w:rsid w:val="00721AB1"/>
    <w:rsid w:val="00722CA2"/>
    <w:rsid w:val="00731BB5"/>
    <w:rsid w:val="00735034"/>
    <w:rsid w:val="00757437"/>
    <w:rsid w:val="0076070F"/>
    <w:rsid w:val="00763AFA"/>
    <w:rsid w:val="007644F1"/>
    <w:rsid w:val="00765C09"/>
    <w:rsid w:val="00774391"/>
    <w:rsid w:val="00774744"/>
    <w:rsid w:val="007820CF"/>
    <w:rsid w:val="00782560"/>
    <w:rsid w:val="007A1BFB"/>
    <w:rsid w:val="007A5FF0"/>
    <w:rsid w:val="007A64F4"/>
    <w:rsid w:val="007B46D1"/>
    <w:rsid w:val="007B4F58"/>
    <w:rsid w:val="007C620B"/>
    <w:rsid w:val="007D326F"/>
    <w:rsid w:val="007D4B08"/>
    <w:rsid w:val="007D73D9"/>
    <w:rsid w:val="007E7390"/>
    <w:rsid w:val="007F433F"/>
    <w:rsid w:val="007F5853"/>
    <w:rsid w:val="007F5C0B"/>
    <w:rsid w:val="007F62AA"/>
    <w:rsid w:val="00803B49"/>
    <w:rsid w:val="00815B26"/>
    <w:rsid w:val="00832963"/>
    <w:rsid w:val="00834991"/>
    <w:rsid w:val="00846304"/>
    <w:rsid w:val="00851EA6"/>
    <w:rsid w:val="00851F4C"/>
    <w:rsid w:val="00853F18"/>
    <w:rsid w:val="00854AF6"/>
    <w:rsid w:val="00855443"/>
    <w:rsid w:val="0085731B"/>
    <w:rsid w:val="00870F8F"/>
    <w:rsid w:val="00871885"/>
    <w:rsid w:val="008729C9"/>
    <w:rsid w:val="008A2F26"/>
    <w:rsid w:val="008B1CEA"/>
    <w:rsid w:val="008B4616"/>
    <w:rsid w:val="008C1271"/>
    <w:rsid w:val="008C3CF7"/>
    <w:rsid w:val="008C4668"/>
    <w:rsid w:val="008D56DC"/>
    <w:rsid w:val="008D5CDD"/>
    <w:rsid w:val="008E0BBE"/>
    <w:rsid w:val="008E0D0B"/>
    <w:rsid w:val="008E1FAF"/>
    <w:rsid w:val="008E4B6D"/>
    <w:rsid w:val="008E7A62"/>
    <w:rsid w:val="008F01C3"/>
    <w:rsid w:val="008F2FCD"/>
    <w:rsid w:val="008F5084"/>
    <w:rsid w:val="008F73E4"/>
    <w:rsid w:val="00904485"/>
    <w:rsid w:val="00910386"/>
    <w:rsid w:val="00921A9D"/>
    <w:rsid w:val="00935C5B"/>
    <w:rsid w:val="009416BC"/>
    <w:rsid w:val="00945F9E"/>
    <w:rsid w:val="0094680A"/>
    <w:rsid w:val="00947DCB"/>
    <w:rsid w:val="009551A0"/>
    <w:rsid w:val="00956BB2"/>
    <w:rsid w:val="00962BE7"/>
    <w:rsid w:val="009652F2"/>
    <w:rsid w:val="0096677E"/>
    <w:rsid w:val="00966B35"/>
    <w:rsid w:val="009677AA"/>
    <w:rsid w:val="00972112"/>
    <w:rsid w:val="00972ABB"/>
    <w:rsid w:val="00975AAC"/>
    <w:rsid w:val="0097776C"/>
    <w:rsid w:val="00984BD0"/>
    <w:rsid w:val="00991564"/>
    <w:rsid w:val="00991CE6"/>
    <w:rsid w:val="0099351E"/>
    <w:rsid w:val="00993F24"/>
    <w:rsid w:val="009A3AAF"/>
    <w:rsid w:val="009A5586"/>
    <w:rsid w:val="009B273D"/>
    <w:rsid w:val="009B4DAC"/>
    <w:rsid w:val="009C0346"/>
    <w:rsid w:val="009C77A4"/>
    <w:rsid w:val="009D32CD"/>
    <w:rsid w:val="009E341E"/>
    <w:rsid w:val="009E3A18"/>
    <w:rsid w:val="009F3397"/>
    <w:rsid w:val="00A06B1A"/>
    <w:rsid w:val="00A07925"/>
    <w:rsid w:val="00A145DB"/>
    <w:rsid w:val="00A20742"/>
    <w:rsid w:val="00A245E0"/>
    <w:rsid w:val="00A27816"/>
    <w:rsid w:val="00A30AA1"/>
    <w:rsid w:val="00A30AA5"/>
    <w:rsid w:val="00A4422B"/>
    <w:rsid w:val="00A47389"/>
    <w:rsid w:val="00A4739F"/>
    <w:rsid w:val="00A54322"/>
    <w:rsid w:val="00A54A0A"/>
    <w:rsid w:val="00A605BF"/>
    <w:rsid w:val="00A669CB"/>
    <w:rsid w:val="00A72918"/>
    <w:rsid w:val="00A760B8"/>
    <w:rsid w:val="00A76D93"/>
    <w:rsid w:val="00A7712B"/>
    <w:rsid w:val="00A7727B"/>
    <w:rsid w:val="00A8046A"/>
    <w:rsid w:val="00A86194"/>
    <w:rsid w:val="00A86853"/>
    <w:rsid w:val="00A91E96"/>
    <w:rsid w:val="00A93CE0"/>
    <w:rsid w:val="00AA46BA"/>
    <w:rsid w:val="00AA46EC"/>
    <w:rsid w:val="00AA60B9"/>
    <w:rsid w:val="00AB0EA1"/>
    <w:rsid w:val="00AB21C3"/>
    <w:rsid w:val="00AB4CE2"/>
    <w:rsid w:val="00AC0D8D"/>
    <w:rsid w:val="00AC7716"/>
    <w:rsid w:val="00AD168A"/>
    <w:rsid w:val="00AD358B"/>
    <w:rsid w:val="00AD4A10"/>
    <w:rsid w:val="00AD52CF"/>
    <w:rsid w:val="00AE03A9"/>
    <w:rsid w:val="00AF134D"/>
    <w:rsid w:val="00AF1CA7"/>
    <w:rsid w:val="00B022CB"/>
    <w:rsid w:val="00B136B9"/>
    <w:rsid w:val="00B17CD9"/>
    <w:rsid w:val="00B24A4D"/>
    <w:rsid w:val="00B25063"/>
    <w:rsid w:val="00B304A2"/>
    <w:rsid w:val="00B31B60"/>
    <w:rsid w:val="00B3414D"/>
    <w:rsid w:val="00B3785D"/>
    <w:rsid w:val="00B41331"/>
    <w:rsid w:val="00B46A89"/>
    <w:rsid w:val="00B46F62"/>
    <w:rsid w:val="00B546AE"/>
    <w:rsid w:val="00B61553"/>
    <w:rsid w:val="00B67730"/>
    <w:rsid w:val="00B719C5"/>
    <w:rsid w:val="00B74204"/>
    <w:rsid w:val="00B9043F"/>
    <w:rsid w:val="00B94DFA"/>
    <w:rsid w:val="00B973CC"/>
    <w:rsid w:val="00BA26E8"/>
    <w:rsid w:val="00BA3DF7"/>
    <w:rsid w:val="00BA7B5B"/>
    <w:rsid w:val="00BA7EF7"/>
    <w:rsid w:val="00BB0E8D"/>
    <w:rsid w:val="00BC40BA"/>
    <w:rsid w:val="00BD1E52"/>
    <w:rsid w:val="00BD6066"/>
    <w:rsid w:val="00BD7C87"/>
    <w:rsid w:val="00BE33E5"/>
    <w:rsid w:val="00BE5623"/>
    <w:rsid w:val="00BE6908"/>
    <w:rsid w:val="00BF3116"/>
    <w:rsid w:val="00BF524A"/>
    <w:rsid w:val="00C00350"/>
    <w:rsid w:val="00C02057"/>
    <w:rsid w:val="00C06DE1"/>
    <w:rsid w:val="00C1187C"/>
    <w:rsid w:val="00C1250B"/>
    <w:rsid w:val="00C1264C"/>
    <w:rsid w:val="00C167AA"/>
    <w:rsid w:val="00C24D30"/>
    <w:rsid w:val="00C32A46"/>
    <w:rsid w:val="00C32B76"/>
    <w:rsid w:val="00C41C4C"/>
    <w:rsid w:val="00C424AD"/>
    <w:rsid w:val="00C51B4B"/>
    <w:rsid w:val="00C56B02"/>
    <w:rsid w:val="00C60403"/>
    <w:rsid w:val="00C65578"/>
    <w:rsid w:val="00C662C2"/>
    <w:rsid w:val="00C7462F"/>
    <w:rsid w:val="00C946EB"/>
    <w:rsid w:val="00CB1872"/>
    <w:rsid w:val="00CB1E81"/>
    <w:rsid w:val="00CC0E1D"/>
    <w:rsid w:val="00CD195C"/>
    <w:rsid w:val="00CD298E"/>
    <w:rsid w:val="00CE08C6"/>
    <w:rsid w:val="00CE1EF1"/>
    <w:rsid w:val="00CF0E17"/>
    <w:rsid w:val="00D02A1B"/>
    <w:rsid w:val="00D02FB0"/>
    <w:rsid w:val="00D140E1"/>
    <w:rsid w:val="00D14AE6"/>
    <w:rsid w:val="00D1509A"/>
    <w:rsid w:val="00D204DA"/>
    <w:rsid w:val="00D22F88"/>
    <w:rsid w:val="00D252D1"/>
    <w:rsid w:val="00D31A4D"/>
    <w:rsid w:val="00D31FAB"/>
    <w:rsid w:val="00D33B70"/>
    <w:rsid w:val="00D40295"/>
    <w:rsid w:val="00D40FBF"/>
    <w:rsid w:val="00D416A9"/>
    <w:rsid w:val="00D548E8"/>
    <w:rsid w:val="00D54C6E"/>
    <w:rsid w:val="00D565F0"/>
    <w:rsid w:val="00D57C96"/>
    <w:rsid w:val="00D72572"/>
    <w:rsid w:val="00D73C76"/>
    <w:rsid w:val="00D7567E"/>
    <w:rsid w:val="00D76AFE"/>
    <w:rsid w:val="00D80130"/>
    <w:rsid w:val="00D91A0E"/>
    <w:rsid w:val="00D92F5B"/>
    <w:rsid w:val="00D966DE"/>
    <w:rsid w:val="00DA0FED"/>
    <w:rsid w:val="00DA6BDF"/>
    <w:rsid w:val="00DB0A90"/>
    <w:rsid w:val="00DB4CDB"/>
    <w:rsid w:val="00DC4139"/>
    <w:rsid w:val="00DC53A0"/>
    <w:rsid w:val="00DD6735"/>
    <w:rsid w:val="00DF0925"/>
    <w:rsid w:val="00DF3A27"/>
    <w:rsid w:val="00DF628C"/>
    <w:rsid w:val="00DF73A5"/>
    <w:rsid w:val="00E01D15"/>
    <w:rsid w:val="00E04748"/>
    <w:rsid w:val="00E048B4"/>
    <w:rsid w:val="00E056AF"/>
    <w:rsid w:val="00E1099A"/>
    <w:rsid w:val="00E16CEC"/>
    <w:rsid w:val="00E17537"/>
    <w:rsid w:val="00E21595"/>
    <w:rsid w:val="00E21B4A"/>
    <w:rsid w:val="00E2665B"/>
    <w:rsid w:val="00E30EF4"/>
    <w:rsid w:val="00E32B1D"/>
    <w:rsid w:val="00E334F8"/>
    <w:rsid w:val="00E34749"/>
    <w:rsid w:val="00E35F94"/>
    <w:rsid w:val="00E36259"/>
    <w:rsid w:val="00E41F8B"/>
    <w:rsid w:val="00E423FE"/>
    <w:rsid w:val="00E512F0"/>
    <w:rsid w:val="00E517CB"/>
    <w:rsid w:val="00E546D2"/>
    <w:rsid w:val="00E656FE"/>
    <w:rsid w:val="00E661A5"/>
    <w:rsid w:val="00E67C84"/>
    <w:rsid w:val="00E739B7"/>
    <w:rsid w:val="00E75EDC"/>
    <w:rsid w:val="00E76D9F"/>
    <w:rsid w:val="00E85BDE"/>
    <w:rsid w:val="00EA1E76"/>
    <w:rsid w:val="00EA3358"/>
    <w:rsid w:val="00EB284A"/>
    <w:rsid w:val="00EC1975"/>
    <w:rsid w:val="00EE52E2"/>
    <w:rsid w:val="00EF0CF7"/>
    <w:rsid w:val="00EF2419"/>
    <w:rsid w:val="00EF677C"/>
    <w:rsid w:val="00F0137F"/>
    <w:rsid w:val="00F0243E"/>
    <w:rsid w:val="00F036CA"/>
    <w:rsid w:val="00F06728"/>
    <w:rsid w:val="00F06AFD"/>
    <w:rsid w:val="00F25F87"/>
    <w:rsid w:val="00F27A1F"/>
    <w:rsid w:val="00F345A5"/>
    <w:rsid w:val="00F403A3"/>
    <w:rsid w:val="00F47A46"/>
    <w:rsid w:val="00F53F50"/>
    <w:rsid w:val="00F556F9"/>
    <w:rsid w:val="00F617A5"/>
    <w:rsid w:val="00F7532A"/>
    <w:rsid w:val="00F760A3"/>
    <w:rsid w:val="00F83A8A"/>
    <w:rsid w:val="00F84B1F"/>
    <w:rsid w:val="00F92D20"/>
    <w:rsid w:val="00F93241"/>
    <w:rsid w:val="00F9616C"/>
    <w:rsid w:val="00FA042E"/>
    <w:rsid w:val="00FA080B"/>
    <w:rsid w:val="00FA4EDA"/>
    <w:rsid w:val="00FB2A15"/>
    <w:rsid w:val="00FB3B98"/>
    <w:rsid w:val="00FB3F2C"/>
    <w:rsid w:val="00FB48D9"/>
    <w:rsid w:val="00FB60FE"/>
    <w:rsid w:val="00FC0CE7"/>
    <w:rsid w:val="00FC1DBE"/>
    <w:rsid w:val="00FC677E"/>
    <w:rsid w:val="00FD37E0"/>
    <w:rsid w:val="00FE22CF"/>
    <w:rsid w:val="00FE33AF"/>
    <w:rsid w:val="00FE650F"/>
    <w:rsid w:val="00FF2DD5"/>
    <w:rsid w:val="00FF3502"/>
    <w:rsid w:val="00FF708C"/>
    <w:rsid w:val="03C61F8D"/>
    <w:rsid w:val="0B0E131B"/>
    <w:rsid w:val="3AF25B3A"/>
    <w:rsid w:val="4B5B4C64"/>
    <w:rsid w:val="54FC6978"/>
    <w:rsid w:val="702C7E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858383F-5086-4771-BBE6-57CF0D0CD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paragraph" w:styleId="2">
    <w:name w:val="heading 2"/>
    <w:basedOn w:val="a"/>
    <w:next w:val="a"/>
    <w:link w:val="2Char"/>
    <w:uiPriority w:val="9"/>
    <w:qFormat/>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Title"/>
    <w:basedOn w:val="a"/>
    <w:next w:val="a"/>
    <w:link w:val="Char3"/>
    <w:uiPriority w:val="10"/>
    <w:qFormat/>
    <w:pPr>
      <w:spacing w:before="240" w:after="60"/>
      <w:jc w:val="center"/>
      <w:outlineLvl w:val="0"/>
    </w:pPr>
    <w:rPr>
      <w:rFonts w:asciiTheme="majorHAnsi" w:hAnsiTheme="majorHAnsi" w:cstheme="majorBidi"/>
      <w:b/>
      <w:bCs/>
      <w:sz w:val="32"/>
      <w:szCs w:val="32"/>
    </w:rPr>
  </w:style>
  <w:style w:type="paragraph" w:styleId="a8">
    <w:name w:val="annotation subject"/>
    <w:basedOn w:val="a3"/>
    <w:next w:val="a3"/>
    <w:link w:val="Char4"/>
    <w:uiPriority w:val="99"/>
    <w:semiHidden/>
    <w:unhideWhenUsed/>
    <w:qFormat/>
    <w:rPr>
      <w:b/>
      <w:bCs/>
    </w:rPr>
  </w:style>
  <w:style w:type="character" w:styleId="a9">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0">
    <w:name w:val="批注框文本 Char"/>
    <w:basedOn w:val="a0"/>
    <w:link w:val="a4"/>
    <w:uiPriority w:val="99"/>
    <w:semiHidden/>
    <w:qFormat/>
    <w:rPr>
      <w:rFonts w:ascii="Calibri" w:eastAsia="宋体" w:hAnsi="Calibri" w:cs="Times New Roman"/>
      <w:sz w:val="18"/>
      <w:szCs w:val="18"/>
    </w:rPr>
  </w:style>
  <w:style w:type="character" w:customStyle="1" w:styleId="Char">
    <w:name w:val="批注文字 Char"/>
    <w:basedOn w:val="a0"/>
    <w:link w:val="a3"/>
    <w:uiPriority w:val="99"/>
    <w:semiHidden/>
    <w:qFormat/>
    <w:rPr>
      <w:rFonts w:ascii="Calibri" w:eastAsia="宋体" w:hAnsi="Calibri" w:cs="Times New Roman"/>
    </w:rPr>
  </w:style>
  <w:style w:type="character" w:customStyle="1" w:styleId="Char4">
    <w:name w:val="批注主题 Char"/>
    <w:basedOn w:val="Char"/>
    <w:link w:val="a8"/>
    <w:uiPriority w:val="99"/>
    <w:semiHidden/>
    <w:qFormat/>
    <w:rPr>
      <w:rFonts w:ascii="Calibri" w:eastAsia="宋体" w:hAnsi="Calibri" w:cs="Times New Roman"/>
      <w:b/>
      <w:bCs/>
    </w:rPr>
  </w:style>
  <w:style w:type="character" w:customStyle="1" w:styleId="Char3">
    <w:name w:val="标题 Char"/>
    <w:basedOn w:val="a0"/>
    <w:link w:val="a7"/>
    <w:uiPriority w:val="10"/>
    <w:qFormat/>
    <w:rPr>
      <w:rFonts w:asciiTheme="majorHAnsi" w:eastAsia="宋体" w:hAnsiTheme="majorHAnsi" w:cstheme="majorBidi"/>
      <w:b/>
      <w:bCs/>
      <w:sz w:val="32"/>
      <w:szCs w:val="32"/>
    </w:rPr>
  </w:style>
  <w:style w:type="paragraph" w:styleId="aa">
    <w:name w:val="List Paragraph"/>
    <w:basedOn w:val="a"/>
    <w:uiPriority w:val="34"/>
    <w:qFormat/>
    <w:pPr>
      <w:ind w:firstLineChars="200" w:firstLine="420"/>
    </w:pPr>
    <w:rPr>
      <w:rFonts w:asciiTheme="minorHAnsi" w:eastAsiaTheme="minorEastAsia" w:hAnsiTheme="minorHAnsi" w:cstheme="minorBidi"/>
    </w:rPr>
  </w:style>
  <w:style w:type="character" w:customStyle="1" w:styleId="2Char">
    <w:name w:val="标题 2 Char"/>
    <w:basedOn w:val="a0"/>
    <w:link w:val="2"/>
    <w:uiPriority w:val="9"/>
    <w:qFormat/>
    <w:rPr>
      <w:rFonts w:ascii="宋体" w:eastAsia="宋体" w:hAnsi="宋体" w:cs="宋体"/>
      <w:b/>
      <w:bCs/>
      <w:kern w:val="0"/>
      <w:sz w:val="36"/>
      <w:szCs w:val="36"/>
    </w:rPr>
  </w:style>
  <w:style w:type="paragraph" w:customStyle="1" w:styleId="1">
    <w:name w:val="修订1"/>
    <w:hidden/>
    <w:uiPriority w:val="99"/>
    <w:semiHidden/>
    <w:rPr>
      <w:rFonts w:ascii="Calibri" w:hAnsi="Calibri"/>
      <w:kern w:val="2"/>
      <w:sz w:val="21"/>
      <w:szCs w:val="22"/>
    </w:rPr>
  </w:style>
  <w:style w:type="paragraph" w:styleId="ab">
    <w:name w:val="Revision"/>
    <w:hidden/>
    <w:uiPriority w:val="99"/>
    <w:semiHidden/>
    <w:rsid w:val="00774744"/>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55AC3D-93A3-4F7C-BB0D-61EB771D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192</Words>
  <Characters>1098</Characters>
  <Application>Microsoft Office Word</Application>
  <DocSecurity>0</DocSecurity>
  <Lines>9</Lines>
  <Paragraphs>2</Paragraphs>
  <ScaleCrop>false</ScaleCrop>
  <Company>P R C</Company>
  <LinksUpToDate>false</LinksUpToDate>
  <CharactersWithSpaces>1288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zongp</dc:creator>
  <cp:lastModifiedBy>张博洋</cp:lastModifiedBy>
  <cp:revision>7</cp:revision>
  <dcterms:created xsi:type="dcterms:W3CDTF">2025-09-26T01:33:00Z</dcterms:created>
  <dcterms:modified xsi:type="dcterms:W3CDTF">2025-10-10T02:59:00Z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D470B41BA8EE4811995DCE4CF23FF79A_13</vt:lpwstr>
  </property>
  <property fmtid="{D5CDD505-2E9C-101B-9397-08002B2CF9AE}" pid="4" name="KSOTemplateDocerSaveRecord">
    <vt:lpwstr>eyJoZGlkIjoiZjJiYzRjZDg4ODIxMmZkMzVjYzYxNzIzMDEwYjJjY2IiLCJ1c2VySWQiOiI0MzAyNjk4NjYifQ==</vt:lpwstr>
  </property>
</Properties>
</file>