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D1" w:rsidRPr="001D4279" w:rsidRDefault="00A64BD1" w:rsidP="001D4279">
      <w:pPr>
        <w:pStyle w:val="2"/>
        <w:jc w:val="center"/>
      </w:pPr>
      <w:r w:rsidRPr="00A64BD1">
        <w:rPr>
          <w:rFonts w:hint="eastAsia"/>
        </w:rPr>
        <w:t>基金产品风险等级划分规则说明</w:t>
      </w:r>
    </w:p>
    <w:p w:rsidR="00A64BD1" w:rsidRDefault="00A64BD1" w:rsidP="00E07AB9">
      <w:pPr>
        <w:spacing w:line="360" w:lineRule="auto"/>
        <w:ind w:firstLineChars="200" w:firstLine="420"/>
        <w:jc w:val="left"/>
      </w:pPr>
      <w:r w:rsidRPr="00A64BD1">
        <w:rPr>
          <w:rFonts w:hint="eastAsia"/>
        </w:rPr>
        <w:t>根据《证券期货投资者适当性管理办法》及《基金募集机构投资者适当性管理实施指引（试行）》等相关规定，我公司在综合参考产品类型、投资方向和投资范围、流动性、到期时限、结构复杂性、募集方式等因素的基础上，对产品风险等级依照其风险水平由低至高依次分为五个等级：</w:t>
      </w:r>
      <w:r w:rsidR="0040598B" w:rsidRPr="00A64BD1">
        <w:rPr>
          <w:rFonts w:hint="eastAsia"/>
        </w:rPr>
        <w:t>R1</w:t>
      </w:r>
      <w:r w:rsidRPr="00A64BD1">
        <w:rPr>
          <w:rFonts w:hint="eastAsia"/>
        </w:rPr>
        <w:t>、</w:t>
      </w:r>
      <w:r w:rsidR="0040598B" w:rsidRPr="00A64BD1">
        <w:rPr>
          <w:rFonts w:hint="eastAsia"/>
        </w:rPr>
        <w:t>R2</w:t>
      </w:r>
      <w:r w:rsidR="0040598B">
        <w:rPr>
          <w:rFonts w:hint="eastAsia"/>
        </w:rPr>
        <w:t>、</w:t>
      </w:r>
      <w:r w:rsidRPr="00A64BD1">
        <w:rPr>
          <w:rFonts w:hint="eastAsia"/>
        </w:rPr>
        <w:t>R3</w:t>
      </w:r>
      <w:r w:rsidR="0040598B">
        <w:rPr>
          <w:rFonts w:hint="eastAsia"/>
        </w:rPr>
        <w:t>、</w:t>
      </w:r>
      <w:r w:rsidRPr="00A64BD1">
        <w:rPr>
          <w:rFonts w:hint="eastAsia"/>
        </w:rPr>
        <w:t>R4</w:t>
      </w:r>
      <w:r w:rsidR="0040598B">
        <w:rPr>
          <w:rFonts w:hint="eastAsia"/>
        </w:rPr>
        <w:t>、</w:t>
      </w:r>
      <w:r w:rsidRPr="00A64BD1">
        <w:rPr>
          <w:rFonts w:hint="eastAsia"/>
        </w:rPr>
        <w:t>R5</w:t>
      </w:r>
      <w:r w:rsidRPr="00A64BD1">
        <w:rPr>
          <w:rFonts w:hint="eastAsia"/>
        </w:rPr>
        <w:t>。</w:t>
      </w:r>
    </w:p>
    <w:p w:rsidR="00A64BD1" w:rsidRDefault="00A64BD1" w:rsidP="00E07AB9">
      <w:pPr>
        <w:spacing w:line="360" w:lineRule="auto"/>
        <w:ind w:firstLineChars="200" w:firstLine="420"/>
        <w:jc w:val="left"/>
      </w:pPr>
      <w:r>
        <w:rPr>
          <w:rFonts w:hint="eastAsia"/>
        </w:rPr>
        <w:t>基金产品风险分级</w:t>
      </w:r>
      <w:r w:rsidR="00B45719">
        <w:rPr>
          <w:rFonts w:hint="eastAsia"/>
        </w:rPr>
        <w:t>具体</w:t>
      </w:r>
      <w:r>
        <w:rPr>
          <w:rFonts w:hint="eastAsia"/>
        </w:rPr>
        <w:t>评分</w:t>
      </w:r>
      <w:r w:rsidR="00B45719">
        <w:rPr>
          <w:rFonts w:hint="eastAsia"/>
        </w:rPr>
        <w:t>指标</w:t>
      </w:r>
      <w:r>
        <w:rPr>
          <w:rFonts w:hint="eastAsia"/>
        </w:rPr>
        <w:t>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6379"/>
      </w:tblGrid>
      <w:tr w:rsidR="00B45719" w:rsidRPr="00B45719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产品基本情况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是否新发基金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是否为公开募集方式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发行成立规模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认、申购起点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业绩比较基准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托管行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风险准备金制度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公司注册资本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具体评价指标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基金类型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投资方向及投资范围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基金开放情况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投资最低金额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公司成立时间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人员稳定性（包括公司高管、基金经理、股东、投研团队等）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公司治理结构、公司内控体等是否健全（公司ISAE3402）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kern w:val="0"/>
                <w:szCs w:val="21"/>
              </w:rPr>
              <w:t>是否存在基金估值政策、程序和定价模式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基金管理人信用状况例如近三年是否受到监管处罚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产品结构复杂度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波动性风险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kern w:val="0"/>
                <w:szCs w:val="21"/>
              </w:rPr>
              <w:t>基金的股票持仓比例（以季报投资股票情况为依据）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产品的流动性（存续产品）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持有债券到期时限（存续产品）</w:t>
            </w:r>
          </w:p>
        </w:tc>
      </w:tr>
      <w:tr w:rsidR="00B45719" w:rsidRPr="00B45719" w:rsidTr="00B45719">
        <w:trPr>
          <w:trHeight w:hRule="exact" w:val="7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杠杆情况（总资产占净资产比例，如为新发基金则以基金合同为依据）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基金公司的历史规模</w:t>
            </w:r>
          </w:p>
        </w:tc>
      </w:tr>
      <w:tr w:rsidR="00B45719" w:rsidRPr="00B45719" w:rsidTr="00B45719">
        <w:trPr>
          <w:trHeight w:hRule="exact"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基金过往业绩及净值历史波动程度（过去三个月排名情况，银河数据来源。新基金按公司同类基金平均排名）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B45719" w:rsidP="00B457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6C3646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低风险等级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）：分值低于20分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6C3646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中低风险等级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）：分值介于21-24分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6C3646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中风险等级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）：分值介于25—28分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6C3646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中高风险等级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）：分值介于29—35分</w:t>
            </w:r>
          </w:p>
        </w:tc>
      </w:tr>
      <w:tr w:rsidR="00B45719" w:rsidRPr="00B45719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B45719" w:rsidRDefault="00B45719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B45719" w:rsidRDefault="006C3646" w:rsidP="00B457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高风险等级</w:t>
            </w:r>
            <w:r w:rsidR="00B45719" w:rsidRPr="00B4571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）：分值高于35分</w:t>
            </w:r>
          </w:p>
        </w:tc>
      </w:tr>
    </w:tbl>
    <w:p w:rsidR="00B45719" w:rsidRPr="00B45719" w:rsidRDefault="00B45719" w:rsidP="00B45719">
      <w:pPr>
        <w:jc w:val="left"/>
      </w:pPr>
    </w:p>
    <w:p w:rsidR="00204A05" w:rsidRDefault="00B15DF6" w:rsidP="00E07AB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微软雅黑" w:hAnsi="微软雅黑" w:hint="eastAsia"/>
          <w:color w:val="000000"/>
          <w:sz w:val="21"/>
          <w:szCs w:val="21"/>
        </w:rPr>
      </w:pPr>
      <w:r w:rsidRPr="00B15DF6">
        <w:rPr>
          <w:rFonts w:ascii="微软雅黑" w:hAnsi="微软雅黑"/>
          <w:color w:val="000000"/>
          <w:sz w:val="21"/>
          <w:szCs w:val="21"/>
        </w:rPr>
        <w:t>如果相关法律法规规则要求或实际情况需要等，需增加或减少基金产品风险</w:t>
      </w:r>
      <w:r w:rsidR="00204A05">
        <w:rPr>
          <w:rFonts w:ascii="微软雅黑" w:hAnsi="微软雅黑" w:hint="eastAsia"/>
          <w:color w:val="000000"/>
          <w:sz w:val="21"/>
          <w:szCs w:val="21"/>
        </w:rPr>
        <w:t>评价具体项目</w:t>
      </w:r>
      <w:r w:rsidRPr="00B15DF6">
        <w:rPr>
          <w:rFonts w:ascii="微软雅黑" w:hAnsi="微软雅黑"/>
          <w:color w:val="000000"/>
          <w:sz w:val="21"/>
          <w:szCs w:val="21"/>
        </w:rPr>
        <w:t>的，我公司可对上述</w:t>
      </w:r>
      <w:r w:rsidR="00204A05">
        <w:rPr>
          <w:rFonts w:ascii="微软雅黑" w:hAnsi="微软雅黑" w:hint="eastAsia"/>
          <w:color w:val="000000"/>
          <w:sz w:val="21"/>
          <w:szCs w:val="21"/>
        </w:rPr>
        <w:t>评价方法进行</w:t>
      </w:r>
      <w:r w:rsidR="00204A05">
        <w:rPr>
          <w:rFonts w:ascii="微软雅黑" w:hAnsi="微软雅黑"/>
          <w:color w:val="000000"/>
          <w:sz w:val="21"/>
          <w:szCs w:val="21"/>
        </w:rPr>
        <w:t>适当的</w:t>
      </w:r>
      <w:r w:rsidR="00204A05">
        <w:rPr>
          <w:rFonts w:ascii="微软雅黑" w:hAnsi="微软雅黑" w:hint="eastAsia"/>
          <w:color w:val="000000"/>
          <w:sz w:val="21"/>
          <w:szCs w:val="21"/>
        </w:rPr>
        <w:t>修改与完善</w:t>
      </w:r>
      <w:r w:rsidRPr="00B15DF6">
        <w:rPr>
          <w:rFonts w:ascii="微软雅黑" w:hAnsi="微软雅黑"/>
          <w:color w:val="000000"/>
          <w:sz w:val="21"/>
          <w:szCs w:val="21"/>
        </w:rPr>
        <w:t>。</w:t>
      </w:r>
      <w:r w:rsidR="00204A05">
        <w:rPr>
          <w:rFonts w:ascii="微软雅黑" w:hAnsi="微软雅黑" w:hint="eastAsia"/>
          <w:color w:val="000000"/>
          <w:sz w:val="21"/>
          <w:szCs w:val="21"/>
        </w:rPr>
        <w:t>我公司对旗下产品的风险等级进行动态的跟踪评价。</w:t>
      </w:r>
    </w:p>
    <w:p w:rsidR="00E07AB9" w:rsidRDefault="00E07AB9" w:rsidP="00E07AB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微软雅黑" w:hAnsi="微软雅黑" w:hint="eastAsia"/>
          <w:color w:val="808080"/>
          <w:sz w:val="21"/>
          <w:szCs w:val="21"/>
        </w:rPr>
      </w:pPr>
    </w:p>
    <w:p w:rsidR="00857786" w:rsidRPr="00857786" w:rsidRDefault="00E07AB9" w:rsidP="008F5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附</w:t>
      </w:r>
      <w:r w:rsidR="00B15DF6" w:rsidRPr="00B15DF6">
        <w:rPr>
          <w:rFonts w:hint="eastAsia"/>
          <w:color w:val="000000"/>
          <w:sz w:val="21"/>
          <w:szCs w:val="21"/>
        </w:rPr>
        <w:t>：</w:t>
      </w:r>
      <w:r w:rsidR="00204A05">
        <w:rPr>
          <w:rFonts w:hint="eastAsia"/>
          <w:color w:val="000000"/>
          <w:sz w:val="21"/>
          <w:szCs w:val="21"/>
        </w:rPr>
        <w:t>华商基金旗下产品风险等级划分明细表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969"/>
        <w:gridCol w:w="2268"/>
      </w:tblGrid>
      <w:tr w:rsidR="00ED2401" w:rsidRPr="00243BF9" w:rsidTr="00ED2401">
        <w:trPr>
          <w:trHeight w:val="27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b/>
                <w:bCs/>
                <w:color w:val="393939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b/>
                <w:bCs/>
                <w:color w:val="393939"/>
                <w:kern w:val="0"/>
                <w:sz w:val="18"/>
                <w:szCs w:val="18"/>
              </w:rPr>
              <w:t>风险评级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000279|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华商红利优选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007853|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华商计算机行业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量化股票发起式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008009|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华商高端装备制造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股票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001449|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华商双驱优选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008107|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华商医药医疗行业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股票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008488|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华商恒益稳健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008555|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华商龙头优势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000541|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华商创新成长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灵活配置混合发起式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008721|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华商鸿益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一年定期开放债券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008961|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华商科技创新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010293|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华商量化优质精选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002924|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华商瑞鑫定</w:t>
            </w:r>
            <w:r>
              <w:rPr>
                <w:rFonts w:ascii="Verdana" w:eastAsia="宋体" w:hAnsi="Verdana" w:cs="宋体" w:hint="eastAsia"/>
                <w:color w:val="393939"/>
                <w:kern w:val="0"/>
                <w:sz w:val="18"/>
                <w:szCs w:val="18"/>
              </w:rPr>
              <w:t>期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开放债券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010403|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华商景气优选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010550|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华商双擎领航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010761|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华商甄选回报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001457|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华商新常态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010976|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华商鸿盈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87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个月定期开放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166301|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华商新趋势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优选灵活配置混合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华商领先企业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630002|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华商盛世成长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000609|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华商新量化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630005|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华商动态阿尔法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004189|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华商消费行业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股票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630006|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华商产业升级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630008|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华商策略精选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630010|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华商价值精选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630011|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华商主题精选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001723|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华商新动力混合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630015|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华商大盘量化精选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630016|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</w:t>
            </w:r>
            <w:r w:rsidRPr="00934CF7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价值共享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000463/000481|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华商双债丰利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R4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lastRenderedPageBreak/>
              <w:t>001751/001752|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华商信用增强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4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B94073" w:rsidRDefault="00ED2401" w:rsidP="006A4AA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94073">
              <w:rPr>
                <w:rFonts w:ascii="Verdana" w:eastAsia="宋体" w:hAnsi="Verdana" w:cs="宋体"/>
                <w:kern w:val="0"/>
                <w:sz w:val="18"/>
                <w:szCs w:val="18"/>
              </w:rPr>
              <w:t>003092/003093|</w:t>
            </w:r>
            <w:r w:rsidRPr="00B94073">
              <w:rPr>
                <w:rFonts w:ascii="Verdana" w:eastAsia="宋体" w:hAnsi="Verdana" w:cs="宋体"/>
                <w:kern w:val="0"/>
                <w:sz w:val="18"/>
                <w:szCs w:val="18"/>
              </w:rPr>
              <w:t>华商丰利增强定期开放债券</w:t>
            </w:r>
            <w:r w:rsidRPr="00B94073">
              <w:rPr>
                <w:rFonts w:ascii="Verdana" w:eastAsia="宋体" w:hAnsi="Verdana" w:cs="宋体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B94073" w:rsidRDefault="00ED2401" w:rsidP="00A56509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94073">
              <w:rPr>
                <w:rFonts w:ascii="Verdana" w:eastAsia="宋体" w:hAnsi="Verdana" w:cs="宋体"/>
                <w:kern w:val="0"/>
                <w:sz w:val="18"/>
                <w:szCs w:val="18"/>
              </w:rPr>
              <w:t>R</w:t>
            </w:r>
            <w:r w:rsidRPr="00B94073"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000390|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华商优势行业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000654|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华商新锐产业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003403/007210|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华商瑞丰短债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003598/007509|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华商润丰灵活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配置混合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005273/005284|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华商可转债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007683/007684|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华商转债精选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001822|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华商智能生活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6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008489/008490|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华商鸿畅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39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个月</w:t>
            </w:r>
            <w:r>
              <w:rPr>
                <w:rFonts w:ascii="Verdana" w:eastAsia="宋体" w:hAnsi="Verdana" w:cs="宋体" w:hint="eastAsia"/>
                <w:color w:val="393939"/>
                <w:kern w:val="0"/>
                <w:sz w:val="18"/>
                <w:szCs w:val="18"/>
              </w:rPr>
              <w:t>定期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开放利率债债券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630003/630103|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华商收益增强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630007/630107|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华商稳健双利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630009/630109|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华商稳定增利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债券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R2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004206|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华商元亨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630012/630112|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华商现金增利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货币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R1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000800|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华商未来主题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001106|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华商健康生活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001143|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华商量化进取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001448|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华商双翼平衡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001933|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华商新兴活力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001959|</w:t>
            </w:r>
            <w:r w:rsidR="007A07B7">
              <w:rPr>
                <w:rFonts w:ascii="Verdana" w:eastAsia="宋体" w:hAnsi="Verdana" w:cs="宋体" w:hint="eastAsia"/>
                <w:color w:val="393939"/>
                <w:kern w:val="0"/>
                <w:sz w:val="18"/>
                <w:szCs w:val="18"/>
              </w:rPr>
              <w:t>013142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华商乐享互联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  <w:r w:rsidR="00B94073"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002289|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华商改革创新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股票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002669|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华商万众创新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004423|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华商研究精选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004895|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华商鑫安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灵活配置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005161|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华商上游产业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股票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007685|</w:t>
            </w: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华商电子行业</w:t>
            </w:r>
            <w:r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量化股票发起式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243BF9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6C49FD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011369/011370|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华商均衡成长混合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6C49FD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RPr="00243BF9" w:rsidTr="00ED2401">
        <w:trPr>
          <w:trHeight w:val="2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F95CDE" w:rsidRDefault="00ED2401" w:rsidP="000C18E8">
            <w:pPr>
              <w:widowControl/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012056|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华商嘉悦平衡养老三年持有混合发起式（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FOF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01" w:rsidRPr="00243BF9" w:rsidRDefault="00ED2401" w:rsidP="000C18E8">
            <w:pPr>
              <w:widowControl/>
              <w:jc w:val="center"/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</w:pPr>
            <w:r w:rsidRPr="00243BF9">
              <w:rPr>
                <w:rFonts w:ascii="Verdana" w:eastAsia="宋体" w:hAnsi="Verdana" w:cs="宋体"/>
                <w:color w:val="393939"/>
                <w:kern w:val="0"/>
                <w:sz w:val="18"/>
                <w:szCs w:val="18"/>
              </w:rPr>
              <w:t>R3</w:t>
            </w:r>
          </w:p>
        </w:tc>
      </w:tr>
      <w:tr w:rsidR="00ED2401" w:rsidTr="00ED2401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401" w:rsidRDefault="00ED2401">
            <w:pPr>
              <w:jc w:val="center"/>
              <w:rPr>
                <w:rFonts w:ascii="Verdana" w:eastAsia="宋体" w:hAnsi="Verdana" w:cs="Calibri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011371/011372|</w:t>
            </w:r>
            <w:r w:rsidR="00BA6AAB">
              <w:rPr>
                <w:rFonts w:ascii="Verdana" w:hAnsi="Verdana"/>
                <w:color w:val="393939"/>
                <w:sz w:val="18"/>
                <w:szCs w:val="18"/>
              </w:rPr>
              <w:t>华商</w:t>
            </w:r>
            <w:r>
              <w:rPr>
                <w:rFonts w:ascii="Verdana" w:hAnsi="Verdana" w:hint="eastAsia"/>
                <w:color w:val="393939"/>
                <w:sz w:val="18"/>
                <w:szCs w:val="18"/>
              </w:rPr>
              <w:t>远见价值</w:t>
            </w:r>
            <w:r w:rsidR="00BA6AAB">
              <w:rPr>
                <w:rFonts w:ascii="Verdana" w:hAnsi="Verdana" w:hint="eastAsia"/>
                <w:color w:val="393939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401" w:rsidRDefault="00ED2401">
            <w:pPr>
              <w:jc w:val="center"/>
              <w:rPr>
                <w:rFonts w:ascii="Verdana" w:eastAsia="宋体" w:hAnsi="Verdana" w:cs="Calibri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ED2401" w:rsidTr="00ED2401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401" w:rsidRDefault="00ED2401">
            <w:pPr>
              <w:jc w:val="center"/>
              <w:rPr>
                <w:rFonts w:ascii="Verdana" w:eastAsia="宋体" w:hAnsi="Verdana" w:cs="Calibri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012056|</w:t>
            </w:r>
            <w:r>
              <w:rPr>
                <w:rFonts w:ascii="Verdana" w:hAnsi="Verdana" w:hint="eastAsia"/>
                <w:color w:val="393939"/>
                <w:sz w:val="18"/>
                <w:szCs w:val="18"/>
              </w:rPr>
              <w:t>华商嘉悦平衡养老目标三年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401" w:rsidRDefault="00ED2401">
            <w:pPr>
              <w:jc w:val="center"/>
              <w:rPr>
                <w:rFonts w:ascii="Verdana" w:eastAsia="宋体" w:hAnsi="Verdana" w:cs="Calibri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ED2401" w:rsidTr="00ED2401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401" w:rsidRDefault="00ED2401">
            <w:pPr>
              <w:jc w:val="center"/>
              <w:rPr>
                <w:rFonts w:ascii="Verdana" w:eastAsia="宋体" w:hAnsi="Verdana" w:cs="Calibri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012491/012492|</w:t>
            </w:r>
            <w:r>
              <w:rPr>
                <w:rFonts w:ascii="Verdana" w:hAnsi="Verdana" w:hint="eastAsia"/>
                <w:color w:val="393939"/>
                <w:sz w:val="18"/>
                <w:szCs w:val="18"/>
              </w:rPr>
              <w:t>华商核心引力</w:t>
            </w:r>
            <w:r w:rsidR="00BA6AAB">
              <w:rPr>
                <w:rFonts w:ascii="Verdana" w:hAnsi="Verdana" w:hint="eastAsia"/>
                <w:color w:val="393939"/>
                <w:sz w:val="18"/>
                <w:szCs w:val="18"/>
              </w:rPr>
              <w:t>混合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401" w:rsidRDefault="00ED2401">
            <w:pPr>
              <w:jc w:val="center"/>
              <w:rPr>
                <w:rFonts w:ascii="Verdana" w:eastAsia="宋体" w:hAnsi="Verdana" w:cs="Calibri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C827F8" w:rsidTr="00C827F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F8" w:rsidRPr="00C827F8" w:rsidRDefault="00C827F8" w:rsidP="000E226F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013192|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华商嘉悦稳健养老目标一年持有混合发起式（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FOF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7F8" w:rsidRPr="00C827F8" w:rsidRDefault="00C827F8" w:rsidP="000E226F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  <w:bookmarkStart w:id="0" w:name="_GoBack"/>
        <w:bookmarkEnd w:id="0"/>
      </w:tr>
      <w:tr w:rsidR="00AB492B" w:rsidRPr="00C827F8" w:rsidTr="00AB492B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92B" w:rsidRPr="00AB492B" w:rsidRDefault="00AB492B" w:rsidP="003770F4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013088|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华商嘉逸养老目标日期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2040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三年持有期混合型发起式（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FOF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92B" w:rsidRPr="00C827F8" w:rsidRDefault="00AB492B" w:rsidP="002D55A4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FC353A" w:rsidRPr="00C827F8" w:rsidTr="00FC353A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3A" w:rsidRPr="00AB492B" w:rsidRDefault="00FC353A" w:rsidP="00FC353A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013886/013887|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华商新能源汽车混合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3A" w:rsidRPr="00C827F8" w:rsidRDefault="00FC353A" w:rsidP="001461EE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6239CB" w:rsidRPr="00C827F8" w:rsidTr="006239CB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CB" w:rsidRPr="00AB492B" w:rsidRDefault="006239CB" w:rsidP="0096311F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013193/013194|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华商稳健添利一年持有混合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9CB" w:rsidRPr="00C827F8" w:rsidRDefault="006239CB" w:rsidP="0096311F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33165D" w:rsidRPr="00C827F8" w:rsidTr="003316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65D" w:rsidRPr="00AB492B" w:rsidRDefault="0033165D" w:rsidP="00FE269B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393939"/>
                <w:sz w:val="18"/>
                <w:szCs w:val="18"/>
              </w:rPr>
              <w:t>013956/013957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|</w:t>
            </w:r>
            <w:r w:rsidRPr="0033165D">
              <w:rPr>
                <w:rFonts w:ascii="Verdana" w:hAnsi="Verdana" w:cs="Arial" w:hint="eastAsia"/>
                <w:color w:val="393939"/>
                <w:sz w:val="18"/>
                <w:szCs w:val="18"/>
              </w:rPr>
              <w:t>华商医药消费精选</w:t>
            </w:r>
            <w:r>
              <w:rPr>
                <w:rFonts w:ascii="Verdana" w:hAnsi="Verdana" w:cs="Arial" w:hint="eastAsia"/>
                <w:color w:val="393939"/>
                <w:sz w:val="18"/>
                <w:szCs w:val="18"/>
              </w:rPr>
              <w:t>混合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65D" w:rsidRPr="00C827F8" w:rsidRDefault="0033165D" w:rsidP="00FE269B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E831E7" w:rsidRPr="00C827F8" w:rsidTr="00E831E7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1E7" w:rsidRPr="00AB492B" w:rsidRDefault="00E831E7" w:rsidP="00D437B2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014350/014351|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华商卓越成长一年持有期混合型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1E7" w:rsidRPr="00C827F8" w:rsidRDefault="00E831E7" w:rsidP="00D437B2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3B6459" w:rsidRPr="00C827F8" w:rsidTr="003B6459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459" w:rsidRPr="00AB492B" w:rsidRDefault="003B6459" w:rsidP="00C02D0F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014267/014268|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华商竞争力优选混合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459" w:rsidRPr="00C827F8" w:rsidRDefault="003B6459" w:rsidP="00C02D0F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705A08" w:rsidRPr="00C827F8" w:rsidTr="00705A0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08" w:rsidRPr="00AB492B" w:rsidRDefault="00705A08" w:rsidP="00286C87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014077/014078|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华商稳健汇利一年持有期混合型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A08" w:rsidRPr="00C827F8" w:rsidRDefault="00705A08" w:rsidP="00286C87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  <w:tr w:rsidR="005B51DA" w:rsidRPr="00C827F8" w:rsidTr="005B51DA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1DA" w:rsidRPr="00AB492B" w:rsidRDefault="005B51DA" w:rsidP="005602FA">
            <w:pPr>
              <w:jc w:val="center"/>
              <w:rPr>
                <w:rFonts w:ascii="Verdana" w:hAnsi="Verdana" w:cs="Arial"/>
                <w:color w:val="393939"/>
                <w:sz w:val="18"/>
                <w:szCs w:val="18"/>
              </w:rPr>
            </w:pPr>
            <w:r>
              <w:rPr>
                <w:rFonts w:ascii="Verdana" w:hAnsi="Verdana" w:cs="Arial"/>
                <w:color w:val="393939"/>
                <w:sz w:val="18"/>
                <w:szCs w:val="18"/>
              </w:rPr>
              <w:t>013958/013959|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华商鑫选回报一年持有期混合型</w:t>
            </w:r>
            <w:r>
              <w:rPr>
                <w:rFonts w:ascii="Verdana" w:hAnsi="Verdana" w:cs="Arial"/>
                <w:color w:val="393939"/>
                <w:sz w:val="18"/>
                <w:szCs w:val="18"/>
              </w:rPr>
              <w:t>A/C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1DA" w:rsidRPr="00C827F8" w:rsidRDefault="005B51DA" w:rsidP="005602FA">
            <w:pPr>
              <w:jc w:val="center"/>
              <w:rPr>
                <w:rFonts w:ascii="Verdana" w:hAnsi="Verdana"/>
                <w:color w:val="393939"/>
                <w:sz w:val="18"/>
                <w:szCs w:val="18"/>
              </w:rPr>
            </w:pPr>
            <w:r>
              <w:rPr>
                <w:rFonts w:ascii="Verdana" w:hAnsi="Verdana"/>
                <w:color w:val="393939"/>
                <w:sz w:val="18"/>
                <w:szCs w:val="18"/>
              </w:rPr>
              <w:t>R3</w:t>
            </w:r>
          </w:p>
        </w:tc>
      </w:tr>
    </w:tbl>
    <w:p w:rsidR="00946D28" w:rsidRDefault="00946D28" w:rsidP="00D76947">
      <w:pPr>
        <w:pStyle w:val="a3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</w:p>
    <w:sectPr w:rsidR="00946D28" w:rsidSect="00B1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C4" w:rsidRDefault="00F27EC4" w:rsidP="00B45719">
      <w:r>
        <w:separator/>
      </w:r>
    </w:p>
  </w:endnote>
  <w:endnote w:type="continuationSeparator" w:id="0">
    <w:p w:rsidR="00F27EC4" w:rsidRDefault="00F27EC4" w:rsidP="00B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C4" w:rsidRDefault="00F27EC4" w:rsidP="00B45719">
      <w:r>
        <w:separator/>
      </w:r>
    </w:p>
  </w:footnote>
  <w:footnote w:type="continuationSeparator" w:id="0">
    <w:p w:rsidR="00F27EC4" w:rsidRDefault="00F27EC4" w:rsidP="00B4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4BD1"/>
    <w:rsid w:val="000043EE"/>
    <w:rsid w:val="000321F5"/>
    <w:rsid w:val="00041A1B"/>
    <w:rsid w:val="000715E7"/>
    <w:rsid w:val="000B5F42"/>
    <w:rsid w:val="000E0770"/>
    <w:rsid w:val="00161BB0"/>
    <w:rsid w:val="001928B0"/>
    <w:rsid w:val="00195491"/>
    <w:rsid w:val="001D4279"/>
    <w:rsid w:val="00204A05"/>
    <w:rsid w:val="00215C87"/>
    <w:rsid w:val="00243BF9"/>
    <w:rsid w:val="0025105E"/>
    <w:rsid w:val="00261DED"/>
    <w:rsid w:val="00271CCF"/>
    <w:rsid w:val="00280D38"/>
    <w:rsid w:val="00286BC2"/>
    <w:rsid w:val="00294C41"/>
    <w:rsid w:val="002C0C99"/>
    <w:rsid w:val="00315610"/>
    <w:rsid w:val="003314B5"/>
    <w:rsid w:val="0033165D"/>
    <w:rsid w:val="003770F4"/>
    <w:rsid w:val="003944C7"/>
    <w:rsid w:val="003B6459"/>
    <w:rsid w:val="003C7C18"/>
    <w:rsid w:val="0040598B"/>
    <w:rsid w:val="00411414"/>
    <w:rsid w:val="00424469"/>
    <w:rsid w:val="00472137"/>
    <w:rsid w:val="0047297D"/>
    <w:rsid w:val="00475A0A"/>
    <w:rsid w:val="004B207C"/>
    <w:rsid w:val="004D7E9F"/>
    <w:rsid w:val="004E37E9"/>
    <w:rsid w:val="00507BFD"/>
    <w:rsid w:val="005172E9"/>
    <w:rsid w:val="00541BC6"/>
    <w:rsid w:val="005B51DA"/>
    <w:rsid w:val="005D1BE6"/>
    <w:rsid w:val="005D48FC"/>
    <w:rsid w:val="005E1F16"/>
    <w:rsid w:val="00615991"/>
    <w:rsid w:val="00621FC0"/>
    <w:rsid w:val="006239CB"/>
    <w:rsid w:val="00624D5A"/>
    <w:rsid w:val="00637A4B"/>
    <w:rsid w:val="006833DB"/>
    <w:rsid w:val="006A4AAE"/>
    <w:rsid w:val="006B5FC4"/>
    <w:rsid w:val="006C3646"/>
    <w:rsid w:val="006C5371"/>
    <w:rsid w:val="00705A08"/>
    <w:rsid w:val="0070777B"/>
    <w:rsid w:val="007A07B7"/>
    <w:rsid w:val="007A3FD3"/>
    <w:rsid w:val="007D0A4F"/>
    <w:rsid w:val="007F131E"/>
    <w:rsid w:val="00810A40"/>
    <w:rsid w:val="00811808"/>
    <w:rsid w:val="00824EC9"/>
    <w:rsid w:val="00857786"/>
    <w:rsid w:val="0086367D"/>
    <w:rsid w:val="0087147D"/>
    <w:rsid w:val="00871FCA"/>
    <w:rsid w:val="00896E23"/>
    <w:rsid w:val="008A70EF"/>
    <w:rsid w:val="008C2CAE"/>
    <w:rsid w:val="008F5EB5"/>
    <w:rsid w:val="00930B80"/>
    <w:rsid w:val="00934CF7"/>
    <w:rsid w:val="009423F7"/>
    <w:rsid w:val="009443DD"/>
    <w:rsid w:val="00946D28"/>
    <w:rsid w:val="009522E2"/>
    <w:rsid w:val="00953A08"/>
    <w:rsid w:val="00955E65"/>
    <w:rsid w:val="009663C1"/>
    <w:rsid w:val="00966F6A"/>
    <w:rsid w:val="009A05B1"/>
    <w:rsid w:val="009C19BD"/>
    <w:rsid w:val="009E1615"/>
    <w:rsid w:val="00A347EE"/>
    <w:rsid w:val="00A34D4D"/>
    <w:rsid w:val="00A51C26"/>
    <w:rsid w:val="00A56509"/>
    <w:rsid w:val="00A64BD1"/>
    <w:rsid w:val="00A946AB"/>
    <w:rsid w:val="00AB492B"/>
    <w:rsid w:val="00AF5DE9"/>
    <w:rsid w:val="00B06954"/>
    <w:rsid w:val="00B15DF6"/>
    <w:rsid w:val="00B32809"/>
    <w:rsid w:val="00B45719"/>
    <w:rsid w:val="00B562E4"/>
    <w:rsid w:val="00B630A3"/>
    <w:rsid w:val="00B77FF6"/>
    <w:rsid w:val="00B94073"/>
    <w:rsid w:val="00BA5999"/>
    <w:rsid w:val="00BA6AAB"/>
    <w:rsid w:val="00BB5039"/>
    <w:rsid w:val="00BE4711"/>
    <w:rsid w:val="00BE64AC"/>
    <w:rsid w:val="00BF1830"/>
    <w:rsid w:val="00C01237"/>
    <w:rsid w:val="00C22541"/>
    <w:rsid w:val="00C25D0D"/>
    <w:rsid w:val="00C328D9"/>
    <w:rsid w:val="00C827F8"/>
    <w:rsid w:val="00C82D71"/>
    <w:rsid w:val="00C957E2"/>
    <w:rsid w:val="00CB4A40"/>
    <w:rsid w:val="00CF1327"/>
    <w:rsid w:val="00CF7ED8"/>
    <w:rsid w:val="00D05797"/>
    <w:rsid w:val="00D158EB"/>
    <w:rsid w:val="00D15940"/>
    <w:rsid w:val="00D300A8"/>
    <w:rsid w:val="00D53056"/>
    <w:rsid w:val="00D6668D"/>
    <w:rsid w:val="00D70DE1"/>
    <w:rsid w:val="00D76947"/>
    <w:rsid w:val="00D933A6"/>
    <w:rsid w:val="00D94CC1"/>
    <w:rsid w:val="00DB6AA5"/>
    <w:rsid w:val="00DD2A69"/>
    <w:rsid w:val="00DF550C"/>
    <w:rsid w:val="00E04A80"/>
    <w:rsid w:val="00E07AB9"/>
    <w:rsid w:val="00E07B90"/>
    <w:rsid w:val="00E22482"/>
    <w:rsid w:val="00E37C0F"/>
    <w:rsid w:val="00E43B63"/>
    <w:rsid w:val="00E831E7"/>
    <w:rsid w:val="00EB3B05"/>
    <w:rsid w:val="00ED2401"/>
    <w:rsid w:val="00ED60FE"/>
    <w:rsid w:val="00EF168B"/>
    <w:rsid w:val="00F02BFD"/>
    <w:rsid w:val="00F27EC4"/>
    <w:rsid w:val="00F53A88"/>
    <w:rsid w:val="00F57D61"/>
    <w:rsid w:val="00F82C92"/>
    <w:rsid w:val="00F848B2"/>
    <w:rsid w:val="00F9057E"/>
    <w:rsid w:val="00F95CDE"/>
    <w:rsid w:val="00FA55AC"/>
    <w:rsid w:val="00FA761D"/>
    <w:rsid w:val="00FC14A5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AF483"/>
  <w15:docId w15:val="{67E8A729-75A2-4F41-BB48-C974F78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4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316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D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57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5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5719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778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857786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5778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rsid w:val="0085778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0">
    <w:name w:val="标题 2 字符"/>
    <w:basedOn w:val="a0"/>
    <w:link w:val="2"/>
    <w:uiPriority w:val="9"/>
    <w:rsid w:val="0033165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zhaott</dc:creator>
  <cp:lastModifiedBy>韩晓伟</cp:lastModifiedBy>
  <cp:revision>69</cp:revision>
  <dcterms:created xsi:type="dcterms:W3CDTF">2019-10-21T01:01:00Z</dcterms:created>
  <dcterms:modified xsi:type="dcterms:W3CDTF">2022-01-14T01:08:00Z</dcterms:modified>
</cp:coreProperties>
</file>