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0328E" w:rsidRDefault="00F0328E">
      <w:pPr>
        <w:tabs>
          <w:tab w:val="left" w:pos="6660"/>
        </w:tabs>
        <w:spacing w:line="360" w:lineRule="auto"/>
        <w:rPr>
          <w:rFonts w:ascii="宋体" w:hAnsi="宋体"/>
          <w:b/>
          <w:sz w:val="24"/>
        </w:rPr>
      </w:pPr>
      <w:bookmarkStart w:id="0" w:name="_GoBack"/>
      <w:bookmarkEnd w:id="0"/>
    </w:p>
    <w:p w:rsidR="00F0328E" w:rsidRDefault="00F0328E">
      <w:pPr>
        <w:spacing w:line="360" w:lineRule="auto"/>
        <w:rPr>
          <w:rFonts w:ascii="宋体" w:hAnsi="宋体"/>
          <w:b/>
          <w:sz w:val="24"/>
        </w:rPr>
      </w:pPr>
    </w:p>
    <w:p w:rsidR="00F0328E" w:rsidRDefault="00F0328E">
      <w:pPr>
        <w:widowControl/>
        <w:adjustRightInd w:val="0"/>
        <w:snapToGrid w:val="0"/>
        <w:spacing w:line="360" w:lineRule="auto"/>
        <w:ind w:firstLineChars="200" w:firstLine="480"/>
        <w:rPr>
          <w:rFonts w:ascii="宋体" w:hAnsi="宋体" w:cs="Arial"/>
          <w:color w:val="000000"/>
          <w:kern w:val="0"/>
          <w:sz w:val="24"/>
        </w:rPr>
      </w:pPr>
    </w:p>
    <w:p w:rsidR="00F0328E" w:rsidRDefault="00441AB8" w:rsidP="00CA2CDA">
      <w:pPr>
        <w:widowControl/>
        <w:adjustRightInd w:val="0"/>
        <w:snapToGrid w:val="0"/>
        <w:spacing w:line="360" w:lineRule="auto"/>
        <w:ind w:firstLineChars="200" w:firstLine="723"/>
        <w:jc w:val="center"/>
        <w:rPr>
          <w:rFonts w:ascii="宋体" w:hAnsi="宋体" w:cs="Arial"/>
          <w:color w:val="000000"/>
          <w:kern w:val="0"/>
          <w:sz w:val="36"/>
          <w:szCs w:val="36"/>
        </w:rPr>
      </w:pPr>
      <w:r>
        <w:rPr>
          <w:rFonts w:ascii="宋体" w:hAnsi="宋体" w:hint="eastAsia"/>
          <w:b/>
          <w:sz w:val="36"/>
          <w:szCs w:val="36"/>
        </w:rPr>
        <w:t>华商基金管理有限公司</w:t>
      </w:r>
    </w:p>
    <w:p w:rsidR="00F0328E" w:rsidRDefault="00F0328E">
      <w:pPr>
        <w:widowControl/>
        <w:adjustRightInd w:val="0"/>
        <w:snapToGrid w:val="0"/>
        <w:spacing w:line="360" w:lineRule="auto"/>
        <w:ind w:firstLineChars="200" w:firstLine="720"/>
        <w:jc w:val="center"/>
        <w:rPr>
          <w:rFonts w:ascii="宋体" w:hAnsi="宋体" w:cs="Arial"/>
          <w:color w:val="000000"/>
          <w:kern w:val="0"/>
          <w:sz w:val="36"/>
          <w:szCs w:val="36"/>
        </w:rPr>
      </w:pPr>
    </w:p>
    <w:p w:rsidR="00F0328E" w:rsidRPr="003770EA" w:rsidRDefault="00F0328E">
      <w:pPr>
        <w:widowControl/>
        <w:adjustRightInd w:val="0"/>
        <w:snapToGrid w:val="0"/>
        <w:spacing w:line="360" w:lineRule="auto"/>
        <w:ind w:firstLineChars="200" w:firstLine="720"/>
        <w:jc w:val="center"/>
        <w:rPr>
          <w:rFonts w:ascii="宋体" w:hAnsi="宋体" w:cs="Arial"/>
          <w:color w:val="000000"/>
          <w:kern w:val="0"/>
          <w:sz w:val="36"/>
          <w:szCs w:val="36"/>
        </w:rPr>
      </w:pPr>
    </w:p>
    <w:p w:rsidR="00F0328E" w:rsidRDefault="00441AB8">
      <w:pPr>
        <w:spacing w:line="360" w:lineRule="auto"/>
        <w:jc w:val="center"/>
        <w:rPr>
          <w:rFonts w:ascii="宋体" w:hAnsi="宋体"/>
          <w:b/>
          <w:sz w:val="36"/>
          <w:szCs w:val="36"/>
        </w:rPr>
      </w:pPr>
      <w:bookmarkStart w:id="1" w:name="_Toc270669851"/>
      <w:bookmarkStart w:id="2" w:name="_Toc10554386"/>
      <w:bookmarkStart w:id="3" w:name="_Toc15987771"/>
      <w:bookmarkStart w:id="4" w:name="_Toc10604959"/>
      <w:bookmarkStart w:id="5" w:name="_Toc225938616"/>
      <w:r>
        <w:rPr>
          <w:rFonts w:ascii="宋体" w:hAnsi="宋体" w:hint="eastAsia"/>
          <w:b/>
          <w:sz w:val="36"/>
          <w:szCs w:val="36"/>
        </w:rPr>
        <w:t>华商</w:t>
      </w:r>
      <w:r w:rsidR="001C1FCC">
        <w:rPr>
          <w:rFonts w:ascii="宋体" w:hAnsi="宋体" w:hint="eastAsia"/>
          <w:b/>
          <w:sz w:val="36"/>
          <w:szCs w:val="36"/>
        </w:rPr>
        <w:t>新能源汽车</w:t>
      </w:r>
      <w:r>
        <w:rPr>
          <w:rFonts w:ascii="宋体" w:hAnsi="宋体" w:hint="eastAsia"/>
          <w:b/>
          <w:sz w:val="36"/>
          <w:szCs w:val="36"/>
        </w:rPr>
        <w:t>混合型证券投资基金</w:t>
      </w:r>
    </w:p>
    <w:p w:rsidR="00F0328E" w:rsidRDefault="00441AB8">
      <w:pPr>
        <w:spacing w:line="360" w:lineRule="auto"/>
        <w:jc w:val="center"/>
        <w:rPr>
          <w:rFonts w:ascii="宋体" w:hAnsi="宋体"/>
          <w:b/>
          <w:sz w:val="36"/>
          <w:szCs w:val="36"/>
        </w:rPr>
      </w:pPr>
      <w:r>
        <w:rPr>
          <w:rFonts w:ascii="宋体" w:hAnsi="宋体"/>
          <w:b/>
          <w:sz w:val="36"/>
          <w:szCs w:val="36"/>
        </w:rPr>
        <w:t>托管协议</w:t>
      </w:r>
      <w:bookmarkEnd w:id="1"/>
      <w:bookmarkEnd w:id="2"/>
      <w:bookmarkEnd w:id="3"/>
      <w:bookmarkEnd w:id="4"/>
      <w:bookmarkEnd w:id="5"/>
    </w:p>
    <w:p w:rsidR="00F0328E" w:rsidRDefault="00F0328E">
      <w:pPr>
        <w:widowControl/>
        <w:adjustRightInd w:val="0"/>
        <w:snapToGrid w:val="0"/>
        <w:spacing w:line="360" w:lineRule="auto"/>
        <w:ind w:firstLineChars="200" w:firstLine="480"/>
        <w:rPr>
          <w:rFonts w:ascii="宋体" w:hAnsi="宋体" w:cs="Arial"/>
          <w:color w:val="000000"/>
          <w:kern w:val="0"/>
          <w:sz w:val="24"/>
        </w:rPr>
      </w:pPr>
    </w:p>
    <w:p w:rsidR="00F0328E" w:rsidRDefault="00F0328E">
      <w:pPr>
        <w:widowControl/>
        <w:adjustRightInd w:val="0"/>
        <w:snapToGrid w:val="0"/>
        <w:spacing w:line="360" w:lineRule="auto"/>
        <w:ind w:firstLineChars="200" w:firstLine="480"/>
        <w:rPr>
          <w:rFonts w:ascii="宋体" w:hAnsi="宋体" w:cs="Arial"/>
          <w:color w:val="000000"/>
          <w:kern w:val="0"/>
          <w:sz w:val="24"/>
        </w:rPr>
      </w:pPr>
    </w:p>
    <w:p w:rsidR="00F0328E" w:rsidRDefault="00F0328E">
      <w:pPr>
        <w:widowControl/>
        <w:adjustRightInd w:val="0"/>
        <w:snapToGrid w:val="0"/>
        <w:spacing w:line="360" w:lineRule="auto"/>
        <w:ind w:firstLineChars="200" w:firstLine="480"/>
        <w:rPr>
          <w:rFonts w:ascii="宋体" w:hAnsi="宋体" w:cs="Arial"/>
          <w:color w:val="000000"/>
          <w:kern w:val="0"/>
          <w:sz w:val="24"/>
        </w:rPr>
      </w:pPr>
    </w:p>
    <w:p w:rsidR="00F0328E" w:rsidRDefault="00F0328E">
      <w:pPr>
        <w:widowControl/>
        <w:adjustRightInd w:val="0"/>
        <w:snapToGrid w:val="0"/>
        <w:spacing w:line="360" w:lineRule="auto"/>
        <w:ind w:firstLineChars="200" w:firstLine="480"/>
        <w:rPr>
          <w:rFonts w:ascii="宋体" w:hAnsi="宋体" w:cs="Arial"/>
          <w:color w:val="000000"/>
          <w:kern w:val="0"/>
          <w:sz w:val="24"/>
        </w:rPr>
      </w:pPr>
    </w:p>
    <w:p w:rsidR="00F0328E" w:rsidRDefault="00F0328E">
      <w:pPr>
        <w:widowControl/>
        <w:adjustRightInd w:val="0"/>
        <w:snapToGrid w:val="0"/>
        <w:spacing w:line="360" w:lineRule="auto"/>
        <w:ind w:firstLineChars="200" w:firstLine="480"/>
        <w:rPr>
          <w:rFonts w:ascii="宋体" w:hAnsi="宋体" w:cs="Arial"/>
          <w:color w:val="000000"/>
          <w:kern w:val="0"/>
          <w:sz w:val="24"/>
        </w:rPr>
      </w:pPr>
    </w:p>
    <w:p w:rsidR="00F0328E" w:rsidRDefault="00F0328E">
      <w:pPr>
        <w:widowControl/>
        <w:adjustRightInd w:val="0"/>
        <w:snapToGrid w:val="0"/>
        <w:spacing w:line="360" w:lineRule="auto"/>
        <w:ind w:firstLineChars="200" w:firstLine="480"/>
        <w:rPr>
          <w:rFonts w:ascii="宋体" w:hAnsi="宋体" w:cs="Arial"/>
          <w:color w:val="000000"/>
          <w:kern w:val="0"/>
          <w:sz w:val="24"/>
        </w:rPr>
      </w:pPr>
    </w:p>
    <w:p w:rsidR="00F0328E" w:rsidRDefault="00F0328E">
      <w:pPr>
        <w:widowControl/>
        <w:adjustRightInd w:val="0"/>
        <w:snapToGrid w:val="0"/>
        <w:spacing w:line="360" w:lineRule="auto"/>
        <w:ind w:firstLineChars="200" w:firstLine="480"/>
        <w:rPr>
          <w:rFonts w:ascii="宋体" w:hAnsi="宋体" w:cs="Arial"/>
          <w:color w:val="000000"/>
          <w:kern w:val="0"/>
          <w:sz w:val="24"/>
        </w:rPr>
      </w:pPr>
    </w:p>
    <w:p w:rsidR="00F0328E" w:rsidRDefault="00F0328E">
      <w:pPr>
        <w:widowControl/>
        <w:adjustRightInd w:val="0"/>
        <w:snapToGrid w:val="0"/>
        <w:spacing w:line="360" w:lineRule="auto"/>
        <w:ind w:firstLineChars="200" w:firstLine="480"/>
        <w:rPr>
          <w:rFonts w:ascii="宋体" w:hAnsi="宋体" w:cs="Arial"/>
          <w:color w:val="000000"/>
          <w:kern w:val="0"/>
          <w:sz w:val="24"/>
        </w:rPr>
      </w:pPr>
    </w:p>
    <w:p w:rsidR="00F0328E" w:rsidRDefault="00F0328E">
      <w:pPr>
        <w:widowControl/>
        <w:adjustRightInd w:val="0"/>
        <w:snapToGrid w:val="0"/>
        <w:spacing w:line="360" w:lineRule="auto"/>
        <w:ind w:firstLineChars="200" w:firstLine="480"/>
        <w:rPr>
          <w:rFonts w:ascii="宋体" w:hAnsi="宋体" w:cs="Arial"/>
          <w:color w:val="000000"/>
          <w:kern w:val="0"/>
          <w:sz w:val="24"/>
        </w:rPr>
      </w:pPr>
    </w:p>
    <w:p w:rsidR="00F0328E" w:rsidRDefault="00441AB8">
      <w:pPr>
        <w:spacing w:line="360" w:lineRule="auto"/>
        <w:ind w:firstLineChars="400" w:firstLine="964"/>
        <w:jc w:val="center"/>
        <w:rPr>
          <w:rFonts w:ascii="宋体" w:hAnsi="宋体"/>
          <w:b/>
          <w:sz w:val="24"/>
        </w:rPr>
      </w:pPr>
      <w:r>
        <w:rPr>
          <w:rFonts w:ascii="宋体" w:hAnsi="宋体" w:hint="eastAsia"/>
          <w:b/>
          <w:sz w:val="24"/>
        </w:rPr>
        <w:t>基金管理人：华商基金管理有限公司</w:t>
      </w:r>
    </w:p>
    <w:p w:rsidR="00F0328E" w:rsidRDefault="00441AB8">
      <w:pPr>
        <w:spacing w:line="360" w:lineRule="auto"/>
        <w:ind w:firstLine="723"/>
        <w:jc w:val="center"/>
        <w:rPr>
          <w:rFonts w:ascii="宋体" w:hAnsi="宋体"/>
          <w:b/>
          <w:sz w:val="24"/>
        </w:rPr>
      </w:pPr>
      <w:r>
        <w:rPr>
          <w:rFonts w:ascii="宋体" w:hAnsi="宋体" w:hint="eastAsia"/>
          <w:b/>
          <w:sz w:val="24"/>
        </w:rPr>
        <w:t xml:space="preserve"> </w:t>
      </w:r>
      <w:r>
        <w:rPr>
          <w:rFonts w:ascii="宋体" w:hAnsi="宋体"/>
          <w:b/>
          <w:sz w:val="24"/>
        </w:rPr>
        <w:t xml:space="preserve"> </w:t>
      </w:r>
      <w:r>
        <w:rPr>
          <w:rFonts w:ascii="宋体" w:hAnsi="宋体" w:hint="eastAsia"/>
          <w:b/>
          <w:sz w:val="24"/>
        </w:rPr>
        <w:t>基金托管人：浙商银行股份有限公司</w:t>
      </w:r>
    </w:p>
    <w:p w:rsidR="00F0328E" w:rsidRDefault="00F0328E">
      <w:pPr>
        <w:widowControl/>
        <w:adjustRightInd w:val="0"/>
        <w:snapToGrid w:val="0"/>
        <w:spacing w:line="360" w:lineRule="auto"/>
        <w:ind w:firstLineChars="200" w:firstLine="480"/>
        <w:jc w:val="center"/>
        <w:rPr>
          <w:rFonts w:ascii="宋体" w:hAnsi="宋体" w:cs="Arial"/>
          <w:color w:val="000000"/>
          <w:kern w:val="0"/>
          <w:sz w:val="24"/>
        </w:rPr>
      </w:pPr>
    </w:p>
    <w:p w:rsidR="00F0328E" w:rsidRDefault="00F0328E">
      <w:pPr>
        <w:widowControl/>
        <w:adjustRightInd w:val="0"/>
        <w:snapToGrid w:val="0"/>
        <w:spacing w:line="360" w:lineRule="auto"/>
        <w:ind w:firstLineChars="200" w:firstLine="480"/>
        <w:jc w:val="center"/>
        <w:rPr>
          <w:rFonts w:ascii="宋体" w:hAnsi="宋体" w:cs="Arial"/>
          <w:color w:val="000000"/>
          <w:kern w:val="0"/>
          <w:sz w:val="24"/>
        </w:rPr>
      </w:pPr>
    </w:p>
    <w:p w:rsidR="00F0328E" w:rsidRDefault="00F0328E">
      <w:pPr>
        <w:widowControl/>
        <w:adjustRightInd w:val="0"/>
        <w:snapToGrid w:val="0"/>
        <w:spacing w:line="360" w:lineRule="auto"/>
        <w:ind w:firstLineChars="200" w:firstLine="480"/>
        <w:rPr>
          <w:rFonts w:ascii="宋体" w:hAnsi="宋体" w:cs="Arial"/>
          <w:color w:val="000000"/>
          <w:kern w:val="0"/>
          <w:sz w:val="24"/>
        </w:rPr>
      </w:pPr>
    </w:p>
    <w:p w:rsidR="00F0328E" w:rsidRDefault="00F0328E">
      <w:pPr>
        <w:widowControl/>
        <w:adjustRightInd w:val="0"/>
        <w:snapToGrid w:val="0"/>
        <w:spacing w:line="360" w:lineRule="auto"/>
        <w:ind w:firstLineChars="200" w:firstLine="480"/>
        <w:rPr>
          <w:rFonts w:ascii="宋体" w:hAnsi="宋体" w:cs="Arial"/>
          <w:color w:val="000000"/>
          <w:kern w:val="0"/>
          <w:sz w:val="24"/>
        </w:rPr>
        <w:sectPr w:rsidR="00F0328E">
          <w:headerReference w:type="default" r:id="rId9"/>
          <w:footerReference w:type="default" r:id="rId10"/>
          <w:pgSz w:w="11906" w:h="16838"/>
          <w:pgMar w:top="1440" w:right="1800" w:bottom="1440" w:left="1800" w:header="851" w:footer="992" w:gutter="0"/>
          <w:cols w:space="720"/>
          <w:docGrid w:type="lines" w:linePitch="312"/>
        </w:sectPr>
      </w:pPr>
    </w:p>
    <w:p w:rsidR="00F0328E" w:rsidRDefault="00441AB8">
      <w:pPr>
        <w:spacing w:line="360" w:lineRule="auto"/>
        <w:ind w:firstLine="480"/>
        <w:jc w:val="center"/>
        <w:rPr>
          <w:rFonts w:ascii="宋体" w:hAnsi="宋体"/>
          <w:b/>
          <w:sz w:val="24"/>
        </w:rPr>
      </w:pPr>
      <w:bookmarkStart w:id="6" w:name="_Toc295410859"/>
      <w:r>
        <w:rPr>
          <w:rFonts w:ascii="宋体" w:hAnsi="宋体"/>
          <w:b/>
          <w:sz w:val="24"/>
        </w:rPr>
        <w:lastRenderedPageBreak/>
        <w:t>目</w:t>
      </w:r>
      <w:r>
        <w:rPr>
          <w:rFonts w:ascii="宋体" w:hAnsi="宋体" w:hint="eastAsia"/>
          <w:b/>
          <w:sz w:val="24"/>
        </w:rPr>
        <w:t xml:space="preserve">  </w:t>
      </w:r>
      <w:r>
        <w:rPr>
          <w:rFonts w:ascii="宋体" w:hAnsi="宋体"/>
          <w:b/>
          <w:sz w:val="24"/>
        </w:rPr>
        <w:t>录</w:t>
      </w:r>
      <w:bookmarkEnd w:id="6"/>
    </w:p>
    <w:p w:rsidR="00DC11CC" w:rsidRPr="002D50AE" w:rsidRDefault="00487D73">
      <w:pPr>
        <w:pStyle w:val="10"/>
        <w:tabs>
          <w:tab w:val="left" w:pos="840"/>
          <w:tab w:val="right" w:leader="dot" w:pos="8296"/>
        </w:tabs>
        <w:rPr>
          <w:rFonts w:ascii="Calibri" w:hAnsi="Calibri"/>
          <w:noProof/>
          <w:szCs w:val="22"/>
        </w:rPr>
      </w:pPr>
      <w:r>
        <w:rPr>
          <w:rFonts w:ascii="宋体" w:hAnsi="宋体"/>
          <w:b/>
          <w:sz w:val="24"/>
        </w:rPr>
        <w:fldChar w:fldCharType="begin"/>
      </w:r>
      <w:r w:rsidR="00441AB8">
        <w:rPr>
          <w:rFonts w:ascii="宋体" w:hAnsi="宋体"/>
          <w:b/>
          <w:sz w:val="24"/>
        </w:rPr>
        <w:instrText xml:space="preserve"> TOC \o "1-3" \h \z \u </w:instrText>
      </w:r>
      <w:r>
        <w:rPr>
          <w:rFonts w:ascii="宋体" w:hAnsi="宋体"/>
          <w:b/>
          <w:sz w:val="24"/>
        </w:rPr>
        <w:fldChar w:fldCharType="separate"/>
      </w:r>
      <w:hyperlink w:anchor="_Toc76720680" w:history="1">
        <w:r w:rsidR="00DC11CC" w:rsidRPr="00D9761F">
          <w:rPr>
            <w:rStyle w:val="ab"/>
            <w:rFonts w:ascii="宋体" w:hAnsi="宋体" w:hint="eastAsia"/>
            <w:noProof/>
          </w:rPr>
          <w:t>一、</w:t>
        </w:r>
        <w:r w:rsidR="00DC11CC" w:rsidRPr="002D50AE">
          <w:rPr>
            <w:rFonts w:ascii="Calibri" w:hAnsi="Calibri"/>
            <w:noProof/>
            <w:szCs w:val="22"/>
          </w:rPr>
          <w:tab/>
        </w:r>
        <w:r w:rsidR="00DC11CC" w:rsidRPr="00D9761F">
          <w:rPr>
            <w:rStyle w:val="ab"/>
            <w:rFonts w:ascii="宋体" w:hAnsi="宋体" w:hint="eastAsia"/>
            <w:noProof/>
          </w:rPr>
          <w:t>基金托管协议当事人</w:t>
        </w:r>
        <w:r w:rsidR="00DC11CC">
          <w:rPr>
            <w:noProof/>
            <w:webHidden/>
          </w:rPr>
          <w:tab/>
        </w:r>
        <w:r>
          <w:rPr>
            <w:noProof/>
            <w:webHidden/>
          </w:rPr>
          <w:fldChar w:fldCharType="begin"/>
        </w:r>
        <w:r w:rsidR="00DC11CC">
          <w:rPr>
            <w:noProof/>
            <w:webHidden/>
          </w:rPr>
          <w:instrText xml:space="preserve"> PAGEREF _Toc76720680 \h </w:instrText>
        </w:r>
        <w:r>
          <w:rPr>
            <w:noProof/>
            <w:webHidden/>
          </w:rPr>
        </w:r>
        <w:r>
          <w:rPr>
            <w:noProof/>
            <w:webHidden/>
          </w:rPr>
          <w:fldChar w:fldCharType="separate"/>
        </w:r>
        <w:r w:rsidR="008124C0">
          <w:rPr>
            <w:noProof/>
            <w:webHidden/>
          </w:rPr>
          <w:t>4</w:t>
        </w:r>
        <w:r>
          <w:rPr>
            <w:noProof/>
            <w:webHidden/>
          </w:rPr>
          <w:fldChar w:fldCharType="end"/>
        </w:r>
      </w:hyperlink>
    </w:p>
    <w:p w:rsidR="00DC11CC" w:rsidRPr="002D50AE" w:rsidRDefault="007D7753">
      <w:pPr>
        <w:pStyle w:val="10"/>
        <w:tabs>
          <w:tab w:val="left" w:pos="840"/>
          <w:tab w:val="right" w:leader="dot" w:pos="8296"/>
        </w:tabs>
        <w:rPr>
          <w:rFonts w:ascii="Calibri" w:hAnsi="Calibri"/>
          <w:noProof/>
          <w:szCs w:val="22"/>
        </w:rPr>
      </w:pPr>
      <w:hyperlink w:anchor="_Toc76720681" w:history="1">
        <w:r w:rsidR="00DC11CC" w:rsidRPr="00D9761F">
          <w:rPr>
            <w:rStyle w:val="ab"/>
            <w:rFonts w:ascii="宋体" w:hAnsi="宋体" w:hint="eastAsia"/>
            <w:noProof/>
          </w:rPr>
          <w:t>二、</w:t>
        </w:r>
        <w:r w:rsidR="00DC11CC" w:rsidRPr="002D50AE">
          <w:rPr>
            <w:rFonts w:ascii="Calibri" w:hAnsi="Calibri"/>
            <w:noProof/>
            <w:szCs w:val="22"/>
          </w:rPr>
          <w:tab/>
        </w:r>
        <w:r w:rsidR="00DC11CC" w:rsidRPr="00D9761F">
          <w:rPr>
            <w:rStyle w:val="ab"/>
            <w:rFonts w:ascii="宋体" w:hAnsi="宋体" w:hint="eastAsia"/>
            <w:noProof/>
          </w:rPr>
          <w:t>基金托管协议的依据、目的和原则</w:t>
        </w:r>
        <w:r w:rsidR="00DC11CC">
          <w:rPr>
            <w:noProof/>
            <w:webHidden/>
          </w:rPr>
          <w:tab/>
        </w:r>
        <w:r w:rsidR="00487D73">
          <w:rPr>
            <w:noProof/>
            <w:webHidden/>
          </w:rPr>
          <w:fldChar w:fldCharType="begin"/>
        </w:r>
        <w:r w:rsidR="00DC11CC">
          <w:rPr>
            <w:noProof/>
            <w:webHidden/>
          </w:rPr>
          <w:instrText xml:space="preserve"> PAGEREF _Toc76720681 \h </w:instrText>
        </w:r>
        <w:r w:rsidR="00487D73">
          <w:rPr>
            <w:noProof/>
            <w:webHidden/>
          </w:rPr>
        </w:r>
        <w:r w:rsidR="00487D73">
          <w:rPr>
            <w:noProof/>
            <w:webHidden/>
          </w:rPr>
          <w:fldChar w:fldCharType="separate"/>
        </w:r>
        <w:r w:rsidR="008124C0">
          <w:rPr>
            <w:noProof/>
            <w:webHidden/>
          </w:rPr>
          <w:t>5</w:t>
        </w:r>
        <w:r w:rsidR="00487D73">
          <w:rPr>
            <w:noProof/>
            <w:webHidden/>
          </w:rPr>
          <w:fldChar w:fldCharType="end"/>
        </w:r>
      </w:hyperlink>
    </w:p>
    <w:p w:rsidR="00DC11CC" w:rsidRPr="002D50AE" w:rsidRDefault="007D7753">
      <w:pPr>
        <w:pStyle w:val="10"/>
        <w:tabs>
          <w:tab w:val="left" w:pos="840"/>
          <w:tab w:val="right" w:leader="dot" w:pos="8296"/>
        </w:tabs>
        <w:rPr>
          <w:rFonts w:ascii="Calibri" w:hAnsi="Calibri"/>
          <w:noProof/>
          <w:szCs w:val="22"/>
        </w:rPr>
      </w:pPr>
      <w:hyperlink w:anchor="_Toc76720682" w:history="1">
        <w:r w:rsidR="00DC11CC" w:rsidRPr="00D9761F">
          <w:rPr>
            <w:rStyle w:val="ab"/>
            <w:rFonts w:ascii="宋体" w:hAnsi="宋体" w:hint="eastAsia"/>
            <w:noProof/>
          </w:rPr>
          <w:t>三、</w:t>
        </w:r>
        <w:r w:rsidR="00DC11CC" w:rsidRPr="002D50AE">
          <w:rPr>
            <w:rFonts w:ascii="Calibri" w:hAnsi="Calibri"/>
            <w:noProof/>
            <w:szCs w:val="22"/>
          </w:rPr>
          <w:tab/>
        </w:r>
        <w:r w:rsidR="00DC11CC" w:rsidRPr="00D9761F">
          <w:rPr>
            <w:rStyle w:val="ab"/>
            <w:rFonts w:ascii="宋体" w:hAnsi="宋体" w:hint="eastAsia"/>
            <w:noProof/>
          </w:rPr>
          <w:t>基金托管人对基金管理人的业务监督和核查</w:t>
        </w:r>
        <w:r w:rsidR="00DC11CC">
          <w:rPr>
            <w:noProof/>
            <w:webHidden/>
          </w:rPr>
          <w:tab/>
        </w:r>
        <w:r w:rsidR="00487D73">
          <w:rPr>
            <w:noProof/>
            <w:webHidden/>
          </w:rPr>
          <w:fldChar w:fldCharType="begin"/>
        </w:r>
        <w:r w:rsidR="00DC11CC">
          <w:rPr>
            <w:noProof/>
            <w:webHidden/>
          </w:rPr>
          <w:instrText xml:space="preserve"> PAGEREF _Toc76720682 \h </w:instrText>
        </w:r>
        <w:r w:rsidR="00487D73">
          <w:rPr>
            <w:noProof/>
            <w:webHidden/>
          </w:rPr>
        </w:r>
        <w:r w:rsidR="00487D73">
          <w:rPr>
            <w:noProof/>
            <w:webHidden/>
          </w:rPr>
          <w:fldChar w:fldCharType="separate"/>
        </w:r>
        <w:r w:rsidR="008124C0">
          <w:rPr>
            <w:noProof/>
            <w:webHidden/>
          </w:rPr>
          <w:t>6</w:t>
        </w:r>
        <w:r w:rsidR="00487D73">
          <w:rPr>
            <w:noProof/>
            <w:webHidden/>
          </w:rPr>
          <w:fldChar w:fldCharType="end"/>
        </w:r>
      </w:hyperlink>
    </w:p>
    <w:p w:rsidR="00DC11CC" w:rsidRPr="002D50AE" w:rsidRDefault="007D7753">
      <w:pPr>
        <w:pStyle w:val="10"/>
        <w:tabs>
          <w:tab w:val="left" w:pos="840"/>
          <w:tab w:val="right" w:leader="dot" w:pos="8296"/>
        </w:tabs>
        <w:rPr>
          <w:rFonts w:ascii="Calibri" w:hAnsi="Calibri"/>
          <w:noProof/>
          <w:szCs w:val="22"/>
        </w:rPr>
      </w:pPr>
      <w:hyperlink w:anchor="_Toc76720683" w:history="1">
        <w:r w:rsidR="00DC11CC" w:rsidRPr="00D9761F">
          <w:rPr>
            <w:rStyle w:val="ab"/>
            <w:rFonts w:ascii="宋体" w:hAnsi="宋体" w:hint="eastAsia"/>
            <w:noProof/>
          </w:rPr>
          <w:t>四、</w:t>
        </w:r>
        <w:r w:rsidR="00DC11CC" w:rsidRPr="002D50AE">
          <w:rPr>
            <w:rFonts w:ascii="Calibri" w:hAnsi="Calibri"/>
            <w:noProof/>
            <w:szCs w:val="22"/>
          </w:rPr>
          <w:tab/>
        </w:r>
        <w:r w:rsidR="00DC11CC" w:rsidRPr="00D9761F">
          <w:rPr>
            <w:rStyle w:val="ab"/>
            <w:rFonts w:ascii="宋体" w:hAnsi="宋体" w:hint="eastAsia"/>
            <w:noProof/>
          </w:rPr>
          <w:t>基金管理人对基金托管人的业务核查</w:t>
        </w:r>
        <w:r w:rsidR="00DC11CC">
          <w:rPr>
            <w:noProof/>
            <w:webHidden/>
          </w:rPr>
          <w:tab/>
        </w:r>
        <w:r w:rsidR="00487D73">
          <w:rPr>
            <w:noProof/>
            <w:webHidden/>
          </w:rPr>
          <w:fldChar w:fldCharType="begin"/>
        </w:r>
        <w:r w:rsidR="00DC11CC">
          <w:rPr>
            <w:noProof/>
            <w:webHidden/>
          </w:rPr>
          <w:instrText xml:space="preserve"> PAGEREF _Toc76720683 \h </w:instrText>
        </w:r>
        <w:r w:rsidR="00487D73">
          <w:rPr>
            <w:noProof/>
            <w:webHidden/>
          </w:rPr>
        </w:r>
        <w:r w:rsidR="00487D73">
          <w:rPr>
            <w:noProof/>
            <w:webHidden/>
          </w:rPr>
          <w:fldChar w:fldCharType="separate"/>
        </w:r>
        <w:r w:rsidR="008124C0">
          <w:rPr>
            <w:noProof/>
            <w:webHidden/>
          </w:rPr>
          <w:t>14</w:t>
        </w:r>
        <w:r w:rsidR="00487D73">
          <w:rPr>
            <w:noProof/>
            <w:webHidden/>
          </w:rPr>
          <w:fldChar w:fldCharType="end"/>
        </w:r>
      </w:hyperlink>
    </w:p>
    <w:p w:rsidR="00DC11CC" w:rsidRPr="002D50AE" w:rsidRDefault="007D7753">
      <w:pPr>
        <w:pStyle w:val="10"/>
        <w:tabs>
          <w:tab w:val="left" w:pos="840"/>
          <w:tab w:val="right" w:leader="dot" w:pos="8296"/>
        </w:tabs>
        <w:rPr>
          <w:rFonts w:ascii="Calibri" w:hAnsi="Calibri"/>
          <w:noProof/>
          <w:szCs w:val="22"/>
        </w:rPr>
      </w:pPr>
      <w:hyperlink w:anchor="_Toc76720684" w:history="1">
        <w:r w:rsidR="00DC11CC" w:rsidRPr="00D9761F">
          <w:rPr>
            <w:rStyle w:val="ab"/>
            <w:rFonts w:ascii="宋体" w:hAnsi="宋体" w:hint="eastAsia"/>
            <w:noProof/>
          </w:rPr>
          <w:t>五、</w:t>
        </w:r>
        <w:r w:rsidR="00DC11CC" w:rsidRPr="002D50AE">
          <w:rPr>
            <w:rFonts w:ascii="Calibri" w:hAnsi="Calibri"/>
            <w:noProof/>
            <w:szCs w:val="22"/>
          </w:rPr>
          <w:tab/>
        </w:r>
        <w:r w:rsidR="00DC11CC" w:rsidRPr="00D9761F">
          <w:rPr>
            <w:rStyle w:val="ab"/>
            <w:rFonts w:ascii="宋体" w:hAnsi="宋体" w:hint="eastAsia"/>
            <w:noProof/>
          </w:rPr>
          <w:t>基金财产的保管</w:t>
        </w:r>
        <w:r w:rsidR="00DC11CC">
          <w:rPr>
            <w:noProof/>
            <w:webHidden/>
          </w:rPr>
          <w:tab/>
        </w:r>
        <w:r w:rsidR="00487D73">
          <w:rPr>
            <w:noProof/>
            <w:webHidden/>
          </w:rPr>
          <w:fldChar w:fldCharType="begin"/>
        </w:r>
        <w:r w:rsidR="00DC11CC">
          <w:rPr>
            <w:noProof/>
            <w:webHidden/>
          </w:rPr>
          <w:instrText xml:space="preserve"> PAGEREF _Toc76720684 \h </w:instrText>
        </w:r>
        <w:r w:rsidR="00487D73">
          <w:rPr>
            <w:noProof/>
            <w:webHidden/>
          </w:rPr>
        </w:r>
        <w:r w:rsidR="00487D73">
          <w:rPr>
            <w:noProof/>
            <w:webHidden/>
          </w:rPr>
          <w:fldChar w:fldCharType="separate"/>
        </w:r>
        <w:r w:rsidR="008124C0">
          <w:rPr>
            <w:noProof/>
            <w:webHidden/>
          </w:rPr>
          <w:t>15</w:t>
        </w:r>
        <w:r w:rsidR="00487D73">
          <w:rPr>
            <w:noProof/>
            <w:webHidden/>
          </w:rPr>
          <w:fldChar w:fldCharType="end"/>
        </w:r>
      </w:hyperlink>
    </w:p>
    <w:p w:rsidR="00DC11CC" w:rsidRPr="002D50AE" w:rsidRDefault="007D7753">
      <w:pPr>
        <w:pStyle w:val="10"/>
        <w:tabs>
          <w:tab w:val="left" w:pos="840"/>
          <w:tab w:val="right" w:leader="dot" w:pos="8296"/>
        </w:tabs>
        <w:rPr>
          <w:rFonts w:ascii="Calibri" w:hAnsi="Calibri"/>
          <w:noProof/>
          <w:szCs w:val="22"/>
        </w:rPr>
      </w:pPr>
      <w:hyperlink w:anchor="_Toc76720685" w:history="1">
        <w:r w:rsidR="00DC11CC" w:rsidRPr="00D9761F">
          <w:rPr>
            <w:rStyle w:val="ab"/>
            <w:rFonts w:ascii="宋体" w:hAnsi="宋体" w:hint="eastAsia"/>
            <w:noProof/>
          </w:rPr>
          <w:t>六、</w:t>
        </w:r>
        <w:r w:rsidR="00DC11CC" w:rsidRPr="002D50AE">
          <w:rPr>
            <w:rFonts w:ascii="Calibri" w:hAnsi="Calibri"/>
            <w:noProof/>
            <w:szCs w:val="22"/>
          </w:rPr>
          <w:tab/>
        </w:r>
        <w:r w:rsidR="00DC11CC" w:rsidRPr="00D9761F">
          <w:rPr>
            <w:rStyle w:val="ab"/>
            <w:rFonts w:ascii="宋体" w:hAnsi="宋体" w:hint="eastAsia"/>
            <w:noProof/>
          </w:rPr>
          <w:t>指令的发送、确认及执行</w:t>
        </w:r>
        <w:r w:rsidR="00DC11CC">
          <w:rPr>
            <w:noProof/>
            <w:webHidden/>
          </w:rPr>
          <w:tab/>
        </w:r>
        <w:r w:rsidR="00487D73">
          <w:rPr>
            <w:noProof/>
            <w:webHidden/>
          </w:rPr>
          <w:fldChar w:fldCharType="begin"/>
        </w:r>
        <w:r w:rsidR="00DC11CC">
          <w:rPr>
            <w:noProof/>
            <w:webHidden/>
          </w:rPr>
          <w:instrText xml:space="preserve"> PAGEREF _Toc76720685 \h </w:instrText>
        </w:r>
        <w:r w:rsidR="00487D73">
          <w:rPr>
            <w:noProof/>
            <w:webHidden/>
          </w:rPr>
        </w:r>
        <w:r w:rsidR="00487D73">
          <w:rPr>
            <w:noProof/>
            <w:webHidden/>
          </w:rPr>
          <w:fldChar w:fldCharType="separate"/>
        </w:r>
        <w:r w:rsidR="008124C0">
          <w:rPr>
            <w:noProof/>
            <w:webHidden/>
          </w:rPr>
          <w:t>19</w:t>
        </w:r>
        <w:r w:rsidR="00487D73">
          <w:rPr>
            <w:noProof/>
            <w:webHidden/>
          </w:rPr>
          <w:fldChar w:fldCharType="end"/>
        </w:r>
      </w:hyperlink>
    </w:p>
    <w:p w:rsidR="00DC11CC" w:rsidRPr="002D50AE" w:rsidRDefault="007D7753">
      <w:pPr>
        <w:pStyle w:val="10"/>
        <w:tabs>
          <w:tab w:val="left" w:pos="840"/>
          <w:tab w:val="right" w:leader="dot" w:pos="8296"/>
        </w:tabs>
        <w:rPr>
          <w:rFonts w:ascii="Calibri" w:hAnsi="Calibri"/>
          <w:noProof/>
          <w:szCs w:val="22"/>
        </w:rPr>
      </w:pPr>
      <w:hyperlink w:anchor="_Toc76720686" w:history="1">
        <w:r w:rsidR="00DC11CC" w:rsidRPr="00D9761F">
          <w:rPr>
            <w:rStyle w:val="ab"/>
            <w:rFonts w:ascii="宋体" w:hAnsi="宋体" w:hint="eastAsia"/>
            <w:noProof/>
          </w:rPr>
          <w:t>七、</w:t>
        </w:r>
        <w:r w:rsidR="00DC11CC" w:rsidRPr="002D50AE">
          <w:rPr>
            <w:rFonts w:ascii="Calibri" w:hAnsi="Calibri"/>
            <w:noProof/>
            <w:szCs w:val="22"/>
          </w:rPr>
          <w:tab/>
        </w:r>
        <w:r w:rsidR="00DC11CC" w:rsidRPr="00D9761F">
          <w:rPr>
            <w:rStyle w:val="ab"/>
            <w:rFonts w:ascii="宋体" w:hAnsi="宋体" w:hint="eastAsia"/>
            <w:noProof/>
          </w:rPr>
          <w:t>交易及清算交收安排</w:t>
        </w:r>
        <w:r w:rsidR="00DC11CC">
          <w:rPr>
            <w:noProof/>
            <w:webHidden/>
          </w:rPr>
          <w:tab/>
        </w:r>
        <w:r w:rsidR="00487D73">
          <w:rPr>
            <w:noProof/>
            <w:webHidden/>
          </w:rPr>
          <w:fldChar w:fldCharType="begin"/>
        </w:r>
        <w:r w:rsidR="00DC11CC">
          <w:rPr>
            <w:noProof/>
            <w:webHidden/>
          </w:rPr>
          <w:instrText xml:space="preserve"> PAGEREF _Toc76720686 \h </w:instrText>
        </w:r>
        <w:r w:rsidR="00487D73">
          <w:rPr>
            <w:noProof/>
            <w:webHidden/>
          </w:rPr>
        </w:r>
        <w:r w:rsidR="00487D73">
          <w:rPr>
            <w:noProof/>
            <w:webHidden/>
          </w:rPr>
          <w:fldChar w:fldCharType="separate"/>
        </w:r>
        <w:r w:rsidR="008124C0">
          <w:rPr>
            <w:noProof/>
            <w:webHidden/>
          </w:rPr>
          <w:t>24</w:t>
        </w:r>
        <w:r w:rsidR="00487D73">
          <w:rPr>
            <w:noProof/>
            <w:webHidden/>
          </w:rPr>
          <w:fldChar w:fldCharType="end"/>
        </w:r>
      </w:hyperlink>
    </w:p>
    <w:p w:rsidR="00DC11CC" w:rsidRPr="002D50AE" w:rsidRDefault="007D7753">
      <w:pPr>
        <w:pStyle w:val="10"/>
        <w:tabs>
          <w:tab w:val="left" w:pos="840"/>
          <w:tab w:val="right" w:leader="dot" w:pos="8296"/>
        </w:tabs>
        <w:rPr>
          <w:rFonts w:ascii="Calibri" w:hAnsi="Calibri"/>
          <w:noProof/>
          <w:szCs w:val="22"/>
        </w:rPr>
      </w:pPr>
      <w:hyperlink w:anchor="_Toc76720687" w:history="1">
        <w:r w:rsidR="00DC11CC" w:rsidRPr="00D9761F">
          <w:rPr>
            <w:rStyle w:val="ab"/>
            <w:rFonts w:ascii="宋体" w:hAnsi="宋体" w:hint="eastAsia"/>
            <w:noProof/>
          </w:rPr>
          <w:t>八、</w:t>
        </w:r>
        <w:r w:rsidR="00DC11CC" w:rsidRPr="002D50AE">
          <w:rPr>
            <w:rFonts w:ascii="Calibri" w:hAnsi="Calibri"/>
            <w:noProof/>
            <w:szCs w:val="22"/>
          </w:rPr>
          <w:tab/>
        </w:r>
        <w:r w:rsidR="00DC11CC" w:rsidRPr="00D9761F">
          <w:rPr>
            <w:rStyle w:val="ab"/>
            <w:rFonts w:ascii="宋体" w:hAnsi="宋体" w:hint="eastAsia"/>
            <w:noProof/>
          </w:rPr>
          <w:t>基金资产净值计算、估值和会计核算</w:t>
        </w:r>
        <w:r w:rsidR="00DC11CC">
          <w:rPr>
            <w:noProof/>
            <w:webHidden/>
          </w:rPr>
          <w:tab/>
        </w:r>
        <w:r w:rsidR="00487D73">
          <w:rPr>
            <w:noProof/>
            <w:webHidden/>
          </w:rPr>
          <w:fldChar w:fldCharType="begin"/>
        </w:r>
        <w:r w:rsidR="00DC11CC">
          <w:rPr>
            <w:noProof/>
            <w:webHidden/>
          </w:rPr>
          <w:instrText xml:space="preserve"> PAGEREF _Toc76720687 \h </w:instrText>
        </w:r>
        <w:r w:rsidR="00487D73">
          <w:rPr>
            <w:noProof/>
            <w:webHidden/>
          </w:rPr>
        </w:r>
        <w:r w:rsidR="00487D73">
          <w:rPr>
            <w:noProof/>
            <w:webHidden/>
          </w:rPr>
          <w:fldChar w:fldCharType="separate"/>
        </w:r>
        <w:r w:rsidR="008124C0">
          <w:rPr>
            <w:noProof/>
            <w:webHidden/>
          </w:rPr>
          <w:t>29</w:t>
        </w:r>
        <w:r w:rsidR="00487D73">
          <w:rPr>
            <w:noProof/>
            <w:webHidden/>
          </w:rPr>
          <w:fldChar w:fldCharType="end"/>
        </w:r>
      </w:hyperlink>
    </w:p>
    <w:p w:rsidR="00DC11CC" w:rsidRPr="002D50AE" w:rsidRDefault="007D7753">
      <w:pPr>
        <w:pStyle w:val="10"/>
        <w:tabs>
          <w:tab w:val="left" w:pos="840"/>
          <w:tab w:val="right" w:leader="dot" w:pos="8296"/>
        </w:tabs>
        <w:rPr>
          <w:rFonts w:ascii="Calibri" w:hAnsi="Calibri"/>
          <w:noProof/>
          <w:szCs w:val="22"/>
        </w:rPr>
      </w:pPr>
      <w:hyperlink w:anchor="_Toc76720688" w:history="1">
        <w:r w:rsidR="00DC11CC" w:rsidRPr="00D9761F">
          <w:rPr>
            <w:rStyle w:val="ab"/>
            <w:rFonts w:ascii="宋体" w:hAnsi="宋体" w:hint="eastAsia"/>
            <w:noProof/>
          </w:rPr>
          <w:t>九、</w:t>
        </w:r>
        <w:r w:rsidR="00DC11CC" w:rsidRPr="002D50AE">
          <w:rPr>
            <w:rFonts w:ascii="Calibri" w:hAnsi="Calibri"/>
            <w:noProof/>
            <w:szCs w:val="22"/>
          </w:rPr>
          <w:tab/>
        </w:r>
        <w:r w:rsidR="00DC11CC" w:rsidRPr="00D9761F">
          <w:rPr>
            <w:rStyle w:val="ab"/>
            <w:rFonts w:ascii="宋体" w:hAnsi="宋体" w:hint="eastAsia"/>
            <w:noProof/>
          </w:rPr>
          <w:t>基金收益分配</w:t>
        </w:r>
        <w:r w:rsidR="00DC11CC">
          <w:rPr>
            <w:noProof/>
            <w:webHidden/>
          </w:rPr>
          <w:tab/>
        </w:r>
        <w:r w:rsidR="00487D73">
          <w:rPr>
            <w:noProof/>
            <w:webHidden/>
          </w:rPr>
          <w:fldChar w:fldCharType="begin"/>
        </w:r>
        <w:r w:rsidR="00DC11CC">
          <w:rPr>
            <w:noProof/>
            <w:webHidden/>
          </w:rPr>
          <w:instrText xml:space="preserve"> PAGEREF _Toc76720688 \h </w:instrText>
        </w:r>
        <w:r w:rsidR="00487D73">
          <w:rPr>
            <w:noProof/>
            <w:webHidden/>
          </w:rPr>
        </w:r>
        <w:r w:rsidR="00487D73">
          <w:rPr>
            <w:noProof/>
            <w:webHidden/>
          </w:rPr>
          <w:fldChar w:fldCharType="separate"/>
        </w:r>
        <w:r w:rsidR="008124C0">
          <w:rPr>
            <w:noProof/>
            <w:webHidden/>
          </w:rPr>
          <w:t>36</w:t>
        </w:r>
        <w:r w:rsidR="00487D73">
          <w:rPr>
            <w:noProof/>
            <w:webHidden/>
          </w:rPr>
          <w:fldChar w:fldCharType="end"/>
        </w:r>
      </w:hyperlink>
    </w:p>
    <w:p w:rsidR="00DC11CC" w:rsidRPr="002D50AE" w:rsidRDefault="007D7753">
      <w:pPr>
        <w:pStyle w:val="10"/>
        <w:tabs>
          <w:tab w:val="left" w:pos="840"/>
          <w:tab w:val="right" w:leader="dot" w:pos="8296"/>
        </w:tabs>
        <w:rPr>
          <w:rFonts w:ascii="Calibri" w:hAnsi="Calibri"/>
          <w:noProof/>
          <w:szCs w:val="22"/>
        </w:rPr>
      </w:pPr>
      <w:hyperlink w:anchor="_Toc76720689" w:history="1">
        <w:r w:rsidR="00DC11CC" w:rsidRPr="00D9761F">
          <w:rPr>
            <w:rStyle w:val="ab"/>
            <w:rFonts w:ascii="宋体" w:hAnsi="宋体" w:hint="eastAsia"/>
            <w:noProof/>
          </w:rPr>
          <w:t>十、</w:t>
        </w:r>
        <w:r w:rsidR="00DC11CC" w:rsidRPr="002D50AE">
          <w:rPr>
            <w:rFonts w:ascii="Calibri" w:hAnsi="Calibri"/>
            <w:noProof/>
            <w:szCs w:val="22"/>
          </w:rPr>
          <w:tab/>
        </w:r>
        <w:r w:rsidR="00DC11CC" w:rsidRPr="00D9761F">
          <w:rPr>
            <w:rStyle w:val="ab"/>
            <w:rFonts w:ascii="宋体" w:hAnsi="宋体" w:hint="eastAsia"/>
            <w:noProof/>
          </w:rPr>
          <w:t>基金信息披露</w:t>
        </w:r>
        <w:r w:rsidR="00DC11CC">
          <w:rPr>
            <w:noProof/>
            <w:webHidden/>
          </w:rPr>
          <w:tab/>
        </w:r>
        <w:r w:rsidR="00487D73">
          <w:rPr>
            <w:noProof/>
            <w:webHidden/>
          </w:rPr>
          <w:fldChar w:fldCharType="begin"/>
        </w:r>
        <w:r w:rsidR="00DC11CC">
          <w:rPr>
            <w:noProof/>
            <w:webHidden/>
          </w:rPr>
          <w:instrText xml:space="preserve"> PAGEREF _Toc76720689 \h </w:instrText>
        </w:r>
        <w:r w:rsidR="00487D73">
          <w:rPr>
            <w:noProof/>
            <w:webHidden/>
          </w:rPr>
        </w:r>
        <w:r w:rsidR="00487D73">
          <w:rPr>
            <w:noProof/>
            <w:webHidden/>
          </w:rPr>
          <w:fldChar w:fldCharType="separate"/>
        </w:r>
        <w:r w:rsidR="008124C0">
          <w:rPr>
            <w:noProof/>
            <w:webHidden/>
          </w:rPr>
          <w:t>38</w:t>
        </w:r>
        <w:r w:rsidR="00487D73">
          <w:rPr>
            <w:noProof/>
            <w:webHidden/>
          </w:rPr>
          <w:fldChar w:fldCharType="end"/>
        </w:r>
      </w:hyperlink>
    </w:p>
    <w:p w:rsidR="00DC11CC" w:rsidRPr="002D50AE" w:rsidRDefault="007D7753">
      <w:pPr>
        <w:pStyle w:val="10"/>
        <w:tabs>
          <w:tab w:val="left" w:pos="1050"/>
          <w:tab w:val="right" w:leader="dot" w:pos="8296"/>
        </w:tabs>
        <w:rPr>
          <w:rFonts w:ascii="Calibri" w:hAnsi="Calibri"/>
          <w:noProof/>
          <w:szCs w:val="22"/>
        </w:rPr>
      </w:pPr>
      <w:hyperlink w:anchor="_Toc76720690" w:history="1">
        <w:r w:rsidR="00DC11CC" w:rsidRPr="00D9761F">
          <w:rPr>
            <w:rStyle w:val="ab"/>
            <w:rFonts w:ascii="宋体" w:hAnsi="宋体" w:hint="eastAsia"/>
            <w:noProof/>
          </w:rPr>
          <w:t>十一、</w:t>
        </w:r>
        <w:r w:rsidR="00DC11CC" w:rsidRPr="002D50AE">
          <w:rPr>
            <w:rFonts w:ascii="Calibri" w:hAnsi="Calibri"/>
            <w:noProof/>
            <w:szCs w:val="22"/>
          </w:rPr>
          <w:tab/>
        </w:r>
        <w:r w:rsidR="00DC11CC" w:rsidRPr="00D9761F">
          <w:rPr>
            <w:rStyle w:val="ab"/>
            <w:rFonts w:ascii="宋体" w:hAnsi="宋体" w:hint="eastAsia"/>
            <w:noProof/>
          </w:rPr>
          <w:t>基金费用</w:t>
        </w:r>
        <w:r w:rsidR="00DC11CC">
          <w:rPr>
            <w:noProof/>
            <w:webHidden/>
          </w:rPr>
          <w:tab/>
        </w:r>
        <w:r w:rsidR="00487D73">
          <w:rPr>
            <w:noProof/>
            <w:webHidden/>
          </w:rPr>
          <w:fldChar w:fldCharType="begin"/>
        </w:r>
        <w:r w:rsidR="00DC11CC">
          <w:rPr>
            <w:noProof/>
            <w:webHidden/>
          </w:rPr>
          <w:instrText xml:space="preserve"> PAGEREF _Toc76720690 \h </w:instrText>
        </w:r>
        <w:r w:rsidR="00487D73">
          <w:rPr>
            <w:noProof/>
            <w:webHidden/>
          </w:rPr>
        </w:r>
        <w:r w:rsidR="00487D73">
          <w:rPr>
            <w:noProof/>
            <w:webHidden/>
          </w:rPr>
          <w:fldChar w:fldCharType="separate"/>
        </w:r>
        <w:r w:rsidR="008124C0">
          <w:rPr>
            <w:noProof/>
            <w:webHidden/>
          </w:rPr>
          <w:t>40</w:t>
        </w:r>
        <w:r w:rsidR="00487D73">
          <w:rPr>
            <w:noProof/>
            <w:webHidden/>
          </w:rPr>
          <w:fldChar w:fldCharType="end"/>
        </w:r>
      </w:hyperlink>
    </w:p>
    <w:p w:rsidR="00DC11CC" w:rsidRPr="002D50AE" w:rsidRDefault="007D7753">
      <w:pPr>
        <w:pStyle w:val="10"/>
        <w:tabs>
          <w:tab w:val="left" w:pos="1050"/>
          <w:tab w:val="right" w:leader="dot" w:pos="8296"/>
        </w:tabs>
        <w:rPr>
          <w:rFonts w:ascii="Calibri" w:hAnsi="Calibri"/>
          <w:noProof/>
          <w:szCs w:val="22"/>
        </w:rPr>
      </w:pPr>
      <w:hyperlink w:anchor="_Toc76720691" w:history="1">
        <w:r w:rsidR="00DC11CC" w:rsidRPr="00D9761F">
          <w:rPr>
            <w:rStyle w:val="ab"/>
            <w:rFonts w:ascii="宋体" w:hAnsi="宋体" w:hint="eastAsia"/>
            <w:noProof/>
          </w:rPr>
          <w:t>十二、</w:t>
        </w:r>
        <w:r w:rsidR="00DC11CC" w:rsidRPr="002D50AE">
          <w:rPr>
            <w:rFonts w:ascii="Calibri" w:hAnsi="Calibri"/>
            <w:noProof/>
            <w:szCs w:val="22"/>
          </w:rPr>
          <w:tab/>
        </w:r>
        <w:r w:rsidR="00DC11CC" w:rsidRPr="00D9761F">
          <w:rPr>
            <w:rStyle w:val="ab"/>
            <w:rFonts w:ascii="宋体" w:hAnsi="宋体" w:hint="eastAsia"/>
            <w:noProof/>
          </w:rPr>
          <w:t>基金份额持有人名册的保管</w:t>
        </w:r>
        <w:r w:rsidR="00DC11CC">
          <w:rPr>
            <w:noProof/>
            <w:webHidden/>
          </w:rPr>
          <w:tab/>
        </w:r>
        <w:r w:rsidR="00487D73">
          <w:rPr>
            <w:noProof/>
            <w:webHidden/>
          </w:rPr>
          <w:fldChar w:fldCharType="begin"/>
        </w:r>
        <w:r w:rsidR="00DC11CC">
          <w:rPr>
            <w:noProof/>
            <w:webHidden/>
          </w:rPr>
          <w:instrText xml:space="preserve"> PAGEREF _Toc76720691 \h </w:instrText>
        </w:r>
        <w:r w:rsidR="00487D73">
          <w:rPr>
            <w:noProof/>
            <w:webHidden/>
          </w:rPr>
        </w:r>
        <w:r w:rsidR="00487D73">
          <w:rPr>
            <w:noProof/>
            <w:webHidden/>
          </w:rPr>
          <w:fldChar w:fldCharType="separate"/>
        </w:r>
        <w:r w:rsidR="008124C0">
          <w:rPr>
            <w:noProof/>
            <w:webHidden/>
          </w:rPr>
          <w:t>42</w:t>
        </w:r>
        <w:r w:rsidR="00487D73">
          <w:rPr>
            <w:noProof/>
            <w:webHidden/>
          </w:rPr>
          <w:fldChar w:fldCharType="end"/>
        </w:r>
      </w:hyperlink>
    </w:p>
    <w:p w:rsidR="00DC11CC" w:rsidRPr="002D50AE" w:rsidRDefault="007D7753">
      <w:pPr>
        <w:pStyle w:val="10"/>
        <w:tabs>
          <w:tab w:val="left" w:pos="1050"/>
          <w:tab w:val="right" w:leader="dot" w:pos="8296"/>
        </w:tabs>
        <w:rPr>
          <w:rFonts w:ascii="Calibri" w:hAnsi="Calibri"/>
          <w:noProof/>
          <w:szCs w:val="22"/>
        </w:rPr>
      </w:pPr>
      <w:hyperlink w:anchor="_Toc76720692" w:history="1">
        <w:r w:rsidR="00DC11CC" w:rsidRPr="00D9761F">
          <w:rPr>
            <w:rStyle w:val="ab"/>
            <w:rFonts w:ascii="宋体" w:hAnsi="宋体" w:hint="eastAsia"/>
            <w:noProof/>
          </w:rPr>
          <w:t>十三、</w:t>
        </w:r>
        <w:r w:rsidR="00DC11CC" w:rsidRPr="002D50AE">
          <w:rPr>
            <w:rFonts w:ascii="Calibri" w:hAnsi="Calibri"/>
            <w:noProof/>
            <w:szCs w:val="22"/>
          </w:rPr>
          <w:tab/>
        </w:r>
        <w:r w:rsidR="00DC11CC" w:rsidRPr="00D9761F">
          <w:rPr>
            <w:rStyle w:val="ab"/>
            <w:rFonts w:ascii="宋体" w:hAnsi="宋体" w:hint="eastAsia"/>
            <w:noProof/>
          </w:rPr>
          <w:t>基金有关文件档案的保存</w:t>
        </w:r>
        <w:r w:rsidR="00DC11CC">
          <w:rPr>
            <w:noProof/>
            <w:webHidden/>
          </w:rPr>
          <w:tab/>
        </w:r>
        <w:r w:rsidR="00487D73">
          <w:rPr>
            <w:noProof/>
            <w:webHidden/>
          </w:rPr>
          <w:fldChar w:fldCharType="begin"/>
        </w:r>
        <w:r w:rsidR="00DC11CC">
          <w:rPr>
            <w:noProof/>
            <w:webHidden/>
          </w:rPr>
          <w:instrText xml:space="preserve"> PAGEREF _Toc76720692 \h </w:instrText>
        </w:r>
        <w:r w:rsidR="00487D73">
          <w:rPr>
            <w:noProof/>
            <w:webHidden/>
          </w:rPr>
        </w:r>
        <w:r w:rsidR="00487D73">
          <w:rPr>
            <w:noProof/>
            <w:webHidden/>
          </w:rPr>
          <w:fldChar w:fldCharType="separate"/>
        </w:r>
        <w:r w:rsidR="008124C0">
          <w:rPr>
            <w:noProof/>
            <w:webHidden/>
          </w:rPr>
          <w:t>43</w:t>
        </w:r>
        <w:r w:rsidR="00487D73">
          <w:rPr>
            <w:noProof/>
            <w:webHidden/>
          </w:rPr>
          <w:fldChar w:fldCharType="end"/>
        </w:r>
      </w:hyperlink>
    </w:p>
    <w:p w:rsidR="00DC11CC" w:rsidRPr="002D50AE" w:rsidRDefault="007D7753">
      <w:pPr>
        <w:pStyle w:val="10"/>
        <w:tabs>
          <w:tab w:val="left" w:pos="1050"/>
          <w:tab w:val="right" w:leader="dot" w:pos="8296"/>
        </w:tabs>
        <w:rPr>
          <w:rFonts w:ascii="Calibri" w:hAnsi="Calibri"/>
          <w:noProof/>
          <w:szCs w:val="22"/>
        </w:rPr>
      </w:pPr>
      <w:hyperlink w:anchor="_Toc76720693" w:history="1">
        <w:r w:rsidR="00DC11CC" w:rsidRPr="00D9761F">
          <w:rPr>
            <w:rStyle w:val="ab"/>
            <w:rFonts w:ascii="宋体" w:hAnsi="宋体" w:hint="eastAsia"/>
            <w:noProof/>
          </w:rPr>
          <w:t>十四、</w:t>
        </w:r>
        <w:r w:rsidR="00DC11CC" w:rsidRPr="002D50AE">
          <w:rPr>
            <w:rFonts w:ascii="Calibri" w:hAnsi="Calibri"/>
            <w:noProof/>
            <w:szCs w:val="22"/>
          </w:rPr>
          <w:tab/>
        </w:r>
        <w:r w:rsidR="00DC11CC" w:rsidRPr="00D9761F">
          <w:rPr>
            <w:rStyle w:val="ab"/>
            <w:rFonts w:ascii="宋体" w:hAnsi="宋体" w:hint="eastAsia"/>
            <w:noProof/>
          </w:rPr>
          <w:t>基金管理人和基金托管人的更换</w:t>
        </w:r>
        <w:r w:rsidR="00DC11CC">
          <w:rPr>
            <w:noProof/>
            <w:webHidden/>
          </w:rPr>
          <w:tab/>
        </w:r>
        <w:r w:rsidR="00487D73">
          <w:rPr>
            <w:noProof/>
            <w:webHidden/>
          </w:rPr>
          <w:fldChar w:fldCharType="begin"/>
        </w:r>
        <w:r w:rsidR="00DC11CC">
          <w:rPr>
            <w:noProof/>
            <w:webHidden/>
          </w:rPr>
          <w:instrText xml:space="preserve"> PAGEREF _Toc76720693 \h </w:instrText>
        </w:r>
        <w:r w:rsidR="00487D73">
          <w:rPr>
            <w:noProof/>
            <w:webHidden/>
          </w:rPr>
        </w:r>
        <w:r w:rsidR="00487D73">
          <w:rPr>
            <w:noProof/>
            <w:webHidden/>
          </w:rPr>
          <w:fldChar w:fldCharType="separate"/>
        </w:r>
        <w:r w:rsidR="008124C0">
          <w:rPr>
            <w:noProof/>
            <w:webHidden/>
          </w:rPr>
          <w:t>44</w:t>
        </w:r>
        <w:r w:rsidR="00487D73">
          <w:rPr>
            <w:noProof/>
            <w:webHidden/>
          </w:rPr>
          <w:fldChar w:fldCharType="end"/>
        </w:r>
      </w:hyperlink>
    </w:p>
    <w:p w:rsidR="00DC11CC" w:rsidRPr="002D50AE" w:rsidRDefault="007D7753">
      <w:pPr>
        <w:pStyle w:val="10"/>
        <w:tabs>
          <w:tab w:val="left" w:pos="1050"/>
          <w:tab w:val="right" w:leader="dot" w:pos="8296"/>
        </w:tabs>
        <w:rPr>
          <w:rFonts w:ascii="Calibri" w:hAnsi="Calibri"/>
          <w:noProof/>
          <w:szCs w:val="22"/>
        </w:rPr>
      </w:pPr>
      <w:hyperlink w:anchor="_Toc76720694" w:history="1">
        <w:r w:rsidR="00DC11CC" w:rsidRPr="00D9761F">
          <w:rPr>
            <w:rStyle w:val="ab"/>
            <w:rFonts w:ascii="宋体" w:hAnsi="宋体" w:hint="eastAsia"/>
            <w:noProof/>
          </w:rPr>
          <w:t>十五、</w:t>
        </w:r>
        <w:r w:rsidR="00DC11CC" w:rsidRPr="002D50AE">
          <w:rPr>
            <w:rFonts w:ascii="Calibri" w:hAnsi="Calibri"/>
            <w:noProof/>
            <w:szCs w:val="22"/>
          </w:rPr>
          <w:tab/>
        </w:r>
        <w:r w:rsidR="00DC11CC" w:rsidRPr="00D9761F">
          <w:rPr>
            <w:rStyle w:val="ab"/>
            <w:rFonts w:ascii="宋体" w:hAnsi="宋体" w:hint="eastAsia"/>
            <w:noProof/>
          </w:rPr>
          <w:t>禁止行为</w:t>
        </w:r>
        <w:r w:rsidR="00DC11CC">
          <w:rPr>
            <w:noProof/>
            <w:webHidden/>
          </w:rPr>
          <w:tab/>
        </w:r>
        <w:r w:rsidR="00487D73">
          <w:rPr>
            <w:noProof/>
            <w:webHidden/>
          </w:rPr>
          <w:fldChar w:fldCharType="begin"/>
        </w:r>
        <w:r w:rsidR="00DC11CC">
          <w:rPr>
            <w:noProof/>
            <w:webHidden/>
          </w:rPr>
          <w:instrText xml:space="preserve"> PAGEREF _Toc76720694 \h </w:instrText>
        </w:r>
        <w:r w:rsidR="00487D73">
          <w:rPr>
            <w:noProof/>
            <w:webHidden/>
          </w:rPr>
        </w:r>
        <w:r w:rsidR="00487D73">
          <w:rPr>
            <w:noProof/>
            <w:webHidden/>
          </w:rPr>
          <w:fldChar w:fldCharType="separate"/>
        </w:r>
        <w:r w:rsidR="008124C0">
          <w:rPr>
            <w:noProof/>
            <w:webHidden/>
          </w:rPr>
          <w:t>47</w:t>
        </w:r>
        <w:r w:rsidR="00487D73">
          <w:rPr>
            <w:noProof/>
            <w:webHidden/>
          </w:rPr>
          <w:fldChar w:fldCharType="end"/>
        </w:r>
      </w:hyperlink>
    </w:p>
    <w:p w:rsidR="00DC11CC" w:rsidRPr="002D50AE" w:rsidRDefault="007D7753">
      <w:pPr>
        <w:pStyle w:val="10"/>
        <w:tabs>
          <w:tab w:val="left" w:pos="1050"/>
          <w:tab w:val="right" w:leader="dot" w:pos="8296"/>
        </w:tabs>
        <w:rPr>
          <w:rFonts w:ascii="Calibri" w:hAnsi="Calibri"/>
          <w:noProof/>
          <w:szCs w:val="22"/>
        </w:rPr>
      </w:pPr>
      <w:hyperlink w:anchor="_Toc76720695" w:history="1">
        <w:r w:rsidR="00DC11CC" w:rsidRPr="00D9761F">
          <w:rPr>
            <w:rStyle w:val="ab"/>
            <w:rFonts w:ascii="宋体" w:hAnsi="宋体" w:hint="eastAsia"/>
            <w:noProof/>
          </w:rPr>
          <w:t>十六、</w:t>
        </w:r>
        <w:r w:rsidR="00DC11CC" w:rsidRPr="002D50AE">
          <w:rPr>
            <w:rFonts w:ascii="Calibri" w:hAnsi="Calibri"/>
            <w:noProof/>
            <w:szCs w:val="22"/>
          </w:rPr>
          <w:tab/>
        </w:r>
        <w:r w:rsidR="00DC11CC" w:rsidRPr="00D9761F">
          <w:rPr>
            <w:rStyle w:val="ab"/>
            <w:rFonts w:ascii="宋体" w:hAnsi="宋体" w:hint="eastAsia"/>
            <w:noProof/>
          </w:rPr>
          <w:t>托管协议的变更、终止与基金财产的清算</w:t>
        </w:r>
        <w:r w:rsidR="00DC11CC">
          <w:rPr>
            <w:noProof/>
            <w:webHidden/>
          </w:rPr>
          <w:tab/>
        </w:r>
        <w:r w:rsidR="00487D73">
          <w:rPr>
            <w:noProof/>
            <w:webHidden/>
          </w:rPr>
          <w:fldChar w:fldCharType="begin"/>
        </w:r>
        <w:r w:rsidR="00DC11CC">
          <w:rPr>
            <w:noProof/>
            <w:webHidden/>
          </w:rPr>
          <w:instrText xml:space="preserve"> PAGEREF _Toc76720695 \h </w:instrText>
        </w:r>
        <w:r w:rsidR="00487D73">
          <w:rPr>
            <w:noProof/>
            <w:webHidden/>
          </w:rPr>
        </w:r>
        <w:r w:rsidR="00487D73">
          <w:rPr>
            <w:noProof/>
            <w:webHidden/>
          </w:rPr>
          <w:fldChar w:fldCharType="separate"/>
        </w:r>
        <w:r w:rsidR="008124C0">
          <w:rPr>
            <w:noProof/>
            <w:webHidden/>
          </w:rPr>
          <w:t>49</w:t>
        </w:r>
        <w:r w:rsidR="00487D73">
          <w:rPr>
            <w:noProof/>
            <w:webHidden/>
          </w:rPr>
          <w:fldChar w:fldCharType="end"/>
        </w:r>
      </w:hyperlink>
    </w:p>
    <w:p w:rsidR="00DC11CC" w:rsidRPr="002D50AE" w:rsidRDefault="007D7753">
      <w:pPr>
        <w:pStyle w:val="10"/>
        <w:tabs>
          <w:tab w:val="left" w:pos="1050"/>
          <w:tab w:val="right" w:leader="dot" w:pos="8296"/>
        </w:tabs>
        <w:rPr>
          <w:rFonts w:ascii="Calibri" w:hAnsi="Calibri"/>
          <w:noProof/>
          <w:szCs w:val="22"/>
        </w:rPr>
      </w:pPr>
      <w:hyperlink w:anchor="_Toc76720696" w:history="1">
        <w:r w:rsidR="00DC11CC" w:rsidRPr="00D9761F">
          <w:rPr>
            <w:rStyle w:val="ab"/>
            <w:rFonts w:ascii="宋体" w:hAnsi="宋体" w:hint="eastAsia"/>
            <w:noProof/>
          </w:rPr>
          <w:t>十七、</w:t>
        </w:r>
        <w:r w:rsidR="00DC11CC" w:rsidRPr="002D50AE">
          <w:rPr>
            <w:rFonts w:ascii="Calibri" w:hAnsi="Calibri"/>
            <w:noProof/>
            <w:szCs w:val="22"/>
          </w:rPr>
          <w:tab/>
        </w:r>
        <w:r w:rsidR="00DC11CC" w:rsidRPr="00D9761F">
          <w:rPr>
            <w:rStyle w:val="ab"/>
            <w:rFonts w:ascii="宋体" w:hAnsi="宋体" w:hint="eastAsia"/>
            <w:noProof/>
          </w:rPr>
          <w:t>违约责任</w:t>
        </w:r>
        <w:r w:rsidR="00DC11CC">
          <w:rPr>
            <w:noProof/>
            <w:webHidden/>
          </w:rPr>
          <w:tab/>
        </w:r>
        <w:r w:rsidR="00487D73">
          <w:rPr>
            <w:noProof/>
            <w:webHidden/>
          </w:rPr>
          <w:fldChar w:fldCharType="begin"/>
        </w:r>
        <w:r w:rsidR="00DC11CC">
          <w:rPr>
            <w:noProof/>
            <w:webHidden/>
          </w:rPr>
          <w:instrText xml:space="preserve"> PAGEREF _Toc76720696 \h </w:instrText>
        </w:r>
        <w:r w:rsidR="00487D73">
          <w:rPr>
            <w:noProof/>
            <w:webHidden/>
          </w:rPr>
        </w:r>
        <w:r w:rsidR="00487D73">
          <w:rPr>
            <w:noProof/>
            <w:webHidden/>
          </w:rPr>
          <w:fldChar w:fldCharType="separate"/>
        </w:r>
        <w:r w:rsidR="008124C0">
          <w:rPr>
            <w:noProof/>
            <w:webHidden/>
          </w:rPr>
          <w:t>51</w:t>
        </w:r>
        <w:r w:rsidR="00487D73">
          <w:rPr>
            <w:noProof/>
            <w:webHidden/>
          </w:rPr>
          <w:fldChar w:fldCharType="end"/>
        </w:r>
      </w:hyperlink>
    </w:p>
    <w:p w:rsidR="00DC11CC" w:rsidRPr="002D50AE" w:rsidRDefault="007D7753">
      <w:pPr>
        <w:pStyle w:val="10"/>
        <w:tabs>
          <w:tab w:val="left" w:pos="1050"/>
          <w:tab w:val="right" w:leader="dot" w:pos="8296"/>
        </w:tabs>
        <w:rPr>
          <w:rFonts w:ascii="Calibri" w:hAnsi="Calibri"/>
          <w:noProof/>
          <w:szCs w:val="22"/>
        </w:rPr>
      </w:pPr>
      <w:hyperlink w:anchor="_Toc76720697" w:history="1">
        <w:r w:rsidR="00DC11CC" w:rsidRPr="00D9761F">
          <w:rPr>
            <w:rStyle w:val="ab"/>
            <w:rFonts w:ascii="宋体" w:hAnsi="宋体" w:hint="eastAsia"/>
            <w:noProof/>
          </w:rPr>
          <w:t>十八、</w:t>
        </w:r>
        <w:r w:rsidR="00DC11CC" w:rsidRPr="002D50AE">
          <w:rPr>
            <w:rFonts w:ascii="Calibri" w:hAnsi="Calibri"/>
            <w:noProof/>
            <w:szCs w:val="22"/>
          </w:rPr>
          <w:tab/>
        </w:r>
        <w:r w:rsidR="00DC11CC" w:rsidRPr="00D9761F">
          <w:rPr>
            <w:rStyle w:val="ab"/>
            <w:rFonts w:ascii="宋体" w:hAnsi="宋体" w:hint="eastAsia"/>
            <w:noProof/>
          </w:rPr>
          <w:t>争议解决方式</w:t>
        </w:r>
        <w:r w:rsidR="00DC11CC">
          <w:rPr>
            <w:noProof/>
            <w:webHidden/>
          </w:rPr>
          <w:tab/>
        </w:r>
        <w:r w:rsidR="00487D73">
          <w:rPr>
            <w:noProof/>
            <w:webHidden/>
          </w:rPr>
          <w:fldChar w:fldCharType="begin"/>
        </w:r>
        <w:r w:rsidR="00DC11CC">
          <w:rPr>
            <w:noProof/>
            <w:webHidden/>
          </w:rPr>
          <w:instrText xml:space="preserve"> PAGEREF _Toc76720697 \h </w:instrText>
        </w:r>
        <w:r w:rsidR="00487D73">
          <w:rPr>
            <w:noProof/>
            <w:webHidden/>
          </w:rPr>
        </w:r>
        <w:r w:rsidR="00487D73">
          <w:rPr>
            <w:noProof/>
            <w:webHidden/>
          </w:rPr>
          <w:fldChar w:fldCharType="separate"/>
        </w:r>
        <w:r w:rsidR="008124C0">
          <w:rPr>
            <w:noProof/>
            <w:webHidden/>
          </w:rPr>
          <w:t>52</w:t>
        </w:r>
        <w:r w:rsidR="00487D73">
          <w:rPr>
            <w:noProof/>
            <w:webHidden/>
          </w:rPr>
          <w:fldChar w:fldCharType="end"/>
        </w:r>
      </w:hyperlink>
    </w:p>
    <w:p w:rsidR="00DC11CC" w:rsidRPr="002D50AE" w:rsidRDefault="007D7753">
      <w:pPr>
        <w:pStyle w:val="10"/>
        <w:tabs>
          <w:tab w:val="left" w:pos="1050"/>
          <w:tab w:val="right" w:leader="dot" w:pos="8296"/>
        </w:tabs>
        <w:rPr>
          <w:rFonts w:ascii="Calibri" w:hAnsi="Calibri"/>
          <w:noProof/>
          <w:szCs w:val="22"/>
        </w:rPr>
      </w:pPr>
      <w:hyperlink w:anchor="_Toc76720698" w:history="1">
        <w:r w:rsidR="00DC11CC" w:rsidRPr="00D9761F">
          <w:rPr>
            <w:rStyle w:val="ab"/>
            <w:rFonts w:ascii="宋体" w:hAnsi="宋体" w:hint="eastAsia"/>
            <w:noProof/>
          </w:rPr>
          <w:t>十九、</w:t>
        </w:r>
        <w:r w:rsidR="00DC11CC" w:rsidRPr="002D50AE">
          <w:rPr>
            <w:rFonts w:ascii="Calibri" w:hAnsi="Calibri"/>
            <w:noProof/>
            <w:szCs w:val="22"/>
          </w:rPr>
          <w:tab/>
        </w:r>
        <w:r w:rsidR="00DC11CC" w:rsidRPr="00D9761F">
          <w:rPr>
            <w:rStyle w:val="ab"/>
            <w:rFonts w:ascii="宋体" w:hAnsi="宋体" w:hint="eastAsia"/>
            <w:noProof/>
          </w:rPr>
          <w:t>托管协议的效力</w:t>
        </w:r>
        <w:r w:rsidR="00DC11CC">
          <w:rPr>
            <w:noProof/>
            <w:webHidden/>
          </w:rPr>
          <w:tab/>
        </w:r>
        <w:r w:rsidR="00487D73">
          <w:rPr>
            <w:noProof/>
            <w:webHidden/>
          </w:rPr>
          <w:fldChar w:fldCharType="begin"/>
        </w:r>
        <w:r w:rsidR="00DC11CC">
          <w:rPr>
            <w:noProof/>
            <w:webHidden/>
          </w:rPr>
          <w:instrText xml:space="preserve"> PAGEREF _Toc76720698 \h </w:instrText>
        </w:r>
        <w:r w:rsidR="00487D73">
          <w:rPr>
            <w:noProof/>
            <w:webHidden/>
          </w:rPr>
        </w:r>
        <w:r w:rsidR="00487D73">
          <w:rPr>
            <w:noProof/>
            <w:webHidden/>
          </w:rPr>
          <w:fldChar w:fldCharType="separate"/>
        </w:r>
        <w:r w:rsidR="008124C0">
          <w:rPr>
            <w:noProof/>
            <w:webHidden/>
          </w:rPr>
          <w:t>53</w:t>
        </w:r>
        <w:r w:rsidR="00487D73">
          <w:rPr>
            <w:noProof/>
            <w:webHidden/>
          </w:rPr>
          <w:fldChar w:fldCharType="end"/>
        </w:r>
      </w:hyperlink>
    </w:p>
    <w:p w:rsidR="00DC11CC" w:rsidRPr="002D50AE" w:rsidRDefault="007D7753">
      <w:pPr>
        <w:pStyle w:val="10"/>
        <w:tabs>
          <w:tab w:val="left" w:pos="1050"/>
          <w:tab w:val="right" w:leader="dot" w:pos="8296"/>
        </w:tabs>
        <w:rPr>
          <w:rFonts w:ascii="Calibri" w:hAnsi="Calibri"/>
          <w:noProof/>
          <w:szCs w:val="22"/>
        </w:rPr>
      </w:pPr>
      <w:hyperlink w:anchor="_Toc76720699" w:history="1">
        <w:r w:rsidR="00DC11CC" w:rsidRPr="00D9761F">
          <w:rPr>
            <w:rStyle w:val="ab"/>
            <w:rFonts w:ascii="宋体" w:hAnsi="宋体" w:hint="eastAsia"/>
            <w:noProof/>
          </w:rPr>
          <w:t>二十、</w:t>
        </w:r>
        <w:r w:rsidR="00DC11CC" w:rsidRPr="002D50AE">
          <w:rPr>
            <w:rFonts w:ascii="Calibri" w:hAnsi="Calibri"/>
            <w:noProof/>
            <w:szCs w:val="22"/>
          </w:rPr>
          <w:tab/>
        </w:r>
        <w:r w:rsidR="00DC11CC" w:rsidRPr="00D9761F">
          <w:rPr>
            <w:rStyle w:val="ab"/>
            <w:rFonts w:ascii="宋体" w:hAnsi="宋体" w:hint="eastAsia"/>
            <w:noProof/>
          </w:rPr>
          <w:t>其他事项</w:t>
        </w:r>
        <w:r w:rsidR="00DC11CC">
          <w:rPr>
            <w:noProof/>
            <w:webHidden/>
          </w:rPr>
          <w:tab/>
        </w:r>
        <w:r w:rsidR="00487D73">
          <w:rPr>
            <w:noProof/>
            <w:webHidden/>
          </w:rPr>
          <w:fldChar w:fldCharType="begin"/>
        </w:r>
        <w:r w:rsidR="00DC11CC">
          <w:rPr>
            <w:noProof/>
            <w:webHidden/>
          </w:rPr>
          <w:instrText xml:space="preserve"> PAGEREF _Toc76720699 \h </w:instrText>
        </w:r>
        <w:r w:rsidR="00487D73">
          <w:rPr>
            <w:noProof/>
            <w:webHidden/>
          </w:rPr>
        </w:r>
        <w:r w:rsidR="00487D73">
          <w:rPr>
            <w:noProof/>
            <w:webHidden/>
          </w:rPr>
          <w:fldChar w:fldCharType="separate"/>
        </w:r>
        <w:r w:rsidR="008124C0">
          <w:rPr>
            <w:noProof/>
            <w:webHidden/>
          </w:rPr>
          <w:t>54</w:t>
        </w:r>
        <w:r w:rsidR="00487D73">
          <w:rPr>
            <w:noProof/>
            <w:webHidden/>
          </w:rPr>
          <w:fldChar w:fldCharType="end"/>
        </w:r>
      </w:hyperlink>
    </w:p>
    <w:p w:rsidR="00F0328E" w:rsidRDefault="00487D73">
      <w:pPr>
        <w:spacing w:line="360" w:lineRule="auto"/>
        <w:rPr>
          <w:rFonts w:ascii="宋体" w:hAnsi="宋体"/>
          <w:sz w:val="24"/>
        </w:rPr>
      </w:pPr>
      <w:r>
        <w:rPr>
          <w:rFonts w:ascii="宋体" w:hAnsi="宋体"/>
          <w:b/>
          <w:sz w:val="24"/>
        </w:rPr>
        <w:fldChar w:fldCharType="end"/>
      </w:r>
    </w:p>
    <w:p w:rsidR="00F0328E" w:rsidRDefault="00441AB8">
      <w:pPr>
        <w:snapToGrid w:val="0"/>
        <w:spacing w:line="360" w:lineRule="auto"/>
        <w:rPr>
          <w:rFonts w:ascii="宋体" w:hAnsi="宋体"/>
          <w:sz w:val="24"/>
        </w:rPr>
      </w:pPr>
      <w:r>
        <w:rPr>
          <w:rFonts w:ascii="宋体" w:hAnsi="宋体"/>
          <w:sz w:val="24"/>
        </w:rPr>
        <w:br w:type="page"/>
      </w:r>
    </w:p>
    <w:p w:rsidR="00F0328E" w:rsidRDefault="00441AB8">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鉴于</w:t>
      </w:r>
      <w:r>
        <w:rPr>
          <w:rFonts w:ascii="宋体" w:hAnsi="宋体" w:cs="Arial" w:hint="eastAsia"/>
          <w:sz w:val="24"/>
        </w:rPr>
        <w:t>华商基金管理有限公司</w:t>
      </w:r>
      <w:r>
        <w:rPr>
          <w:rFonts w:ascii="宋体" w:hAnsi="宋体" w:cs="Arial" w:hint="eastAsia"/>
          <w:kern w:val="0"/>
          <w:sz w:val="24"/>
        </w:rPr>
        <w:t>系一家依照中国法律合法成立并有效存续的有限责任公司，按照相关法律法规的规定具备担任基金管理人的资格和能力,拟募集发行</w:t>
      </w:r>
      <w:r w:rsidR="003770EA">
        <w:rPr>
          <w:rFonts w:ascii="宋体" w:hAnsi="宋体" w:cs="Arial" w:hint="eastAsia"/>
          <w:sz w:val="24"/>
        </w:rPr>
        <w:t>华商</w:t>
      </w:r>
      <w:r w:rsidR="001C1FCC">
        <w:rPr>
          <w:rFonts w:ascii="宋体" w:hAnsi="宋体" w:cs="Arial" w:hint="eastAsia"/>
          <w:sz w:val="24"/>
        </w:rPr>
        <w:t>新能源汽车</w:t>
      </w:r>
      <w:r>
        <w:rPr>
          <w:rFonts w:ascii="宋体" w:hAnsi="宋体" w:cs="Arial" w:hint="eastAsia"/>
          <w:sz w:val="24"/>
        </w:rPr>
        <w:t>混合型证券投资基金</w:t>
      </w:r>
      <w:r>
        <w:rPr>
          <w:rFonts w:ascii="宋体" w:hAnsi="宋体" w:cs="Arial" w:hint="eastAsia"/>
          <w:kern w:val="0"/>
          <w:sz w:val="24"/>
        </w:rPr>
        <w:t>；</w:t>
      </w:r>
    </w:p>
    <w:p w:rsidR="00F0328E" w:rsidRDefault="00441AB8">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鉴于浙商银行股份有限公司系一家依照中国法律合法成立并有效存续的银行，按照相关法律法规的规定具备担任基金托管人的资格和能力；</w:t>
      </w:r>
    </w:p>
    <w:p w:rsidR="00F0328E" w:rsidRDefault="00441AB8">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鉴于</w:t>
      </w:r>
      <w:r>
        <w:rPr>
          <w:rFonts w:ascii="宋体" w:hAnsi="宋体" w:cs="Arial" w:hint="eastAsia"/>
          <w:sz w:val="24"/>
        </w:rPr>
        <w:t>华商基金管理有限公司</w:t>
      </w:r>
      <w:r>
        <w:rPr>
          <w:rFonts w:ascii="宋体" w:hAnsi="宋体" w:cs="Arial" w:hint="eastAsia"/>
          <w:kern w:val="0"/>
          <w:sz w:val="24"/>
        </w:rPr>
        <w:t>拟担任</w:t>
      </w:r>
      <w:r w:rsidR="003770EA">
        <w:rPr>
          <w:rFonts w:ascii="宋体" w:hAnsi="宋体" w:cs="Arial" w:hint="eastAsia"/>
          <w:sz w:val="24"/>
        </w:rPr>
        <w:t>华商</w:t>
      </w:r>
      <w:r w:rsidR="001C1FCC">
        <w:rPr>
          <w:rFonts w:ascii="宋体" w:hAnsi="宋体" w:cs="Arial" w:hint="eastAsia"/>
          <w:sz w:val="24"/>
        </w:rPr>
        <w:t>新能源汽车</w:t>
      </w:r>
      <w:r>
        <w:rPr>
          <w:rFonts w:ascii="宋体" w:hAnsi="宋体" w:cs="Arial" w:hint="eastAsia"/>
          <w:sz w:val="24"/>
        </w:rPr>
        <w:t>混合型证券投资基金</w:t>
      </w:r>
      <w:r>
        <w:rPr>
          <w:rFonts w:ascii="宋体" w:hAnsi="宋体" w:cs="Arial" w:hint="eastAsia"/>
          <w:kern w:val="0"/>
          <w:sz w:val="24"/>
        </w:rPr>
        <w:t>的基金管理人，浙商银行股份有限公司拟担任</w:t>
      </w:r>
      <w:r w:rsidR="003770EA">
        <w:rPr>
          <w:rFonts w:ascii="宋体" w:hAnsi="宋体" w:cs="Arial" w:hint="eastAsia"/>
          <w:sz w:val="24"/>
        </w:rPr>
        <w:t>华商</w:t>
      </w:r>
      <w:r w:rsidR="001C1FCC">
        <w:rPr>
          <w:rFonts w:ascii="宋体" w:hAnsi="宋体" w:cs="Arial" w:hint="eastAsia"/>
          <w:sz w:val="24"/>
        </w:rPr>
        <w:t>新能源汽车</w:t>
      </w:r>
      <w:r>
        <w:rPr>
          <w:rFonts w:ascii="宋体" w:hAnsi="宋体" w:cs="Arial" w:hint="eastAsia"/>
          <w:sz w:val="24"/>
        </w:rPr>
        <w:t>混合型证券投资基金</w:t>
      </w:r>
      <w:r>
        <w:rPr>
          <w:rFonts w:ascii="宋体" w:hAnsi="宋体" w:cs="Arial" w:hint="eastAsia"/>
          <w:kern w:val="0"/>
          <w:sz w:val="24"/>
        </w:rPr>
        <w:t>的基金托管人；</w:t>
      </w:r>
    </w:p>
    <w:p w:rsidR="00F0328E" w:rsidRDefault="00441AB8">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为</w:t>
      </w:r>
      <w:r w:rsidR="003770EA">
        <w:rPr>
          <w:rFonts w:ascii="宋体" w:hAnsi="宋体" w:cs="Arial" w:hint="eastAsia"/>
          <w:kern w:val="0"/>
          <w:sz w:val="24"/>
        </w:rPr>
        <w:t>华商</w:t>
      </w:r>
      <w:r w:rsidR="001C1FCC">
        <w:rPr>
          <w:rFonts w:ascii="宋体" w:hAnsi="宋体" w:cs="Arial" w:hint="eastAsia"/>
          <w:kern w:val="0"/>
          <w:sz w:val="24"/>
        </w:rPr>
        <w:t>新能源汽车</w:t>
      </w:r>
      <w:r>
        <w:rPr>
          <w:rFonts w:ascii="宋体" w:hAnsi="宋体" w:cs="Arial" w:hint="eastAsia"/>
          <w:kern w:val="0"/>
          <w:sz w:val="24"/>
        </w:rPr>
        <w:t>混合型证券投资基金的基金管理人和基金托管人之间的权利义务关系，特制订本托管协议；</w:t>
      </w:r>
    </w:p>
    <w:p w:rsidR="00F0328E" w:rsidRDefault="00441AB8">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除非另有约定，《</w:t>
      </w:r>
      <w:r w:rsidR="003770EA">
        <w:rPr>
          <w:rFonts w:ascii="宋体" w:hAnsi="宋体" w:cs="Arial" w:hint="eastAsia"/>
          <w:sz w:val="24"/>
        </w:rPr>
        <w:t>华商</w:t>
      </w:r>
      <w:r w:rsidR="001C1FCC">
        <w:rPr>
          <w:rFonts w:ascii="宋体" w:hAnsi="宋体" w:cs="Arial" w:hint="eastAsia"/>
          <w:sz w:val="24"/>
        </w:rPr>
        <w:t>新能源汽车</w:t>
      </w:r>
      <w:r>
        <w:rPr>
          <w:rFonts w:ascii="宋体" w:hAnsi="宋体" w:cs="Arial" w:hint="eastAsia"/>
          <w:sz w:val="24"/>
        </w:rPr>
        <w:t>混合型证券投资基金</w:t>
      </w:r>
      <w:r>
        <w:rPr>
          <w:rFonts w:ascii="宋体" w:hAnsi="宋体" w:cs="Arial" w:hint="eastAsia"/>
          <w:kern w:val="0"/>
          <w:sz w:val="24"/>
        </w:rPr>
        <w:t>基金合同》(以下简称“基金合同”)中定义的术语在用于本托管协议时应具有相同的含义；若有抵触应以基金合同为准，并依其条款解释。</w:t>
      </w:r>
    </w:p>
    <w:p w:rsidR="00F0328E" w:rsidRDefault="00441AB8">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若本基金实施侧袋机制的，侧袋机制实施期间的相关安排见基金合同和招募说明书的规定。</w:t>
      </w:r>
    </w:p>
    <w:p w:rsidR="00F0328E" w:rsidRDefault="00441AB8">
      <w:pPr>
        <w:pStyle w:val="1"/>
        <w:numPr>
          <w:ilvl w:val="0"/>
          <w:numId w:val="1"/>
        </w:numPr>
        <w:spacing w:before="0" w:after="0" w:line="360" w:lineRule="auto"/>
        <w:rPr>
          <w:rFonts w:ascii="宋体" w:hAnsi="宋体"/>
          <w:sz w:val="24"/>
          <w:szCs w:val="24"/>
        </w:rPr>
      </w:pPr>
      <w:bookmarkStart w:id="7" w:name="_Toc295832929"/>
      <w:bookmarkStart w:id="8" w:name="_Toc295832623"/>
      <w:bookmarkStart w:id="9" w:name="_Toc295832990"/>
      <w:bookmarkStart w:id="10" w:name="_Toc295832621"/>
      <w:bookmarkStart w:id="11" w:name="_Toc295832622"/>
      <w:bookmarkStart w:id="12" w:name="_Toc295833664"/>
      <w:bookmarkStart w:id="13" w:name="_Toc295832930"/>
      <w:bookmarkStart w:id="14" w:name="_Toc295832988"/>
      <w:bookmarkStart w:id="15" w:name="_Toc295832928"/>
      <w:bookmarkStart w:id="16" w:name="_Toc295833665"/>
      <w:bookmarkStart w:id="17" w:name="_Toc295832989"/>
      <w:bookmarkStart w:id="18" w:name="_Toc295833663"/>
      <w:bookmarkStart w:id="19" w:name="_Toc270669852"/>
      <w:bookmarkStart w:id="20" w:name="_Toc124325885"/>
      <w:bookmarkEnd w:id="7"/>
      <w:bookmarkEnd w:id="8"/>
      <w:bookmarkEnd w:id="9"/>
      <w:bookmarkEnd w:id="10"/>
      <w:bookmarkEnd w:id="11"/>
      <w:bookmarkEnd w:id="12"/>
      <w:bookmarkEnd w:id="13"/>
      <w:bookmarkEnd w:id="14"/>
      <w:bookmarkEnd w:id="15"/>
      <w:bookmarkEnd w:id="16"/>
      <w:bookmarkEnd w:id="17"/>
      <w:bookmarkEnd w:id="18"/>
      <w:r>
        <w:rPr>
          <w:rFonts w:ascii="宋体" w:hAnsi="宋体"/>
          <w:sz w:val="24"/>
          <w:szCs w:val="24"/>
        </w:rPr>
        <w:br w:type="page"/>
      </w:r>
      <w:bookmarkStart w:id="21" w:name="_Toc276739045"/>
      <w:bookmarkStart w:id="22" w:name="_Toc76720680"/>
      <w:bookmarkStart w:id="23" w:name="_Toc295833667"/>
      <w:bookmarkEnd w:id="19"/>
      <w:bookmarkEnd w:id="20"/>
      <w:r>
        <w:rPr>
          <w:rFonts w:ascii="宋体" w:hAnsi="宋体"/>
          <w:sz w:val="24"/>
          <w:szCs w:val="24"/>
        </w:rPr>
        <w:lastRenderedPageBreak/>
        <w:t>基金托管协议当事人</w:t>
      </w:r>
      <w:bookmarkEnd w:id="21"/>
      <w:bookmarkEnd w:id="22"/>
    </w:p>
    <w:bookmarkEnd w:id="23"/>
    <w:p w:rsidR="00F0328E" w:rsidRDefault="00441AB8">
      <w:pPr>
        <w:spacing w:line="360" w:lineRule="auto"/>
        <w:ind w:firstLineChars="200" w:firstLine="480"/>
        <w:rPr>
          <w:rFonts w:ascii="宋体" w:hAnsi="宋体"/>
          <w:bCs/>
          <w:sz w:val="24"/>
        </w:rPr>
      </w:pPr>
      <w:r>
        <w:rPr>
          <w:rFonts w:ascii="宋体" w:hAnsi="宋体" w:hint="eastAsia"/>
          <w:bCs/>
          <w:sz w:val="24"/>
        </w:rPr>
        <w:t>（一）基金管理人</w:t>
      </w:r>
    </w:p>
    <w:p w:rsidR="00F0328E" w:rsidRDefault="00441AB8">
      <w:pPr>
        <w:spacing w:line="360" w:lineRule="auto"/>
        <w:ind w:firstLineChars="200" w:firstLine="480"/>
        <w:rPr>
          <w:rFonts w:ascii="宋体" w:hAnsi="宋体"/>
          <w:bCs/>
          <w:sz w:val="24"/>
        </w:rPr>
      </w:pPr>
      <w:bookmarkStart w:id="24" w:name="_Toc15118236"/>
      <w:r>
        <w:rPr>
          <w:rFonts w:ascii="宋体" w:hAnsi="宋体" w:hint="eastAsia"/>
          <w:bCs/>
          <w:sz w:val="24"/>
        </w:rPr>
        <w:t>名称：华商基金管理有限公司</w:t>
      </w:r>
    </w:p>
    <w:p w:rsidR="00F0328E" w:rsidRDefault="00441AB8">
      <w:pPr>
        <w:spacing w:line="360" w:lineRule="auto"/>
        <w:ind w:firstLineChars="200" w:firstLine="480"/>
        <w:rPr>
          <w:rFonts w:ascii="宋体" w:hAnsi="宋体"/>
          <w:bCs/>
          <w:sz w:val="24"/>
        </w:rPr>
      </w:pPr>
      <w:r>
        <w:rPr>
          <w:rFonts w:ascii="宋体" w:hAnsi="宋体" w:hint="eastAsia"/>
          <w:bCs/>
          <w:sz w:val="24"/>
        </w:rPr>
        <w:t>住所：北京市西城区平安里西大街28号楼19层</w:t>
      </w:r>
    </w:p>
    <w:p w:rsidR="00F0328E" w:rsidRDefault="00441AB8">
      <w:pPr>
        <w:spacing w:line="360" w:lineRule="auto"/>
        <w:ind w:firstLineChars="200" w:firstLine="480"/>
        <w:rPr>
          <w:rFonts w:ascii="宋体" w:hAnsi="宋体"/>
          <w:bCs/>
          <w:sz w:val="24"/>
        </w:rPr>
      </w:pPr>
      <w:r>
        <w:rPr>
          <w:rFonts w:ascii="宋体" w:hAnsi="宋体" w:hint="eastAsia"/>
          <w:bCs/>
          <w:sz w:val="24"/>
        </w:rPr>
        <w:t>法定代表人: 陈牧原</w:t>
      </w:r>
    </w:p>
    <w:p w:rsidR="00F0328E" w:rsidRDefault="00441AB8">
      <w:pPr>
        <w:spacing w:line="360" w:lineRule="auto"/>
        <w:ind w:firstLineChars="200" w:firstLine="480"/>
        <w:rPr>
          <w:rFonts w:ascii="宋体" w:hAnsi="宋体"/>
          <w:bCs/>
          <w:sz w:val="24"/>
        </w:rPr>
      </w:pPr>
      <w:r>
        <w:rPr>
          <w:rFonts w:ascii="宋体" w:hAnsi="宋体" w:hint="eastAsia"/>
          <w:bCs/>
          <w:sz w:val="24"/>
        </w:rPr>
        <w:t>成立时间：2005年12月20日</w:t>
      </w:r>
    </w:p>
    <w:p w:rsidR="00F0328E" w:rsidRDefault="00441AB8">
      <w:pPr>
        <w:spacing w:line="360" w:lineRule="auto"/>
        <w:ind w:firstLineChars="200" w:firstLine="480"/>
        <w:rPr>
          <w:rFonts w:ascii="宋体" w:hAnsi="宋体"/>
          <w:bCs/>
          <w:sz w:val="24"/>
        </w:rPr>
      </w:pPr>
      <w:r>
        <w:rPr>
          <w:rFonts w:ascii="宋体" w:hAnsi="宋体" w:hint="eastAsia"/>
          <w:bCs/>
          <w:sz w:val="24"/>
        </w:rPr>
        <w:t>批准设立机关：中国证券监督管理委员会</w:t>
      </w:r>
    </w:p>
    <w:p w:rsidR="00F0328E" w:rsidRDefault="00441AB8">
      <w:pPr>
        <w:spacing w:line="360" w:lineRule="auto"/>
        <w:ind w:firstLineChars="200" w:firstLine="480"/>
        <w:rPr>
          <w:rFonts w:ascii="宋体" w:hAnsi="宋体"/>
          <w:bCs/>
          <w:sz w:val="24"/>
        </w:rPr>
      </w:pPr>
      <w:r>
        <w:rPr>
          <w:rFonts w:ascii="宋体" w:hAnsi="宋体" w:hint="eastAsia"/>
          <w:bCs/>
          <w:sz w:val="24"/>
        </w:rPr>
        <w:t>批准设立文号：证监基金字【2005】160号</w:t>
      </w:r>
    </w:p>
    <w:p w:rsidR="00F0328E" w:rsidRDefault="00441AB8">
      <w:pPr>
        <w:spacing w:line="360" w:lineRule="auto"/>
        <w:ind w:firstLineChars="200" w:firstLine="480"/>
        <w:rPr>
          <w:rFonts w:ascii="宋体" w:hAnsi="宋体"/>
          <w:bCs/>
          <w:sz w:val="24"/>
        </w:rPr>
      </w:pPr>
      <w:r>
        <w:rPr>
          <w:rFonts w:ascii="宋体" w:hAnsi="宋体" w:hint="eastAsia"/>
          <w:bCs/>
          <w:sz w:val="24"/>
        </w:rPr>
        <w:t>组织形式：其他有限责任公司</w:t>
      </w:r>
    </w:p>
    <w:p w:rsidR="00F0328E" w:rsidRDefault="00441AB8">
      <w:pPr>
        <w:spacing w:line="360" w:lineRule="auto"/>
        <w:ind w:firstLineChars="200" w:firstLine="480"/>
        <w:rPr>
          <w:rFonts w:ascii="宋体" w:hAnsi="宋体"/>
          <w:bCs/>
          <w:sz w:val="24"/>
        </w:rPr>
      </w:pPr>
      <w:r>
        <w:rPr>
          <w:rFonts w:ascii="宋体" w:hAnsi="宋体" w:hint="eastAsia"/>
          <w:bCs/>
          <w:sz w:val="24"/>
        </w:rPr>
        <w:t>注册资本：壹亿元人民币</w:t>
      </w:r>
    </w:p>
    <w:p w:rsidR="00F0328E" w:rsidRDefault="00441AB8">
      <w:pPr>
        <w:spacing w:line="360" w:lineRule="auto"/>
        <w:ind w:firstLineChars="200" w:firstLine="480"/>
        <w:rPr>
          <w:rFonts w:ascii="宋体" w:hAnsi="宋体"/>
          <w:bCs/>
          <w:sz w:val="24"/>
        </w:rPr>
      </w:pPr>
      <w:r>
        <w:rPr>
          <w:rFonts w:ascii="宋体" w:hAnsi="宋体" w:hint="eastAsia"/>
          <w:bCs/>
          <w:sz w:val="24"/>
        </w:rPr>
        <w:t>经营范围：基金募集；基金销售；资产管理和中国证监会许可的其他业务</w:t>
      </w:r>
    </w:p>
    <w:p w:rsidR="00F0328E" w:rsidRDefault="00441AB8">
      <w:pPr>
        <w:spacing w:line="360" w:lineRule="auto"/>
        <w:ind w:firstLineChars="200" w:firstLine="480"/>
        <w:rPr>
          <w:rFonts w:ascii="宋体" w:hAnsi="宋体"/>
          <w:bCs/>
          <w:sz w:val="24"/>
        </w:rPr>
      </w:pPr>
      <w:r>
        <w:rPr>
          <w:rFonts w:ascii="宋体" w:hAnsi="宋体" w:hint="eastAsia"/>
          <w:bCs/>
          <w:sz w:val="24"/>
        </w:rPr>
        <w:t>存续期间：持续经营</w:t>
      </w:r>
      <w:bookmarkEnd w:id="24"/>
    </w:p>
    <w:p w:rsidR="00F0328E" w:rsidRDefault="00441AB8">
      <w:pPr>
        <w:spacing w:line="360" w:lineRule="auto"/>
        <w:ind w:firstLineChars="200" w:firstLine="480"/>
        <w:rPr>
          <w:rFonts w:ascii="宋体" w:hAnsi="宋体"/>
          <w:bCs/>
          <w:sz w:val="24"/>
        </w:rPr>
      </w:pPr>
      <w:r>
        <w:rPr>
          <w:rFonts w:ascii="宋体" w:hAnsi="宋体" w:hint="eastAsia"/>
          <w:bCs/>
          <w:sz w:val="24"/>
        </w:rPr>
        <w:t>（二）基金托管人</w:t>
      </w:r>
    </w:p>
    <w:p w:rsidR="00F0328E" w:rsidRDefault="00441AB8">
      <w:pPr>
        <w:spacing w:line="360" w:lineRule="auto"/>
        <w:ind w:firstLineChars="200" w:firstLine="480"/>
        <w:jc w:val="left"/>
        <w:rPr>
          <w:rFonts w:ascii="宋体" w:hAnsi="宋体"/>
          <w:bCs/>
          <w:sz w:val="24"/>
        </w:rPr>
      </w:pPr>
      <w:r>
        <w:rPr>
          <w:rFonts w:ascii="宋体" w:hAnsi="宋体" w:hint="eastAsia"/>
          <w:bCs/>
          <w:sz w:val="24"/>
        </w:rPr>
        <w:t>名称：浙商银行股份有限公司</w:t>
      </w:r>
    </w:p>
    <w:p w:rsidR="00F0328E" w:rsidRDefault="00441AB8">
      <w:pPr>
        <w:spacing w:line="360" w:lineRule="auto"/>
        <w:ind w:firstLineChars="200" w:firstLine="480"/>
        <w:jc w:val="left"/>
        <w:rPr>
          <w:rFonts w:ascii="宋体" w:hAnsi="宋体"/>
          <w:bCs/>
          <w:sz w:val="24"/>
        </w:rPr>
      </w:pPr>
      <w:r>
        <w:rPr>
          <w:rFonts w:ascii="宋体" w:hAnsi="宋体" w:hint="eastAsia"/>
          <w:bCs/>
          <w:sz w:val="24"/>
        </w:rPr>
        <w:t>注册地址：浙江省杭州市萧山区鸿宁路1788号</w:t>
      </w:r>
    </w:p>
    <w:p w:rsidR="00F0328E" w:rsidRDefault="00441AB8">
      <w:pPr>
        <w:spacing w:line="360" w:lineRule="auto"/>
        <w:ind w:firstLineChars="200" w:firstLine="480"/>
        <w:jc w:val="left"/>
        <w:rPr>
          <w:rFonts w:ascii="宋体" w:hAnsi="宋体"/>
          <w:bCs/>
          <w:sz w:val="24"/>
        </w:rPr>
      </w:pPr>
      <w:r>
        <w:rPr>
          <w:rFonts w:ascii="宋体" w:hAnsi="宋体" w:hint="eastAsia"/>
          <w:bCs/>
          <w:sz w:val="24"/>
        </w:rPr>
        <w:t>邮政编码：315100</w:t>
      </w:r>
    </w:p>
    <w:p w:rsidR="00F0328E" w:rsidRDefault="00441AB8">
      <w:pPr>
        <w:spacing w:line="360" w:lineRule="auto"/>
        <w:ind w:firstLineChars="200" w:firstLine="480"/>
        <w:jc w:val="left"/>
        <w:rPr>
          <w:rFonts w:ascii="宋体" w:hAnsi="宋体"/>
          <w:bCs/>
          <w:sz w:val="24"/>
        </w:rPr>
      </w:pPr>
      <w:r>
        <w:rPr>
          <w:rFonts w:ascii="宋体" w:hAnsi="宋体" w:hint="eastAsia"/>
          <w:bCs/>
          <w:sz w:val="24"/>
        </w:rPr>
        <w:t>法定代表人：</w:t>
      </w:r>
      <w:r>
        <w:rPr>
          <w:rFonts w:hint="eastAsia"/>
          <w:sz w:val="24"/>
        </w:rPr>
        <w:t>沈仁康</w:t>
      </w:r>
    </w:p>
    <w:p w:rsidR="00F0328E" w:rsidRDefault="00441AB8">
      <w:pPr>
        <w:spacing w:line="360" w:lineRule="auto"/>
        <w:ind w:firstLineChars="200" w:firstLine="480"/>
        <w:jc w:val="left"/>
        <w:rPr>
          <w:rFonts w:ascii="宋体" w:hAnsi="宋体"/>
          <w:bCs/>
          <w:sz w:val="24"/>
        </w:rPr>
      </w:pPr>
      <w:r>
        <w:rPr>
          <w:rFonts w:ascii="宋体" w:hAnsi="宋体" w:hint="eastAsia"/>
          <w:bCs/>
          <w:sz w:val="24"/>
        </w:rPr>
        <w:t xml:space="preserve">成立日期：1993年04月16日 </w:t>
      </w:r>
    </w:p>
    <w:p w:rsidR="00F0328E" w:rsidRDefault="00441AB8">
      <w:pPr>
        <w:spacing w:line="360" w:lineRule="auto"/>
        <w:ind w:firstLineChars="200" w:firstLine="480"/>
        <w:jc w:val="left"/>
        <w:rPr>
          <w:rFonts w:ascii="宋体" w:hAnsi="宋体"/>
          <w:bCs/>
          <w:sz w:val="24"/>
        </w:rPr>
      </w:pPr>
      <w:r>
        <w:rPr>
          <w:rFonts w:ascii="宋体" w:hAnsi="宋体" w:hint="eastAsia"/>
          <w:bCs/>
          <w:sz w:val="24"/>
        </w:rPr>
        <w:t>基金托管业务批准文号：证监许可〔20</w:t>
      </w:r>
      <w:r>
        <w:rPr>
          <w:rFonts w:ascii="宋体" w:hAnsi="宋体"/>
          <w:bCs/>
          <w:sz w:val="24"/>
        </w:rPr>
        <w:t>13</w:t>
      </w:r>
      <w:r>
        <w:rPr>
          <w:rFonts w:ascii="宋体" w:hAnsi="宋体" w:hint="eastAsia"/>
          <w:bCs/>
          <w:sz w:val="24"/>
        </w:rPr>
        <w:t>〕</w:t>
      </w:r>
      <w:r>
        <w:rPr>
          <w:rFonts w:ascii="宋体" w:hAnsi="宋体"/>
          <w:bCs/>
          <w:sz w:val="24"/>
        </w:rPr>
        <w:t>1519</w:t>
      </w:r>
      <w:r>
        <w:rPr>
          <w:rFonts w:ascii="宋体" w:hAnsi="宋体" w:hint="eastAsia"/>
          <w:bCs/>
          <w:sz w:val="24"/>
        </w:rPr>
        <w:t>号</w:t>
      </w:r>
    </w:p>
    <w:p w:rsidR="00F0328E" w:rsidRDefault="00441AB8">
      <w:pPr>
        <w:spacing w:line="360" w:lineRule="auto"/>
        <w:ind w:firstLineChars="200" w:firstLine="480"/>
        <w:jc w:val="left"/>
        <w:rPr>
          <w:rFonts w:ascii="宋体" w:hAnsi="宋体"/>
          <w:bCs/>
          <w:sz w:val="24"/>
        </w:rPr>
      </w:pPr>
      <w:r>
        <w:rPr>
          <w:rFonts w:ascii="宋体" w:hAnsi="宋体" w:hint="eastAsia"/>
          <w:bCs/>
          <w:sz w:val="24"/>
        </w:rPr>
        <w:t xml:space="preserve">组织形式：股份有限公司 </w:t>
      </w:r>
    </w:p>
    <w:p w:rsidR="00F0328E" w:rsidRDefault="00441AB8">
      <w:pPr>
        <w:spacing w:line="360" w:lineRule="auto"/>
        <w:ind w:firstLineChars="200" w:firstLine="480"/>
        <w:jc w:val="left"/>
        <w:rPr>
          <w:rFonts w:ascii="宋体" w:hAnsi="宋体"/>
          <w:bCs/>
          <w:sz w:val="24"/>
        </w:rPr>
      </w:pPr>
      <w:r>
        <w:rPr>
          <w:rFonts w:ascii="宋体" w:hAnsi="宋体" w:hint="eastAsia"/>
          <w:bCs/>
          <w:sz w:val="24"/>
        </w:rPr>
        <w:t xml:space="preserve">注册资本：人民币 21,268,696,778 元 </w:t>
      </w:r>
    </w:p>
    <w:p w:rsidR="00F0328E" w:rsidRDefault="00441AB8">
      <w:pPr>
        <w:spacing w:line="360" w:lineRule="auto"/>
        <w:ind w:firstLineChars="200" w:firstLine="480"/>
        <w:jc w:val="left"/>
        <w:rPr>
          <w:rFonts w:ascii="宋体" w:hAnsi="宋体"/>
          <w:bCs/>
          <w:sz w:val="24"/>
        </w:rPr>
      </w:pPr>
      <w:r>
        <w:rPr>
          <w:rFonts w:ascii="宋体" w:hAnsi="宋体" w:hint="eastAsia"/>
          <w:bCs/>
          <w:sz w:val="24"/>
        </w:rPr>
        <w:t xml:space="preserve">存续期间：持续经营 </w:t>
      </w:r>
    </w:p>
    <w:p w:rsidR="00F0328E" w:rsidRDefault="00441AB8">
      <w:pPr>
        <w:spacing w:line="360" w:lineRule="auto"/>
        <w:ind w:firstLineChars="200" w:firstLine="480"/>
        <w:jc w:val="left"/>
        <w:rPr>
          <w:rFonts w:ascii="宋体" w:hAnsi="宋体"/>
          <w:bCs/>
          <w:sz w:val="24"/>
        </w:rPr>
      </w:pPr>
      <w:r>
        <w:rPr>
          <w:rFonts w:ascii="宋体" w:hAnsi="宋体" w:hint="eastAsia"/>
          <w:bCs/>
          <w:sz w:val="24"/>
        </w:rPr>
        <w:t>经营范围：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国务院银行业监督管理机构批准的其他业务。经中国人民银行批准，可以经营结汇、售汇业务。</w:t>
      </w:r>
    </w:p>
    <w:p w:rsidR="00F0328E" w:rsidRDefault="00F0328E">
      <w:pPr>
        <w:spacing w:line="360" w:lineRule="auto"/>
        <w:ind w:firstLineChars="200" w:firstLine="480"/>
        <w:jc w:val="left"/>
        <w:rPr>
          <w:rFonts w:ascii="宋体" w:hAnsi="宋体"/>
          <w:bCs/>
          <w:sz w:val="24"/>
        </w:rPr>
      </w:pPr>
    </w:p>
    <w:p w:rsidR="00F0328E" w:rsidRDefault="00441AB8">
      <w:pPr>
        <w:pStyle w:val="1"/>
        <w:numPr>
          <w:ilvl w:val="0"/>
          <w:numId w:val="1"/>
        </w:numPr>
        <w:spacing w:before="0" w:after="0" w:line="360" w:lineRule="auto"/>
        <w:rPr>
          <w:rFonts w:ascii="宋体" w:hAnsi="宋体"/>
          <w:sz w:val="24"/>
          <w:szCs w:val="24"/>
        </w:rPr>
      </w:pPr>
      <w:r>
        <w:rPr>
          <w:rFonts w:ascii="宋体" w:hAnsi="宋体"/>
          <w:sz w:val="24"/>
        </w:rPr>
        <w:br w:type="page"/>
      </w:r>
      <w:bookmarkStart w:id="25" w:name="_Toc295832932"/>
      <w:bookmarkStart w:id="26" w:name="_Toc295832625"/>
      <w:bookmarkStart w:id="27" w:name="_Toc295832992"/>
      <w:bookmarkStart w:id="28" w:name="_Hlt136831053"/>
      <w:bookmarkStart w:id="29" w:name="_Toc124325886"/>
      <w:bookmarkStart w:id="30" w:name="_Toc270669853"/>
      <w:bookmarkStart w:id="31" w:name="_Toc295833668"/>
      <w:bookmarkStart w:id="32" w:name="_Toc76720681"/>
      <w:bookmarkEnd w:id="25"/>
      <w:bookmarkEnd w:id="26"/>
      <w:bookmarkEnd w:id="27"/>
      <w:bookmarkEnd w:id="28"/>
      <w:r>
        <w:rPr>
          <w:rFonts w:ascii="宋体" w:hAnsi="宋体" w:hint="eastAsia"/>
          <w:sz w:val="24"/>
          <w:szCs w:val="24"/>
        </w:rPr>
        <w:lastRenderedPageBreak/>
        <w:t>基金托管协议的依据、目的和原则</w:t>
      </w:r>
      <w:bookmarkEnd w:id="29"/>
      <w:bookmarkEnd w:id="30"/>
      <w:bookmarkEnd w:id="31"/>
      <w:bookmarkEnd w:id="32"/>
    </w:p>
    <w:p w:rsidR="00F0328E" w:rsidRDefault="00441AB8" w:rsidP="00CF65B5">
      <w:pPr>
        <w:adjustRightInd w:val="0"/>
        <w:snapToGrid w:val="0"/>
        <w:spacing w:beforeLines="50" w:before="156" w:line="360" w:lineRule="auto"/>
        <w:ind w:firstLineChars="200" w:firstLine="480"/>
        <w:rPr>
          <w:rFonts w:ascii="宋体" w:hAnsi="宋体" w:cs="Arial"/>
          <w:sz w:val="24"/>
        </w:rPr>
      </w:pPr>
      <w:r>
        <w:rPr>
          <w:rFonts w:ascii="宋体" w:hAnsi="宋体" w:cs="Arial" w:hint="eastAsia"/>
          <w:sz w:val="24"/>
        </w:rPr>
        <w:t>（一）订立托管协议的依据</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本协议依据《中华人民共和国证券法》（以下简称“《证券法》”）、《中华人民共和国证券投资基金法》(以下简称“《基金法》”)、《证券投资基金托管业务管理办法》、《公开募集证券投资基金运作管理办法》（以下简称“《运作办法》”）、《</w:t>
      </w:r>
      <w:r w:rsidR="00BA374B">
        <w:rPr>
          <w:rFonts w:ascii="宋体" w:hAnsi="宋体" w:cs="Arial" w:hint="eastAsia"/>
          <w:sz w:val="24"/>
        </w:rPr>
        <w:t>公开募集</w:t>
      </w:r>
      <w:r>
        <w:rPr>
          <w:rFonts w:ascii="宋体" w:hAnsi="宋体" w:cs="Arial" w:hint="eastAsia"/>
          <w:sz w:val="24"/>
        </w:rPr>
        <w:t>证券投资基金销售</w:t>
      </w:r>
      <w:r w:rsidR="00BA374B">
        <w:rPr>
          <w:rFonts w:ascii="宋体" w:hAnsi="宋体" w:cs="Arial" w:hint="eastAsia"/>
          <w:sz w:val="24"/>
        </w:rPr>
        <w:t>机构监督</w:t>
      </w:r>
      <w:r>
        <w:rPr>
          <w:rFonts w:ascii="宋体" w:hAnsi="宋体" w:cs="Arial" w:hint="eastAsia"/>
          <w:sz w:val="24"/>
        </w:rPr>
        <w:t>管理办法》（以下简称“《销售办法》”）、</w:t>
      </w:r>
      <w:r>
        <w:rPr>
          <w:rFonts w:ascii="宋体" w:hAnsi="宋体" w:cs="Arial"/>
          <w:sz w:val="24"/>
        </w:rPr>
        <w:t>《</w:t>
      </w:r>
      <w:r>
        <w:rPr>
          <w:rFonts w:ascii="宋体" w:hAnsi="宋体" w:cs="Arial" w:hint="eastAsia"/>
          <w:sz w:val="24"/>
        </w:rPr>
        <w:t>公开募集</w:t>
      </w:r>
      <w:r>
        <w:rPr>
          <w:rFonts w:ascii="宋体" w:hAnsi="宋体" w:cs="Arial"/>
          <w:sz w:val="24"/>
        </w:rPr>
        <w:t>证券投资基金信息披露管理办法》</w:t>
      </w:r>
      <w:r>
        <w:rPr>
          <w:rFonts w:ascii="宋体" w:hAnsi="宋体" w:cs="Arial" w:hint="eastAsia"/>
          <w:kern w:val="0"/>
          <w:sz w:val="24"/>
        </w:rPr>
        <w:t>（以下简称“《信息披露办法》”）、《证券投资基金信息披露内容与格式准则第7号〈托管协议的内容与格式〉》、</w:t>
      </w:r>
      <w:r>
        <w:rPr>
          <w:rFonts w:ascii="宋体" w:hAnsi="宋体" w:hint="eastAsia"/>
          <w:bCs/>
          <w:sz w:val="24"/>
        </w:rPr>
        <w:t>《公开募集开放式证券投资基金流动性风险管理规定》（以下</w:t>
      </w:r>
      <w:r>
        <w:rPr>
          <w:rFonts w:ascii="宋体" w:hAnsi="宋体"/>
          <w:bCs/>
          <w:sz w:val="24"/>
        </w:rPr>
        <w:t>简称</w:t>
      </w:r>
      <w:r>
        <w:rPr>
          <w:rFonts w:ascii="宋体" w:hAnsi="宋体" w:hint="eastAsia"/>
          <w:bCs/>
          <w:sz w:val="24"/>
        </w:rPr>
        <w:t>“《流动性</w:t>
      </w:r>
      <w:r>
        <w:rPr>
          <w:rFonts w:ascii="宋体" w:hAnsi="宋体"/>
          <w:bCs/>
          <w:sz w:val="24"/>
        </w:rPr>
        <w:t>风险管理规定</w:t>
      </w:r>
      <w:r>
        <w:rPr>
          <w:rFonts w:ascii="宋体" w:hAnsi="宋体" w:hint="eastAsia"/>
          <w:bCs/>
          <w:sz w:val="24"/>
        </w:rPr>
        <w:t>》”）</w:t>
      </w:r>
      <w:r>
        <w:rPr>
          <w:rFonts w:ascii="宋体" w:hAnsi="宋体" w:cs="Arial" w:hint="eastAsia"/>
          <w:kern w:val="0"/>
          <w:sz w:val="24"/>
        </w:rPr>
        <w:t>等</w:t>
      </w:r>
      <w:r>
        <w:rPr>
          <w:rFonts w:ascii="宋体" w:hAnsi="宋体" w:cs="Arial" w:hint="eastAsia"/>
          <w:sz w:val="24"/>
        </w:rPr>
        <w:t>有关法律法规、基金合同及其他有关规定制订。</w:t>
      </w:r>
    </w:p>
    <w:p w:rsidR="00F0328E" w:rsidRDefault="00441AB8">
      <w:pPr>
        <w:adjustRightInd w:val="0"/>
        <w:snapToGrid w:val="0"/>
        <w:spacing w:line="360" w:lineRule="auto"/>
        <w:ind w:firstLineChars="200" w:firstLine="480"/>
        <w:rPr>
          <w:rFonts w:ascii="宋体" w:hAnsi="宋体"/>
          <w:sz w:val="24"/>
        </w:rPr>
      </w:pPr>
      <w:r>
        <w:rPr>
          <w:rFonts w:ascii="宋体" w:hAnsi="宋体" w:hint="eastAsia"/>
          <w:color w:val="000000"/>
          <w:sz w:val="24"/>
        </w:rPr>
        <w:t>（二）订立托管协议的目的</w:t>
      </w:r>
    </w:p>
    <w:p w:rsidR="00F0328E" w:rsidRDefault="00441AB8">
      <w:pPr>
        <w:adjustRightInd w:val="0"/>
        <w:snapToGrid w:val="0"/>
        <w:spacing w:line="360" w:lineRule="auto"/>
        <w:ind w:firstLineChars="200" w:firstLine="480"/>
        <w:rPr>
          <w:rFonts w:ascii="宋体" w:hAnsi="宋体"/>
          <w:sz w:val="24"/>
        </w:rPr>
      </w:pPr>
      <w:r>
        <w:rPr>
          <w:rFonts w:ascii="宋体" w:hAnsi="宋体" w:cs="Arial" w:hint="eastAsia"/>
          <w:sz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rsidR="00F0328E" w:rsidRDefault="00441AB8">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（三）订立托管协议的原则</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基金管理人和基金托管人本着平等自愿、诚实信用、充分保护基金份额持有人合法权益的原则，经协商一致，签订本协议。</w:t>
      </w:r>
    </w:p>
    <w:p w:rsidR="00F0328E" w:rsidRDefault="00441AB8">
      <w:pPr>
        <w:adjustRightInd w:val="0"/>
        <w:snapToGrid w:val="0"/>
        <w:spacing w:line="360" w:lineRule="auto"/>
        <w:ind w:firstLineChars="200" w:firstLine="480"/>
        <w:rPr>
          <w:rFonts w:ascii="宋体" w:hAnsi="宋体" w:cs="Arial"/>
          <w:sz w:val="24"/>
        </w:rPr>
      </w:pPr>
      <w:r>
        <w:rPr>
          <w:rFonts w:ascii="宋体" w:hAnsi="宋体" w:hint="eastAsia"/>
          <w:color w:val="000000"/>
          <w:sz w:val="24"/>
        </w:rPr>
        <w:t>（</w:t>
      </w:r>
      <w:r>
        <w:rPr>
          <w:rFonts w:ascii="宋体" w:hAnsi="宋体" w:cs="Arial" w:hint="eastAsia"/>
          <w:sz w:val="24"/>
        </w:rPr>
        <w:t>四</w:t>
      </w:r>
      <w:r>
        <w:rPr>
          <w:rFonts w:ascii="宋体" w:hAnsi="宋体" w:hint="eastAsia"/>
          <w:color w:val="000000"/>
          <w:sz w:val="24"/>
        </w:rPr>
        <w:t>）</w:t>
      </w:r>
      <w:r>
        <w:rPr>
          <w:rFonts w:ascii="宋体" w:hAnsi="宋体" w:cs="Arial" w:hint="eastAsia"/>
          <w:sz w:val="24"/>
        </w:rPr>
        <w:t>除非本协议另有约定，本协议所使用的词语或简称与其在基金合同的释义部分具有相同含义。</w:t>
      </w:r>
    </w:p>
    <w:p w:rsidR="00F0328E" w:rsidRDefault="00441AB8">
      <w:pPr>
        <w:pStyle w:val="1"/>
        <w:numPr>
          <w:ilvl w:val="0"/>
          <w:numId w:val="1"/>
        </w:numPr>
        <w:spacing w:before="0" w:after="0" w:line="360" w:lineRule="auto"/>
        <w:rPr>
          <w:rFonts w:ascii="宋体" w:hAnsi="宋体"/>
          <w:sz w:val="24"/>
          <w:szCs w:val="24"/>
        </w:rPr>
      </w:pPr>
      <w:bookmarkStart w:id="33" w:name="_Toc295832629"/>
      <w:bookmarkStart w:id="34" w:name="_Toc295832936"/>
      <w:bookmarkStart w:id="35" w:name="_Toc295832628"/>
      <w:bookmarkStart w:id="36" w:name="_Toc295832996"/>
      <w:bookmarkStart w:id="37" w:name="_Toc295832630"/>
      <w:bookmarkStart w:id="38" w:name="_Toc295832935"/>
      <w:bookmarkStart w:id="39" w:name="_Toc295832937"/>
      <w:bookmarkStart w:id="40" w:name="_Toc295832997"/>
      <w:bookmarkStart w:id="41" w:name="_Toc295832995"/>
      <w:bookmarkEnd w:id="33"/>
      <w:bookmarkEnd w:id="34"/>
      <w:bookmarkEnd w:id="35"/>
      <w:bookmarkEnd w:id="36"/>
      <w:bookmarkEnd w:id="37"/>
      <w:bookmarkEnd w:id="38"/>
      <w:bookmarkEnd w:id="39"/>
      <w:bookmarkEnd w:id="40"/>
      <w:bookmarkEnd w:id="41"/>
      <w:r>
        <w:rPr>
          <w:rFonts w:ascii="宋体" w:hAnsi="宋体"/>
          <w:sz w:val="24"/>
          <w:szCs w:val="24"/>
        </w:rPr>
        <w:br w:type="page"/>
      </w:r>
      <w:bookmarkStart w:id="42" w:name="_Toc76720682"/>
      <w:r>
        <w:rPr>
          <w:rFonts w:ascii="宋体" w:hAnsi="宋体" w:hint="eastAsia"/>
          <w:sz w:val="24"/>
          <w:szCs w:val="24"/>
        </w:rPr>
        <w:lastRenderedPageBreak/>
        <w:t>基金托管人对基金管理人的业务监督和核查</w:t>
      </w:r>
      <w:bookmarkEnd w:id="42"/>
    </w:p>
    <w:p w:rsidR="00F0328E" w:rsidRDefault="00441AB8">
      <w:pPr>
        <w:autoSpaceDE w:val="0"/>
        <w:autoSpaceDN w:val="0"/>
        <w:adjustRightInd w:val="0"/>
        <w:spacing w:line="360" w:lineRule="auto"/>
        <w:ind w:firstLineChars="200" w:firstLine="480"/>
        <w:rPr>
          <w:rFonts w:ascii="宋体" w:hAnsi="宋体"/>
          <w:sz w:val="24"/>
        </w:rPr>
      </w:pPr>
      <w:r>
        <w:rPr>
          <w:rFonts w:ascii="宋体" w:hAnsi="宋体" w:hint="eastAsia"/>
          <w:sz w:val="24"/>
        </w:rPr>
        <w:t>（一）基金托管人根据有关法律法规的规定及基金合同的约定，对基金投资范围、投资对象进行监督。基金合同明确约定基金投资风格或证券选择标准的，基金管理人应提供投资品种池，以便基金托管人运用相关技术系统，对基金实际投资是否符合基金合同关于证券选择标准的约定进行监督，对存在疑义的事项进行核查。</w:t>
      </w:r>
    </w:p>
    <w:p w:rsidR="00F0328E" w:rsidRDefault="00441AB8">
      <w:pPr>
        <w:autoSpaceDE w:val="0"/>
        <w:autoSpaceDN w:val="0"/>
        <w:adjustRightInd w:val="0"/>
        <w:spacing w:line="360" w:lineRule="auto"/>
        <w:ind w:firstLineChars="200" w:firstLine="480"/>
        <w:rPr>
          <w:rFonts w:ascii="宋体" w:hAnsi="宋体"/>
          <w:sz w:val="24"/>
        </w:rPr>
      </w:pPr>
      <w:r>
        <w:rPr>
          <w:rFonts w:ascii="宋体" w:hAnsi="宋体" w:hint="eastAsia"/>
          <w:sz w:val="24"/>
        </w:rPr>
        <w:t xml:space="preserve">本基金的投资范围为具有良好流动性的金融工具，包括国内依法发行或上市的股票（包括创业板及其他经中国证监会核准或注册上市的股票、存托凭证）、内地与香港股票市场交易互联互通机制下允许买卖的香港联合交易所上市股票（以下简称“港股通标的股票”）、债券（含国债、央行票据、金融债券、政府支持债券、政府支持机构债券、地方政府债券、企业债券、公司债券、可转换债券（含可分离交易可转换债券）、可交换公司债券、次级债券、中期票据、短期融资券、超短期融资券等）、货币市场工具、债券回购、同业存单、银行存款（含协议存款、定期存款及其他银行存款）、股指期货、资产支持证券以及法律法规或中国证监会允许基金投资的其他金融工具（但须符合中国证监会相关规定）。        </w:t>
      </w:r>
    </w:p>
    <w:p w:rsidR="00F0328E" w:rsidRDefault="00441AB8">
      <w:pPr>
        <w:autoSpaceDE w:val="0"/>
        <w:autoSpaceDN w:val="0"/>
        <w:adjustRightInd w:val="0"/>
        <w:spacing w:line="360" w:lineRule="auto"/>
        <w:ind w:firstLineChars="200" w:firstLine="480"/>
        <w:rPr>
          <w:rFonts w:ascii="宋体" w:hAnsi="宋体"/>
          <w:sz w:val="24"/>
        </w:rPr>
      </w:pPr>
      <w:r>
        <w:rPr>
          <w:rFonts w:ascii="宋体" w:hAnsi="宋体" w:hint="eastAsia"/>
          <w:sz w:val="24"/>
        </w:rPr>
        <w:t>如法律法规或监管机构以后允许基金投资其他品种，基金管理人在履行适当程序后，可以将其纳入投资范围。</w:t>
      </w:r>
    </w:p>
    <w:p w:rsidR="00F0328E" w:rsidRDefault="00441AB8">
      <w:pPr>
        <w:autoSpaceDE w:val="0"/>
        <w:autoSpaceDN w:val="0"/>
        <w:adjustRightInd w:val="0"/>
        <w:spacing w:line="360" w:lineRule="auto"/>
        <w:ind w:firstLineChars="200" w:firstLine="480"/>
        <w:rPr>
          <w:rFonts w:ascii="宋体" w:hAnsi="宋体"/>
          <w:sz w:val="24"/>
        </w:rPr>
      </w:pPr>
      <w:r>
        <w:rPr>
          <w:rFonts w:ascii="宋体" w:hAnsi="宋体" w:hint="eastAsia"/>
          <w:sz w:val="24"/>
        </w:rPr>
        <w:t>基金的投资组合比例为：股票投资比例为基金资产的60%-95%，其中投资于本基金所界定的</w:t>
      </w:r>
      <w:r w:rsidR="001C1FCC">
        <w:rPr>
          <w:rFonts w:ascii="宋体" w:hAnsi="宋体" w:hint="eastAsia"/>
          <w:sz w:val="24"/>
        </w:rPr>
        <w:t>新能源汽车</w:t>
      </w:r>
      <w:r>
        <w:rPr>
          <w:rFonts w:ascii="宋体" w:hAnsi="宋体" w:hint="eastAsia"/>
          <w:sz w:val="24"/>
        </w:rPr>
        <w:t>相关的</w:t>
      </w:r>
      <w:r w:rsidR="00CA4222">
        <w:rPr>
          <w:rFonts w:ascii="宋体" w:hAnsi="宋体" w:hint="eastAsia"/>
          <w:sz w:val="24"/>
        </w:rPr>
        <w:t>证券</w:t>
      </w:r>
      <w:r>
        <w:rPr>
          <w:rFonts w:ascii="宋体" w:hAnsi="宋体" w:hint="eastAsia"/>
          <w:sz w:val="24"/>
        </w:rPr>
        <w:t>的比例不低于非现金基金资产的80%；投资于港股通标的股票的比例占股票资产的0-50%。每个交易日日终，在扣除股指期货合约需缴纳的交易保证金后，应当保持不低于基金资产净值的5%的现金或到期日在一年以内的政府债券，其中现金不包括结算备付金、存出保证金、应收申购款等。股指期货及其他金融工具的投资比例符合法律法规和监管机构的规定。</w:t>
      </w:r>
    </w:p>
    <w:p w:rsidR="00F0328E" w:rsidRDefault="00441AB8">
      <w:pPr>
        <w:autoSpaceDE w:val="0"/>
        <w:autoSpaceDN w:val="0"/>
        <w:adjustRightInd w:val="0"/>
        <w:spacing w:line="360" w:lineRule="auto"/>
        <w:ind w:firstLineChars="200" w:firstLine="480"/>
        <w:rPr>
          <w:rFonts w:ascii="宋体" w:hAnsi="宋体"/>
          <w:sz w:val="24"/>
        </w:rPr>
      </w:pPr>
      <w:r>
        <w:rPr>
          <w:rFonts w:ascii="宋体" w:hAnsi="宋体" w:hint="eastAsia"/>
          <w:sz w:val="24"/>
        </w:rPr>
        <w:t>如法律法规或监管机构变更投资品种的投资比例限制，基金管理人在履行适当程序后，可以调整上述投资品种的投资比例。</w:t>
      </w:r>
    </w:p>
    <w:p w:rsidR="00F0328E" w:rsidRDefault="00441AB8">
      <w:pPr>
        <w:autoSpaceDE w:val="0"/>
        <w:autoSpaceDN w:val="0"/>
        <w:adjustRightInd w:val="0"/>
        <w:spacing w:line="360" w:lineRule="auto"/>
        <w:ind w:firstLineChars="200" w:firstLine="480"/>
        <w:rPr>
          <w:rFonts w:ascii="宋体" w:hAnsi="宋体"/>
          <w:color w:val="000000"/>
          <w:sz w:val="24"/>
        </w:rPr>
      </w:pPr>
      <w:r>
        <w:rPr>
          <w:rFonts w:ascii="宋体" w:hAnsi="宋体" w:hint="eastAsia"/>
          <w:color w:val="000000"/>
          <w:sz w:val="24"/>
        </w:rPr>
        <w:t>（二）基金托管人根据有关法律法规的规定及基金合同的约定，对基金投资限制进行监督。基金托管人按下述比例和调整期限进行监督：</w:t>
      </w:r>
    </w:p>
    <w:p w:rsidR="00F0328E" w:rsidRDefault="00441AB8">
      <w:pPr>
        <w:autoSpaceDE w:val="0"/>
        <w:autoSpaceDN w:val="0"/>
        <w:spacing w:line="360" w:lineRule="auto"/>
        <w:ind w:firstLineChars="200" w:firstLine="480"/>
        <w:textAlignment w:val="bottom"/>
        <w:rPr>
          <w:rFonts w:ascii="宋体" w:hAnsi="宋体"/>
          <w:sz w:val="24"/>
        </w:rPr>
      </w:pPr>
      <w:r>
        <w:rPr>
          <w:rFonts w:ascii="宋体" w:hAnsi="宋体" w:hint="eastAsia"/>
          <w:sz w:val="24"/>
        </w:rPr>
        <w:t>基金的投资组合应遵循以下限制：</w:t>
      </w:r>
    </w:p>
    <w:p w:rsidR="00F0328E" w:rsidRDefault="00441AB8">
      <w:pPr>
        <w:autoSpaceDE w:val="0"/>
        <w:autoSpaceDN w:val="0"/>
        <w:spacing w:line="360" w:lineRule="auto"/>
        <w:ind w:firstLineChars="200" w:firstLine="480"/>
        <w:textAlignment w:val="bottom"/>
        <w:rPr>
          <w:rFonts w:ascii="宋体" w:hAnsi="宋体"/>
          <w:sz w:val="24"/>
        </w:rPr>
      </w:pPr>
      <w:r>
        <w:rPr>
          <w:rFonts w:ascii="宋体" w:hAnsi="宋体" w:hint="eastAsia"/>
          <w:sz w:val="24"/>
        </w:rPr>
        <w:t>1、基金的投资组合比例为：股票投资比例为基金资产的60%-95%，其中投资</w:t>
      </w:r>
      <w:r>
        <w:rPr>
          <w:rFonts w:ascii="宋体" w:hAnsi="宋体" w:hint="eastAsia"/>
          <w:sz w:val="24"/>
        </w:rPr>
        <w:lastRenderedPageBreak/>
        <w:t>于本基金所界定的</w:t>
      </w:r>
      <w:r w:rsidR="001C1FCC">
        <w:rPr>
          <w:rFonts w:ascii="宋体" w:hAnsi="宋体" w:hint="eastAsia"/>
          <w:sz w:val="24"/>
        </w:rPr>
        <w:t>新能源汽车</w:t>
      </w:r>
      <w:r>
        <w:rPr>
          <w:rFonts w:ascii="宋体" w:hAnsi="宋体" w:hint="eastAsia"/>
          <w:sz w:val="24"/>
        </w:rPr>
        <w:t>相关的</w:t>
      </w:r>
      <w:r w:rsidR="00CA4222">
        <w:rPr>
          <w:rFonts w:ascii="宋体" w:hAnsi="宋体" w:hint="eastAsia"/>
          <w:sz w:val="24"/>
        </w:rPr>
        <w:t>证券</w:t>
      </w:r>
      <w:r>
        <w:rPr>
          <w:rFonts w:ascii="宋体" w:hAnsi="宋体" w:hint="eastAsia"/>
          <w:sz w:val="24"/>
        </w:rPr>
        <w:t>的比例不低于非现金基金资产的80%；投资于港股通标的股票的比例占股票资产的0-50%；</w:t>
      </w:r>
    </w:p>
    <w:p w:rsidR="00F0328E" w:rsidRDefault="00441AB8">
      <w:pPr>
        <w:autoSpaceDE w:val="0"/>
        <w:autoSpaceDN w:val="0"/>
        <w:spacing w:line="360" w:lineRule="auto"/>
        <w:ind w:firstLineChars="200" w:firstLine="480"/>
        <w:textAlignment w:val="bottom"/>
        <w:rPr>
          <w:rFonts w:ascii="宋体" w:hAnsi="宋体"/>
          <w:sz w:val="24"/>
        </w:rPr>
      </w:pPr>
      <w:r>
        <w:rPr>
          <w:rFonts w:ascii="宋体" w:hAnsi="宋体" w:hint="eastAsia"/>
          <w:sz w:val="24"/>
        </w:rPr>
        <w:t>2、本基金每个交易日日终在扣除股指期货合约需缴纳的交易保证金后，保持不低于基金资产净值5％的现金或者到期日在一年以内的政府债券，其中现金不包括结算备付金、存出保证金和应收申购款等；</w:t>
      </w:r>
    </w:p>
    <w:p w:rsidR="00F0328E" w:rsidRDefault="00441AB8">
      <w:pPr>
        <w:autoSpaceDE w:val="0"/>
        <w:autoSpaceDN w:val="0"/>
        <w:spacing w:line="360" w:lineRule="auto"/>
        <w:ind w:firstLineChars="200" w:firstLine="480"/>
        <w:textAlignment w:val="bottom"/>
        <w:rPr>
          <w:rFonts w:ascii="宋体" w:hAnsi="宋体"/>
          <w:sz w:val="24"/>
        </w:rPr>
      </w:pPr>
      <w:r>
        <w:rPr>
          <w:rFonts w:ascii="宋体" w:hAnsi="宋体" w:hint="eastAsia"/>
          <w:sz w:val="24"/>
        </w:rPr>
        <w:t>3、本基金持有一家公司发行的证券（同一家公司在境内和香港同时上市的A+H股合并计算），其市值不超过基金资产净值的10％；</w:t>
      </w:r>
    </w:p>
    <w:p w:rsidR="00F0328E" w:rsidRDefault="00441AB8">
      <w:pPr>
        <w:autoSpaceDE w:val="0"/>
        <w:autoSpaceDN w:val="0"/>
        <w:spacing w:line="360" w:lineRule="auto"/>
        <w:ind w:firstLineChars="200" w:firstLine="480"/>
        <w:textAlignment w:val="bottom"/>
        <w:rPr>
          <w:rFonts w:ascii="宋体" w:hAnsi="宋体"/>
          <w:sz w:val="24"/>
        </w:rPr>
      </w:pPr>
      <w:r>
        <w:rPr>
          <w:rFonts w:ascii="宋体" w:hAnsi="宋体" w:hint="eastAsia"/>
          <w:sz w:val="24"/>
        </w:rPr>
        <w:t>4、本基金管理人管理的全部基金持有一家公司发行的证券</w:t>
      </w:r>
      <w:r w:rsidR="003770EA">
        <w:rPr>
          <w:rFonts w:ascii="宋体" w:hAnsi="宋体" w:hint="eastAsia"/>
          <w:sz w:val="24"/>
        </w:rPr>
        <w:t>（同一家公司在境内和香港同时上市的A+H股合并计算）</w:t>
      </w:r>
      <w:r>
        <w:rPr>
          <w:rFonts w:ascii="宋体" w:hAnsi="宋体" w:hint="eastAsia"/>
          <w:sz w:val="24"/>
        </w:rPr>
        <w:t>，不超过该证券的10％；</w:t>
      </w:r>
    </w:p>
    <w:p w:rsidR="00F0328E" w:rsidRDefault="00441AB8">
      <w:pPr>
        <w:autoSpaceDE w:val="0"/>
        <w:autoSpaceDN w:val="0"/>
        <w:spacing w:line="360" w:lineRule="auto"/>
        <w:ind w:firstLineChars="200" w:firstLine="480"/>
        <w:textAlignment w:val="bottom"/>
        <w:rPr>
          <w:rFonts w:ascii="宋体" w:hAnsi="宋体"/>
          <w:sz w:val="24"/>
        </w:rPr>
      </w:pPr>
      <w:r>
        <w:rPr>
          <w:rFonts w:ascii="宋体" w:hAnsi="宋体" w:hint="eastAsia"/>
          <w:sz w:val="24"/>
        </w:rPr>
        <w:t>5、本基金投资于同一原始权益人的各类资产支持证券的比例，不得超过基金资产净值的10％；</w:t>
      </w:r>
    </w:p>
    <w:p w:rsidR="00F0328E" w:rsidRDefault="00441AB8">
      <w:pPr>
        <w:autoSpaceDE w:val="0"/>
        <w:autoSpaceDN w:val="0"/>
        <w:spacing w:line="360" w:lineRule="auto"/>
        <w:ind w:firstLineChars="200" w:firstLine="480"/>
        <w:textAlignment w:val="bottom"/>
        <w:rPr>
          <w:rFonts w:ascii="宋体" w:hAnsi="宋体"/>
          <w:sz w:val="24"/>
        </w:rPr>
      </w:pPr>
      <w:r>
        <w:rPr>
          <w:rFonts w:ascii="宋体" w:hAnsi="宋体" w:hint="eastAsia"/>
          <w:sz w:val="24"/>
        </w:rPr>
        <w:t>6、本基金持有的全部资产支持证券，其市值不得超过基金资产净值的20％；</w:t>
      </w:r>
    </w:p>
    <w:p w:rsidR="00F0328E" w:rsidRDefault="00441AB8">
      <w:pPr>
        <w:autoSpaceDE w:val="0"/>
        <w:autoSpaceDN w:val="0"/>
        <w:spacing w:line="360" w:lineRule="auto"/>
        <w:ind w:firstLineChars="200" w:firstLine="480"/>
        <w:textAlignment w:val="bottom"/>
        <w:rPr>
          <w:rFonts w:ascii="宋体" w:hAnsi="宋体"/>
          <w:sz w:val="24"/>
        </w:rPr>
      </w:pPr>
      <w:r>
        <w:rPr>
          <w:rFonts w:ascii="宋体" w:hAnsi="宋体" w:hint="eastAsia"/>
          <w:sz w:val="24"/>
        </w:rPr>
        <w:t>7、本基金持有的同一(指同一信用级别)资产支持证券的比例，不得超过该资产支持证券规模的10％；</w:t>
      </w:r>
    </w:p>
    <w:p w:rsidR="00F0328E" w:rsidRDefault="00441AB8">
      <w:pPr>
        <w:autoSpaceDE w:val="0"/>
        <w:autoSpaceDN w:val="0"/>
        <w:spacing w:line="360" w:lineRule="auto"/>
        <w:ind w:firstLineChars="200" w:firstLine="480"/>
        <w:textAlignment w:val="bottom"/>
        <w:rPr>
          <w:rFonts w:ascii="宋体" w:hAnsi="宋体"/>
          <w:sz w:val="24"/>
        </w:rPr>
      </w:pPr>
      <w:r>
        <w:rPr>
          <w:rFonts w:ascii="宋体" w:hAnsi="宋体" w:hint="eastAsia"/>
          <w:sz w:val="24"/>
        </w:rPr>
        <w:t>8、本基金管理人管理的全部基金投资于同一原始权益人的各类资产支持证券，不得超过其各类资产支持证券合计规模的10％；</w:t>
      </w:r>
    </w:p>
    <w:p w:rsidR="00F0328E" w:rsidRDefault="00441AB8">
      <w:pPr>
        <w:autoSpaceDE w:val="0"/>
        <w:autoSpaceDN w:val="0"/>
        <w:spacing w:line="360" w:lineRule="auto"/>
        <w:ind w:firstLineChars="200" w:firstLine="480"/>
        <w:textAlignment w:val="bottom"/>
        <w:rPr>
          <w:rFonts w:ascii="宋体" w:hAnsi="宋体"/>
          <w:sz w:val="24"/>
        </w:rPr>
      </w:pPr>
      <w:r>
        <w:rPr>
          <w:rFonts w:ascii="宋体" w:hAnsi="宋体" w:hint="eastAsia"/>
          <w:sz w:val="24"/>
        </w:rPr>
        <w:t>9、本基金应投资于信用级别评级为BBB以上(含BBB)的资产支持证券。基金持有资产支持证券期间，如果其信用等级下降、不再符合投资标准，应在评级报告发布之日起3个月内予以全部卖出；</w:t>
      </w:r>
    </w:p>
    <w:p w:rsidR="00F0328E" w:rsidRDefault="00441AB8">
      <w:pPr>
        <w:autoSpaceDE w:val="0"/>
        <w:autoSpaceDN w:val="0"/>
        <w:spacing w:line="360" w:lineRule="auto"/>
        <w:ind w:firstLineChars="200" w:firstLine="480"/>
        <w:textAlignment w:val="bottom"/>
        <w:rPr>
          <w:rFonts w:ascii="宋体" w:hAnsi="宋体"/>
          <w:sz w:val="24"/>
        </w:rPr>
      </w:pPr>
      <w:r>
        <w:rPr>
          <w:rFonts w:ascii="宋体" w:hAnsi="宋体" w:hint="eastAsia"/>
          <w:sz w:val="24"/>
        </w:rPr>
        <w:t>10、基金财产参与股票发行申购，本基金所申报的金额不超过本基金的总资产，本基金所申报的股票数量不超过拟发行股票公司本次发行股票的总量；</w:t>
      </w:r>
    </w:p>
    <w:p w:rsidR="00F0328E" w:rsidRDefault="00441AB8">
      <w:pPr>
        <w:autoSpaceDE w:val="0"/>
        <w:autoSpaceDN w:val="0"/>
        <w:spacing w:line="360" w:lineRule="auto"/>
        <w:ind w:firstLineChars="200" w:firstLine="480"/>
        <w:textAlignment w:val="bottom"/>
        <w:rPr>
          <w:rFonts w:ascii="宋体" w:hAnsi="宋体"/>
          <w:sz w:val="24"/>
        </w:rPr>
      </w:pPr>
      <w:r>
        <w:rPr>
          <w:rFonts w:ascii="宋体" w:hAnsi="宋体" w:hint="eastAsia"/>
          <w:sz w:val="24"/>
        </w:rPr>
        <w:t>11、本基金债券正回购资金余额或逆回购资金余额不得超过其上一日基金资产净值的40%。本基金进入全国银行间同业市场进行债券回购的最长期限为1年，债券回购到期后不得展期；</w:t>
      </w:r>
    </w:p>
    <w:p w:rsidR="00F0328E" w:rsidRDefault="00441AB8">
      <w:pPr>
        <w:autoSpaceDE w:val="0"/>
        <w:autoSpaceDN w:val="0"/>
        <w:spacing w:line="360" w:lineRule="auto"/>
        <w:ind w:firstLineChars="200" w:firstLine="480"/>
        <w:textAlignment w:val="bottom"/>
        <w:rPr>
          <w:rFonts w:ascii="宋体" w:hAnsi="宋体"/>
          <w:sz w:val="24"/>
        </w:rPr>
      </w:pPr>
      <w:r>
        <w:rPr>
          <w:rFonts w:ascii="宋体" w:hAnsi="宋体" w:hint="eastAsia"/>
          <w:sz w:val="24"/>
        </w:rPr>
        <w:t>12、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rsidR="00F0328E" w:rsidRDefault="00441AB8">
      <w:pPr>
        <w:autoSpaceDE w:val="0"/>
        <w:autoSpaceDN w:val="0"/>
        <w:spacing w:line="360" w:lineRule="auto"/>
        <w:ind w:firstLineChars="200" w:firstLine="480"/>
        <w:textAlignment w:val="bottom"/>
        <w:rPr>
          <w:rFonts w:ascii="宋体" w:hAnsi="宋体"/>
          <w:sz w:val="24"/>
        </w:rPr>
      </w:pPr>
      <w:r>
        <w:rPr>
          <w:rFonts w:ascii="宋体" w:hAnsi="宋体" w:hint="eastAsia"/>
          <w:sz w:val="24"/>
        </w:rPr>
        <w:t>13、本基金主动投资于流动性受限资产的市值合计不得超过基金资产净值的15%；因证券市场波动、上市公司股票停牌、基金规模变动等基金管理人之外的</w:t>
      </w:r>
      <w:r>
        <w:rPr>
          <w:rFonts w:ascii="宋体" w:hAnsi="宋体" w:hint="eastAsia"/>
          <w:sz w:val="24"/>
        </w:rPr>
        <w:lastRenderedPageBreak/>
        <w:t>因素致使基金不符合该比例限制的，基金管理人不得主动新增流动性受限资产的投资；</w:t>
      </w:r>
    </w:p>
    <w:p w:rsidR="00F0328E" w:rsidRDefault="00441AB8">
      <w:pPr>
        <w:autoSpaceDE w:val="0"/>
        <w:autoSpaceDN w:val="0"/>
        <w:spacing w:line="360" w:lineRule="auto"/>
        <w:ind w:firstLineChars="200" w:firstLine="480"/>
        <w:textAlignment w:val="bottom"/>
        <w:rPr>
          <w:rFonts w:ascii="宋体" w:hAnsi="宋体"/>
          <w:sz w:val="24"/>
        </w:rPr>
      </w:pPr>
      <w:r>
        <w:rPr>
          <w:rFonts w:ascii="宋体" w:hAnsi="宋体" w:hint="eastAsia"/>
          <w:sz w:val="24"/>
        </w:rPr>
        <w:t>14、本基金与私募类证券资管产品及中国证监会认定的其他主体为交易对手开展逆回购交易的，可接受质押品的资质要求应当与基金合同约定的投资范围保持一致；</w:t>
      </w:r>
    </w:p>
    <w:p w:rsidR="00F0328E" w:rsidRDefault="00441AB8">
      <w:pPr>
        <w:autoSpaceDE w:val="0"/>
        <w:autoSpaceDN w:val="0"/>
        <w:spacing w:line="360" w:lineRule="auto"/>
        <w:ind w:firstLineChars="200" w:firstLine="480"/>
        <w:textAlignment w:val="bottom"/>
        <w:rPr>
          <w:rFonts w:ascii="宋体" w:hAnsi="宋体"/>
          <w:sz w:val="24"/>
        </w:rPr>
      </w:pPr>
      <w:r>
        <w:rPr>
          <w:rFonts w:ascii="宋体" w:hAnsi="宋体" w:hint="eastAsia"/>
          <w:sz w:val="24"/>
        </w:rPr>
        <w:t>15、本基金投资于同业存单的比例不高于基金资产的20%；</w:t>
      </w:r>
    </w:p>
    <w:p w:rsidR="00F0328E" w:rsidRDefault="00441AB8">
      <w:pPr>
        <w:autoSpaceDE w:val="0"/>
        <w:autoSpaceDN w:val="0"/>
        <w:spacing w:line="360" w:lineRule="auto"/>
        <w:ind w:firstLineChars="200" w:firstLine="480"/>
        <w:textAlignment w:val="bottom"/>
        <w:rPr>
          <w:rFonts w:ascii="宋体" w:hAnsi="宋体"/>
          <w:sz w:val="24"/>
        </w:rPr>
      </w:pPr>
      <w:r>
        <w:rPr>
          <w:rFonts w:ascii="宋体" w:hAnsi="宋体" w:hint="eastAsia"/>
          <w:sz w:val="24"/>
        </w:rPr>
        <w:t>16、本基金资产总值不超过基金资产净值的140%；</w:t>
      </w:r>
    </w:p>
    <w:p w:rsidR="00F0328E" w:rsidRDefault="00441AB8">
      <w:pPr>
        <w:autoSpaceDE w:val="0"/>
        <w:autoSpaceDN w:val="0"/>
        <w:spacing w:line="360" w:lineRule="auto"/>
        <w:ind w:firstLineChars="200" w:firstLine="480"/>
        <w:textAlignment w:val="bottom"/>
        <w:rPr>
          <w:rFonts w:ascii="宋体" w:hAnsi="宋体"/>
          <w:sz w:val="24"/>
        </w:rPr>
      </w:pPr>
      <w:r>
        <w:rPr>
          <w:rFonts w:ascii="宋体" w:hAnsi="宋体" w:hint="eastAsia"/>
          <w:sz w:val="24"/>
        </w:rPr>
        <w:t>17、本基金参与投资股指期货交易时，应遵循以下中国证监会规定的投资限制：</w:t>
      </w:r>
    </w:p>
    <w:p w:rsidR="00F0328E" w:rsidRDefault="00441AB8">
      <w:pPr>
        <w:autoSpaceDE w:val="0"/>
        <w:autoSpaceDN w:val="0"/>
        <w:spacing w:line="360" w:lineRule="auto"/>
        <w:ind w:firstLineChars="200" w:firstLine="480"/>
        <w:textAlignment w:val="bottom"/>
        <w:rPr>
          <w:rFonts w:ascii="宋体" w:hAnsi="宋体"/>
          <w:sz w:val="24"/>
        </w:rPr>
      </w:pPr>
      <w:r>
        <w:rPr>
          <w:rFonts w:ascii="宋体" w:hAnsi="宋体" w:hint="eastAsia"/>
          <w:sz w:val="24"/>
        </w:rPr>
        <w:t>（1）本基金在任何交易日日终，持有的买入股指期货合约价值，不得超过基金资产净值的10%；</w:t>
      </w:r>
    </w:p>
    <w:p w:rsidR="00F0328E" w:rsidRDefault="00441AB8">
      <w:pPr>
        <w:autoSpaceDE w:val="0"/>
        <w:autoSpaceDN w:val="0"/>
        <w:spacing w:line="360" w:lineRule="auto"/>
        <w:ind w:firstLineChars="200" w:firstLine="480"/>
        <w:textAlignment w:val="bottom"/>
        <w:rPr>
          <w:rFonts w:ascii="宋体" w:hAnsi="宋体"/>
          <w:sz w:val="24"/>
        </w:rPr>
      </w:pPr>
      <w:r>
        <w:rPr>
          <w:rFonts w:ascii="宋体" w:hAnsi="宋体" w:hint="eastAsia"/>
          <w:sz w:val="24"/>
        </w:rPr>
        <w:t>（2）本基金在任何交易日日终，持有的买入股指期货合约价值和有价证券市值之和，不得超过基金资产净值的95%。其中，有价证券指股票、债券（不含到期日在一年以内的政府债券）、资产支持证券、买入返售金融资产（不含质押式回购）等；</w:t>
      </w:r>
    </w:p>
    <w:p w:rsidR="00F0328E" w:rsidRDefault="00441AB8">
      <w:pPr>
        <w:autoSpaceDE w:val="0"/>
        <w:autoSpaceDN w:val="0"/>
        <w:spacing w:line="360" w:lineRule="auto"/>
        <w:ind w:firstLineChars="200" w:firstLine="480"/>
        <w:textAlignment w:val="bottom"/>
        <w:rPr>
          <w:rFonts w:ascii="宋体" w:hAnsi="宋体"/>
          <w:sz w:val="24"/>
        </w:rPr>
      </w:pPr>
      <w:r>
        <w:rPr>
          <w:rFonts w:ascii="宋体" w:hAnsi="宋体" w:hint="eastAsia"/>
          <w:sz w:val="24"/>
        </w:rPr>
        <w:t>（3）本基金在任何交易日日终，持有的卖出股指期货合约价值不得超过基金持有的股票总市值的20%；</w:t>
      </w:r>
    </w:p>
    <w:p w:rsidR="00F0328E" w:rsidRDefault="00441AB8">
      <w:pPr>
        <w:autoSpaceDE w:val="0"/>
        <w:autoSpaceDN w:val="0"/>
        <w:spacing w:line="360" w:lineRule="auto"/>
        <w:ind w:firstLineChars="200" w:firstLine="480"/>
        <w:textAlignment w:val="bottom"/>
        <w:rPr>
          <w:rFonts w:ascii="宋体" w:hAnsi="宋体"/>
          <w:sz w:val="24"/>
        </w:rPr>
      </w:pPr>
      <w:r>
        <w:rPr>
          <w:rFonts w:ascii="宋体" w:hAnsi="宋体" w:hint="eastAsia"/>
          <w:sz w:val="24"/>
        </w:rPr>
        <w:t>（4）本基金在任何交易日内交易（不包括平仓）的股指期货合约的成交金额不得超过上一交易日基金资产净值的20%；</w:t>
      </w:r>
    </w:p>
    <w:p w:rsidR="00F0328E" w:rsidRDefault="00441AB8">
      <w:pPr>
        <w:autoSpaceDE w:val="0"/>
        <w:autoSpaceDN w:val="0"/>
        <w:spacing w:line="360" w:lineRule="auto"/>
        <w:ind w:firstLineChars="200" w:firstLine="480"/>
        <w:textAlignment w:val="bottom"/>
        <w:rPr>
          <w:rFonts w:ascii="宋体" w:hAnsi="宋体"/>
          <w:sz w:val="24"/>
        </w:rPr>
      </w:pPr>
      <w:r>
        <w:rPr>
          <w:rFonts w:ascii="宋体" w:hAnsi="宋体" w:hint="eastAsia"/>
          <w:sz w:val="24"/>
        </w:rPr>
        <w:t>（5）本基金所持有的股票市值和买入、卖出股指期货合约价值，合计（轧差计算）占基金资产的比例范围为60%-95%；</w:t>
      </w:r>
    </w:p>
    <w:p w:rsidR="00F0328E" w:rsidRDefault="00441AB8">
      <w:pPr>
        <w:autoSpaceDE w:val="0"/>
        <w:autoSpaceDN w:val="0"/>
        <w:spacing w:line="360" w:lineRule="auto"/>
        <w:ind w:firstLineChars="200" w:firstLine="480"/>
        <w:textAlignment w:val="bottom"/>
        <w:rPr>
          <w:rFonts w:ascii="宋体" w:hAnsi="宋体"/>
          <w:sz w:val="24"/>
        </w:rPr>
      </w:pPr>
      <w:r>
        <w:rPr>
          <w:rFonts w:ascii="宋体" w:hAnsi="宋体" w:hint="eastAsia"/>
          <w:sz w:val="24"/>
        </w:rPr>
        <w:t>18、本基金投资存托凭证的比例限制依照境内上市交易的股票执行，与境内上市交易的股票合并计算，法律法规或监管部门另有要求的除外；</w:t>
      </w:r>
    </w:p>
    <w:p w:rsidR="00F0328E" w:rsidRDefault="00441AB8">
      <w:pPr>
        <w:autoSpaceDE w:val="0"/>
        <w:autoSpaceDN w:val="0"/>
        <w:spacing w:line="360" w:lineRule="auto"/>
        <w:ind w:firstLineChars="200" w:firstLine="480"/>
        <w:textAlignment w:val="bottom"/>
        <w:rPr>
          <w:rFonts w:ascii="宋体" w:hAnsi="宋体"/>
          <w:sz w:val="24"/>
        </w:rPr>
      </w:pPr>
      <w:r>
        <w:rPr>
          <w:rFonts w:ascii="宋体" w:hAnsi="宋体" w:hint="eastAsia"/>
          <w:sz w:val="24"/>
        </w:rPr>
        <w:t>19、法律法规及中国证监会规定的和《基金合同》约定的其他投资限制。</w:t>
      </w:r>
    </w:p>
    <w:p w:rsidR="00F0328E" w:rsidRDefault="00441AB8">
      <w:pPr>
        <w:autoSpaceDE w:val="0"/>
        <w:autoSpaceDN w:val="0"/>
        <w:spacing w:line="360" w:lineRule="auto"/>
        <w:ind w:firstLineChars="200" w:firstLine="480"/>
        <w:textAlignment w:val="bottom"/>
        <w:rPr>
          <w:rFonts w:ascii="宋体" w:hAnsi="宋体"/>
          <w:sz w:val="24"/>
        </w:rPr>
      </w:pPr>
      <w:r>
        <w:rPr>
          <w:rFonts w:ascii="宋体" w:hAnsi="宋体" w:hint="eastAsia"/>
          <w:sz w:val="24"/>
        </w:rPr>
        <w:t>因证券、期货市场波动、证券发行人合并、基金规模变动等基金管理人之外的因素致使基金投资比例不符合上述规定投资比例的，除上述第2、9、13、14项规定的情况外，基金管理人应当在10个交易日内进行调整，但中国证监会规定的特殊情形除外。法律法规另有规定的，从其规定。基金管理人应当自基金合同生效之日起6个月内使基金的投资组合比例符合基金合同的有关约定。期间，本</w:t>
      </w:r>
      <w:r>
        <w:rPr>
          <w:rFonts w:ascii="宋体" w:hAnsi="宋体" w:hint="eastAsia"/>
          <w:sz w:val="24"/>
        </w:rPr>
        <w:lastRenderedPageBreak/>
        <w:t>基金的投资范围、投资策略应当符合基金合同的约定。基金托管人对基金的投资的监督与检查自基金合同生效之日起开始。法律法规或监管部门另有规定的，从其规定。</w:t>
      </w:r>
    </w:p>
    <w:p w:rsidR="00F0328E" w:rsidRDefault="00441AB8">
      <w:pPr>
        <w:autoSpaceDE w:val="0"/>
        <w:autoSpaceDN w:val="0"/>
        <w:spacing w:line="360" w:lineRule="auto"/>
        <w:ind w:firstLineChars="200" w:firstLine="480"/>
        <w:textAlignment w:val="bottom"/>
        <w:rPr>
          <w:rFonts w:ascii="宋体" w:hAnsi="宋体"/>
          <w:sz w:val="24"/>
        </w:rPr>
      </w:pPr>
      <w:r>
        <w:rPr>
          <w:rFonts w:ascii="宋体" w:hAnsi="宋体" w:hint="eastAsia"/>
          <w:sz w:val="24"/>
        </w:rPr>
        <w:t>如果法律法规或监管部门对上述投资组合比例限制进行变更的，以变更后的规定为准。</w:t>
      </w:r>
      <w:r>
        <w:rPr>
          <w:rFonts w:ascii="宋体" w:hAnsi="宋体"/>
          <w:sz w:val="24"/>
        </w:rPr>
        <w:t>法律法规或监管部门取消</w:t>
      </w:r>
      <w:r>
        <w:rPr>
          <w:rFonts w:ascii="宋体" w:hAnsi="宋体" w:hint="eastAsia"/>
          <w:sz w:val="24"/>
        </w:rPr>
        <w:t>或调整</w:t>
      </w:r>
      <w:r>
        <w:rPr>
          <w:rFonts w:ascii="宋体" w:hAnsi="宋体"/>
          <w:sz w:val="24"/>
        </w:rPr>
        <w:t>上述限制，如适用于本基金，基金管理人</w:t>
      </w:r>
      <w:r>
        <w:rPr>
          <w:rFonts w:ascii="宋体" w:hAnsi="宋体" w:hint="eastAsia"/>
          <w:sz w:val="24"/>
        </w:rPr>
        <w:t>在</w:t>
      </w:r>
      <w:r>
        <w:rPr>
          <w:rFonts w:ascii="宋体" w:hAnsi="宋体"/>
          <w:sz w:val="24"/>
        </w:rPr>
        <w:t>履行适当程序后，则本基金投资不再受相关限制</w:t>
      </w:r>
      <w:r>
        <w:rPr>
          <w:rFonts w:ascii="宋体" w:hAnsi="宋体" w:hint="eastAsia"/>
          <w:sz w:val="24"/>
        </w:rPr>
        <w:t>，自动遵守届时有效的法律法规或监管规定</w:t>
      </w:r>
      <w:r>
        <w:rPr>
          <w:rFonts w:ascii="宋体" w:hAnsi="宋体"/>
          <w:sz w:val="24"/>
        </w:rPr>
        <w:t>。</w:t>
      </w:r>
    </w:p>
    <w:p w:rsidR="00F0328E" w:rsidRDefault="00441AB8">
      <w:pPr>
        <w:spacing w:line="360" w:lineRule="auto"/>
        <w:ind w:firstLineChars="200" w:firstLine="480"/>
        <w:rPr>
          <w:rFonts w:ascii="宋体" w:hAnsi="宋体"/>
          <w:bCs/>
          <w:sz w:val="24"/>
        </w:rPr>
      </w:pPr>
      <w:r>
        <w:rPr>
          <w:rFonts w:ascii="宋体" w:hAnsi="宋体" w:hint="eastAsia"/>
          <w:bCs/>
          <w:sz w:val="24"/>
        </w:rPr>
        <w:t>（三）基金托管人根据有关法律法规的规定及基金合同的约定，对本托管协议第十四条第九款基金投资禁止行为进行监督。基金托管人通过事后监督方式对基金管理人基金投资禁止行为进行监督。</w:t>
      </w:r>
    </w:p>
    <w:p w:rsidR="00F0328E" w:rsidRDefault="00441AB8">
      <w:pPr>
        <w:spacing w:line="360" w:lineRule="auto"/>
        <w:ind w:firstLineChars="200" w:firstLine="480"/>
        <w:rPr>
          <w:rFonts w:ascii="宋体" w:hAnsi="宋体"/>
          <w:bCs/>
          <w:sz w:val="24"/>
        </w:rPr>
      </w:pPr>
      <w:r>
        <w:rPr>
          <w:rFonts w:ascii="宋体" w:hAnsi="宋体"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上的独立董事通过。基金管理人董事会应至少每半年对关联交易事项进行审查。</w:t>
      </w:r>
    </w:p>
    <w:p w:rsidR="00F0328E" w:rsidRDefault="00441AB8">
      <w:pPr>
        <w:pStyle w:val="a9"/>
        <w:shd w:val="clear" w:color="auto" w:fill="FFFFFF"/>
        <w:spacing w:before="0" w:beforeAutospacing="0" w:after="0" w:afterAutospacing="0" w:line="360" w:lineRule="auto"/>
        <w:ind w:firstLineChars="200" w:firstLine="480"/>
        <w:jc w:val="both"/>
        <w:rPr>
          <w:rFonts w:cs="Times New Roman"/>
          <w:bCs/>
          <w:kern w:val="2"/>
        </w:rPr>
      </w:pPr>
      <w:r>
        <w:rPr>
          <w:rFonts w:hint="eastAsia"/>
          <w:bCs/>
        </w:rPr>
        <w:t>法律、行政法规或监管部门取消或变更上述规定，如适用于本基金，基金管理人在履行适当程序后，则本基金投资不再受相关限制或按变更后的规定执行。</w:t>
      </w:r>
    </w:p>
    <w:p w:rsidR="00F0328E" w:rsidRDefault="00441AB8">
      <w:pPr>
        <w:spacing w:line="360" w:lineRule="auto"/>
        <w:ind w:firstLineChars="200" w:firstLine="480"/>
        <w:rPr>
          <w:rFonts w:ascii="宋体" w:hAnsi="宋体" w:cs="Arial"/>
          <w:color w:val="000000"/>
          <w:sz w:val="24"/>
        </w:rPr>
      </w:pPr>
      <w:r>
        <w:rPr>
          <w:rFonts w:ascii="宋体" w:hAnsi="宋体" w:hint="eastAsia"/>
          <w:bCs/>
          <w:sz w:val="24"/>
        </w:rPr>
        <w:t>（四）基金如投资银行存款，基金托管人根据有关法律法规的规定及基金合同的约定，对基金投资银行存款的交易对手范围是否符合有关规定进行监督；基金管理人在签署银行存款协议前，应提前就账户开立、资金划付</w:t>
      </w:r>
      <w:r>
        <w:rPr>
          <w:rFonts w:ascii="宋体" w:hAnsi="宋体" w:cs="Arial" w:hint="eastAsia"/>
          <w:color w:val="000000"/>
          <w:sz w:val="24"/>
        </w:rPr>
        <w:t>和存单交接等需要基金托管人配合操作事宜与基金托管人协商一致。</w:t>
      </w:r>
    </w:p>
    <w:p w:rsidR="00F0328E" w:rsidRDefault="00441AB8">
      <w:pPr>
        <w:spacing w:line="360" w:lineRule="auto"/>
        <w:ind w:firstLineChars="200" w:firstLine="480"/>
        <w:rPr>
          <w:rFonts w:ascii="宋体" w:hAnsi="宋体"/>
          <w:sz w:val="24"/>
        </w:rPr>
      </w:pPr>
      <w:r>
        <w:rPr>
          <w:rFonts w:ascii="宋体" w:hAnsi="宋体" w:cs="Arial" w:hint="eastAsia"/>
          <w:color w:val="000000"/>
          <w:sz w:val="24"/>
        </w:rPr>
        <w:t>1、</w:t>
      </w:r>
      <w:r>
        <w:rPr>
          <w:rFonts w:ascii="宋体" w:hAnsi="宋体" w:hint="eastAsia"/>
          <w:sz w:val="24"/>
        </w:rPr>
        <w:t>基金投资于银行存款，应与存款银行总行或其授权分行签订存款协议，就银行存款业务达成一致意向后,基金管理人将拟签署的定稿协议文本提交给基金托管人进行审核。该协议文本中若存在违反相关法律法规等禁止性规定的条款，基金托管人有权要求基金管理人予以修改。基金托管人审核无误后，基金管理人据此协议文本与存款银行签订正式的存款协议，加盖基金管理人公章。</w:t>
      </w:r>
    </w:p>
    <w:p w:rsidR="00F0328E" w:rsidRDefault="00441AB8">
      <w:pPr>
        <w:spacing w:line="360" w:lineRule="auto"/>
        <w:ind w:firstLineChars="200" w:firstLine="480"/>
        <w:rPr>
          <w:rFonts w:ascii="宋体" w:hAnsi="宋体"/>
          <w:sz w:val="24"/>
        </w:rPr>
      </w:pPr>
      <w:r>
        <w:rPr>
          <w:rFonts w:ascii="宋体" w:hAnsi="宋体" w:hint="eastAsia"/>
          <w:sz w:val="24"/>
        </w:rPr>
        <w:t>2、存款协议中必须明确存款类型、期限、金额、利率，账号、对账方式、</w:t>
      </w:r>
      <w:r>
        <w:rPr>
          <w:rFonts w:ascii="宋体" w:hAnsi="宋体" w:hint="eastAsia"/>
          <w:sz w:val="24"/>
        </w:rPr>
        <w:lastRenderedPageBreak/>
        <w:t>支取方式、账户管理等细则。为防范特殊情况下的流动性风险，协议中应当约定提前支取条款，基金在托管人营业机构开立的托管专户为银行存款业务唯一资金往来专用账户，存款银行需定期向基金托管人提供定期对账服务。</w:t>
      </w:r>
    </w:p>
    <w:p w:rsidR="00F0328E" w:rsidRDefault="00441AB8">
      <w:pPr>
        <w:spacing w:line="360" w:lineRule="auto"/>
        <w:ind w:firstLineChars="200" w:firstLine="480"/>
        <w:rPr>
          <w:rFonts w:ascii="宋体" w:hAnsi="宋体"/>
          <w:sz w:val="24"/>
        </w:rPr>
      </w:pPr>
      <w:r>
        <w:rPr>
          <w:rFonts w:ascii="宋体" w:hAnsi="宋体" w:hint="eastAsia"/>
          <w:sz w:val="24"/>
        </w:rPr>
        <w:t>3、存款账户必须以基金名义开立，账户名称为基金名称并与基金托管专户保持一致。基金管理人不得借办理定期存款业务名义要求在基金托管人之外开立基金结算账户。</w:t>
      </w:r>
    </w:p>
    <w:p w:rsidR="00F0328E" w:rsidRDefault="00441AB8">
      <w:pPr>
        <w:adjustRightInd w:val="0"/>
        <w:snapToGrid w:val="0"/>
        <w:spacing w:line="360" w:lineRule="auto"/>
        <w:ind w:firstLineChars="200" w:firstLine="480"/>
        <w:rPr>
          <w:rFonts w:ascii="宋体" w:hAnsi="宋体" w:cs="Arial"/>
          <w:color w:val="000000"/>
          <w:sz w:val="24"/>
        </w:rPr>
      </w:pPr>
      <w:r>
        <w:rPr>
          <w:rFonts w:ascii="宋体" w:hAnsi="宋体" w:hint="eastAsia"/>
          <w:sz w:val="24"/>
        </w:rPr>
        <w:t>4、办理基金定期存款、全部提前支取、部分提前支取和到期支取存款等事宜，基金管理人应与存款落地行签订存款协议约定上门服务条款，须由存款落地行（或授权人）持授权书前往基金托管人或者相应授权部门办理。开户所需文件、材料，遵照开户银行具体要求办理。基金管理人全部提前支取、部分提前支取或到期支取时，需提前发送投资指令到基金托管人处，以便基金托管人有足够的时间履行相应的业务操作程序。</w:t>
      </w:r>
    </w:p>
    <w:p w:rsidR="00F0328E" w:rsidRDefault="00441AB8">
      <w:pPr>
        <w:adjustRightInd w:val="0"/>
        <w:snapToGrid w:val="0"/>
        <w:spacing w:line="360" w:lineRule="auto"/>
        <w:ind w:firstLineChars="200" w:firstLine="480"/>
        <w:rPr>
          <w:rFonts w:ascii="宋体" w:hAnsi="宋体"/>
          <w:sz w:val="24"/>
        </w:rPr>
      </w:pPr>
      <w:r>
        <w:rPr>
          <w:rFonts w:ascii="宋体" w:hAnsi="宋体" w:cs="Arial" w:hint="eastAsia"/>
          <w:sz w:val="24"/>
        </w:rPr>
        <w:t>（五）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更新的名单</w:t>
      </w:r>
      <w:r>
        <w:rPr>
          <w:rFonts w:ascii="宋体" w:hAnsi="宋体" w:hint="eastAsia"/>
          <w:sz w:val="24"/>
        </w:rPr>
        <w:t>确定前已与本次剔除的交易对手所进行但尚未结算的交易，仍应按照协议进行结算。如基金管理人根据市场情况需要临时调整银行间债券市场交易对手名单及结算方式的，应及时向基金托管人说明理由，协商解决。</w:t>
      </w:r>
      <w:r w:rsidR="009752A3" w:rsidRPr="009752A3">
        <w:rPr>
          <w:rFonts w:ascii="宋体" w:hAnsi="宋体" w:hint="eastAsia"/>
          <w:sz w:val="24"/>
        </w:rPr>
        <w:t>基金管理人未提供交易对手名单或交易对手名单文件格式不符合基金托管人要求的，均视为未提供名单。基金管理人同意，基金托管人无需履行前款项下监督职责。</w:t>
      </w:r>
    </w:p>
    <w:p w:rsidR="00F0328E" w:rsidRDefault="00441AB8">
      <w:pPr>
        <w:adjustRightInd w:val="0"/>
        <w:snapToGrid w:val="0"/>
        <w:spacing w:line="360" w:lineRule="auto"/>
        <w:ind w:firstLineChars="200" w:firstLine="480"/>
        <w:rPr>
          <w:rFonts w:ascii="宋体" w:hAnsi="宋体"/>
          <w:sz w:val="24"/>
        </w:rPr>
      </w:pPr>
      <w:r>
        <w:rPr>
          <w:rFonts w:ascii="宋体" w:hAnsi="宋体" w:hint="eastAsia"/>
          <w:sz w:val="24"/>
        </w:rPr>
        <w:t>基金管理人负责对交易对手的资信控制，按银行间债券市场的交易规则进行交易，并负责解决因交易对手不履行合同而造成的纠纷及损失。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（六）基金托管人根据有关法律法规的规定及基金合同的约定，对基金管理</w:t>
      </w:r>
      <w:r>
        <w:rPr>
          <w:rFonts w:ascii="宋体" w:hAnsi="宋体" w:cs="Arial" w:hint="eastAsia"/>
          <w:sz w:val="24"/>
        </w:rPr>
        <w:lastRenderedPageBreak/>
        <w:t>人投资流通受限证券进行监督。</w:t>
      </w:r>
    </w:p>
    <w:p w:rsidR="00F0328E" w:rsidRDefault="00441AB8">
      <w:pPr>
        <w:adjustRightInd w:val="0"/>
        <w:snapToGrid w:val="0"/>
        <w:spacing w:line="360" w:lineRule="auto"/>
        <w:ind w:firstLineChars="200" w:firstLine="480"/>
        <w:rPr>
          <w:rFonts w:ascii="宋体" w:hAnsi="宋体" w:cs="Arial"/>
          <w:sz w:val="24"/>
        </w:rPr>
      </w:pPr>
      <w:r>
        <w:rPr>
          <w:rFonts w:ascii="宋体" w:hAnsi="宋体" w:hint="eastAsia"/>
          <w:sz w:val="24"/>
        </w:rPr>
        <w:t>基金管理人投资流通受限证券，应事先根据中国证监会相关规定，明确基金投资流通受限证券的比例，</w:t>
      </w:r>
      <w:r>
        <w:rPr>
          <w:rFonts w:ascii="宋体" w:hAnsi="宋体" w:cs="Arial" w:hint="eastAsia"/>
          <w:sz w:val="24"/>
        </w:rPr>
        <w:t>制订严格的投资决策流程和风险控制制度，防范流动性风险、法律风险和操作风险等各种风险。基金托管人对基金管理人是否遵守相关制度、流动性风险处置预案以及相关投资额度和比例等的情况进行监督。首次投资流通受限证券之前，基金管理人应与基金托管人就投资流通受限证券的投资签署风险控制补充协议。</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1、本基金投资的流通受限证券须为经中国证监会批准的在发行时明确一定期限锁定期的可交易证券，不包括由于发布重大消息或其他原因而临时停牌的证券、已发行未上市证券、回购交易中的质押券等流通受限证券。</w:t>
      </w:r>
    </w:p>
    <w:p w:rsidR="00F0328E" w:rsidRDefault="00441AB8">
      <w:pPr>
        <w:snapToGrid w:val="0"/>
        <w:spacing w:line="360" w:lineRule="auto"/>
        <w:ind w:firstLineChars="200" w:firstLine="480"/>
        <w:rPr>
          <w:rFonts w:ascii="宋体" w:hAnsi="宋体"/>
          <w:sz w:val="24"/>
        </w:rPr>
      </w:pPr>
      <w:r>
        <w:rPr>
          <w:rFonts w:ascii="宋体" w:hAnsi="宋体" w:cs="Arial" w:hint="eastAsia"/>
          <w:sz w:val="24"/>
        </w:rPr>
        <w:t>本基金</w:t>
      </w:r>
      <w:r>
        <w:rPr>
          <w:rFonts w:ascii="宋体" w:hAnsi="宋体" w:hint="eastAsia"/>
          <w:sz w:val="24"/>
        </w:rPr>
        <w:t>投资的流通受限证券限于可由中国证券登记结算有限责任公司或中央国债登记结算有限责任公司、银行间市场清算所股份有限公司负责登记和存管，并可在证券交易所或全国银行间债券市场交易的证券。</w:t>
      </w:r>
    </w:p>
    <w:p w:rsidR="00F0328E" w:rsidRDefault="00441AB8">
      <w:pPr>
        <w:adjustRightInd w:val="0"/>
        <w:snapToGrid w:val="0"/>
        <w:spacing w:line="360" w:lineRule="auto"/>
        <w:ind w:firstLineChars="200" w:firstLine="480"/>
        <w:rPr>
          <w:rFonts w:ascii="宋体" w:hAnsi="宋体"/>
          <w:sz w:val="24"/>
        </w:rPr>
      </w:pPr>
      <w:r>
        <w:rPr>
          <w:rFonts w:ascii="宋体" w:hAnsi="宋体" w:hint="eastAsia"/>
          <w:sz w:val="24"/>
        </w:rPr>
        <w:t>本基金投资的流通受限证券应保证登记存管在本基金名下，基金管理人负责相关工作的落实和协调，并确保基金托管人能够正常查询。因基金管理人原因产生的受限证券登记存管问题，造成基金托管人无法安全保管本基金资产的责任与损失，及因流通受限证券存管直接影响本基金安全的责任及损失，由基金管理人承担。</w:t>
      </w:r>
    </w:p>
    <w:p w:rsidR="00F0328E" w:rsidRDefault="00441AB8">
      <w:pPr>
        <w:adjustRightInd w:val="0"/>
        <w:snapToGrid w:val="0"/>
        <w:spacing w:line="360" w:lineRule="auto"/>
        <w:ind w:firstLineChars="200" w:firstLine="480"/>
        <w:rPr>
          <w:rFonts w:ascii="宋体" w:hAnsi="宋体"/>
          <w:sz w:val="24"/>
        </w:rPr>
      </w:pPr>
      <w:r>
        <w:rPr>
          <w:rFonts w:ascii="宋体" w:hAnsi="宋体" w:cs="Arial" w:hint="eastAsia"/>
          <w:sz w:val="24"/>
        </w:rPr>
        <w:t>本基金</w:t>
      </w:r>
      <w:r>
        <w:rPr>
          <w:rFonts w:ascii="宋体" w:hAnsi="宋体" w:hint="eastAsia"/>
          <w:sz w:val="24"/>
        </w:rPr>
        <w:t>投资流通受限证券，不得预付任何形式的保证金。</w:t>
      </w:r>
    </w:p>
    <w:p w:rsidR="00F0328E" w:rsidRDefault="00441AB8">
      <w:pPr>
        <w:snapToGrid w:val="0"/>
        <w:spacing w:line="360" w:lineRule="auto"/>
        <w:ind w:firstLineChars="200" w:firstLine="480"/>
        <w:rPr>
          <w:rFonts w:ascii="宋体" w:hAnsi="宋体"/>
          <w:sz w:val="24"/>
        </w:rPr>
      </w:pPr>
      <w:r>
        <w:rPr>
          <w:rFonts w:ascii="宋体" w:hAnsi="宋体" w:hint="eastAsia"/>
          <w:sz w:val="24"/>
        </w:rPr>
        <w:t>基金管理人对本基金投资</w:t>
      </w:r>
      <w:r>
        <w:rPr>
          <w:rFonts w:ascii="宋体" w:hAnsi="宋体" w:cs="Arial" w:hint="eastAsia"/>
          <w:sz w:val="24"/>
        </w:rPr>
        <w:t>流通受限证券</w:t>
      </w:r>
      <w:r>
        <w:rPr>
          <w:rFonts w:ascii="宋体" w:hAnsi="宋体" w:hint="eastAsia"/>
          <w:sz w:val="24"/>
        </w:rPr>
        <w:t>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对本基金因投资</w:t>
      </w:r>
      <w:r>
        <w:rPr>
          <w:rFonts w:ascii="宋体" w:hAnsi="宋体" w:cs="Arial" w:hint="eastAsia"/>
          <w:sz w:val="24"/>
        </w:rPr>
        <w:t>流通受限证券</w:t>
      </w:r>
      <w:r>
        <w:rPr>
          <w:rFonts w:ascii="宋体" w:hAnsi="宋体" w:hint="eastAsia"/>
          <w:sz w:val="24"/>
        </w:rPr>
        <w:t>导致的流动性风险，基金托管人不承担任何责任。如因基金管理人违反基金合同导致本基金出现损失致使基金托管人承担连带赔偿责任的，基金管理人应在其过错范围内赔偿基金托管人由此遭受的损失。</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2、基金托管人根据有关规定有权对基金管理人进行以下事项监督：</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（1）本基金投资流通受限证券时的法律法规遵守情况。</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（2）在基金投资流通受限证券管理工作方面有关制度、流动性风险处置预案的建立与完善情况。</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lastRenderedPageBreak/>
        <w:t>（3）有关比例限制的执行情况。</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（4）信息披露情况。</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3、相关法律法规对基金投资流通受限证券</w:t>
      </w:r>
      <w:r>
        <w:rPr>
          <w:rFonts w:ascii="宋体" w:hAnsi="宋体" w:cs="Arial"/>
          <w:sz w:val="24"/>
        </w:rPr>
        <w:t>有新</w:t>
      </w:r>
      <w:r>
        <w:rPr>
          <w:rFonts w:ascii="宋体" w:hAnsi="宋体" w:cs="Arial" w:hint="eastAsia"/>
          <w:sz w:val="24"/>
        </w:rPr>
        <w:t>规定的，从其规定。</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七）基金托管人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八）基金托管人发现基金管理人的上述事项及投资指令或实际投资运作违反法律法规、基金合同和本托管协议的规定，应及时以电话提醒、邮件或书面提示等方式通知基金管理人限期纠正。基金管理人应积极配合和协助基金托管人的监督和核查。基金管理人收到通知后及时核对并回复基金托管人，对于收到的书面通知后应在下一工作日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九）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（十）若基金托管人发现基金管理人依据交易程序已经生效的指令违反法律、行政法规和其他有关规定，或者违反基金合同约定的，应当立即通知基金管理人，由此造成的损失由基金管理人承担。</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十一）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（十二）</w:t>
      </w:r>
      <w:r w:rsidR="001B4D94" w:rsidRPr="001B4D94">
        <w:rPr>
          <w:rFonts w:ascii="宋体" w:hAnsi="宋体" w:cs="Arial" w:hint="eastAsia"/>
          <w:sz w:val="24"/>
        </w:rPr>
        <w:t>当基金持有特定资产且存在或潜在大额赎回申请时，根据最大限度</w:t>
      </w:r>
      <w:r w:rsidR="001B4D94" w:rsidRPr="001B4D94">
        <w:rPr>
          <w:rFonts w:ascii="宋体" w:hAnsi="宋体" w:cs="Arial" w:hint="eastAsia"/>
          <w:sz w:val="24"/>
        </w:rPr>
        <w:lastRenderedPageBreak/>
        <w:t>保护基金份额持有人利益的原则，基金管理人经与基金托管人协商一致，并向符合《证券法》规定的会计师事务所就特定资产认定的相关事宜咨询专业意见后，可以依照法律法规及基金合同的约定启用侧袋机制，无需召开基金份额持有人大会审议</w:t>
      </w:r>
      <w:r>
        <w:rPr>
          <w:rFonts w:ascii="宋体" w:hAnsi="宋体" w:cs="Arial" w:hint="eastAsia"/>
          <w:sz w:val="24"/>
        </w:rPr>
        <w:t>。</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基金托管人依照相关法律法规的规定和基金合同的约定，对侧袋机制启用、特定资产处置和信息披露等方面进行复核和监督。侧袋机制实施期间的具体规则依照相关法律法规的规定和基金合同的约定执行。</w:t>
      </w:r>
    </w:p>
    <w:p w:rsidR="00F0328E" w:rsidRDefault="00441AB8">
      <w:pPr>
        <w:pStyle w:val="1"/>
        <w:numPr>
          <w:ilvl w:val="0"/>
          <w:numId w:val="1"/>
        </w:numPr>
        <w:spacing w:before="0" w:after="0" w:line="360" w:lineRule="auto"/>
        <w:rPr>
          <w:rFonts w:ascii="宋体" w:hAnsi="宋体"/>
          <w:sz w:val="24"/>
          <w:szCs w:val="24"/>
        </w:rPr>
      </w:pPr>
      <w:r>
        <w:rPr>
          <w:rFonts w:ascii="宋体" w:hAnsi="宋体"/>
          <w:sz w:val="24"/>
          <w:szCs w:val="24"/>
        </w:rPr>
        <w:br w:type="page"/>
      </w:r>
      <w:bookmarkStart w:id="43" w:name="_Toc295832633"/>
      <w:bookmarkStart w:id="44" w:name="_Toc295832940"/>
      <w:bookmarkStart w:id="45" w:name="_Toc295833671"/>
      <w:bookmarkStart w:id="46" w:name="_Toc295833000"/>
      <w:bookmarkStart w:id="47" w:name="_Toc110761796"/>
      <w:bookmarkStart w:id="48" w:name="_Toc110765660"/>
      <w:bookmarkStart w:id="49" w:name="_Toc86737929"/>
      <w:bookmarkStart w:id="50" w:name="_Toc86727355"/>
      <w:bookmarkStart w:id="51" w:name="_Toc124325888"/>
      <w:bookmarkStart w:id="52" w:name="_Toc108512358"/>
      <w:bookmarkStart w:id="53" w:name="_Toc89163368"/>
      <w:bookmarkStart w:id="54" w:name="_Toc119402710"/>
      <w:bookmarkStart w:id="55" w:name="_Toc86726439"/>
      <w:bookmarkStart w:id="56" w:name="_Toc118212950"/>
      <w:bookmarkStart w:id="57" w:name="_Toc86223242"/>
      <w:bookmarkStart w:id="58" w:name="_Toc118972648"/>
      <w:bookmarkStart w:id="59" w:name="_Toc86649722"/>
      <w:bookmarkStart w:id="60" w:name="_Toc86225291"/>
      <w:bookmarkStart w:id="61" w:name="_Toc110830492"/>
      <w:bookmarkStart w:id="62" w:name="_Toc270669855"/>
      <w:bookmarkStart w:id="63" w:name="_Toc118774803"/>
      <w:bookmarkStart w:id="64" w:name="_Toc120435783"/>
      <w:bookmarkStart w:id="65" w:name="_Toc76720683"/>
      <w:bookmarkEnd w:id="43"/>
      <w:bookmarkEnd w:id="44"/>
      <w:bookmarkEnd w:id="45"/>
      <w:bookmarkEnd w:id="46"/>
      <w:r>
        <w:rPr>
          <w:rFonts w:ascii="宋体" w:hAnsi="宋体" w:hint="eastAsia"/>
          <w:sz w:val="24"/>
          <w:szCs w:val="24"/>
        </w:rPr>
        <w:lastRenderedPageBreak/>
        <w:t>基金管理人对基金托管人的业务核查</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F0328E" w:rsidRDefault="00441AB8">
      <w:pPr>
        <w:adjustRightInd w:val="0"/>
        <w:snapToGrid w:val="0"/>
        <w:spacing w:line="360" w:lineRule="auto"/>
        <w:ind w:firstLine="480"/>
        <w:rPr>
          <w:rFonts w:ascii="宋体" w:hAnsi="宋体" w:cs="Arial"/>
          <w:sz w:val="24"/>
        </w:rPr>
      </w:pPr>
      <w:r>
        <w:rPr>
          <w:rFonts w:ascii="宋体" w:hAnsi="宋体" w:cs="Arial" w:hint="eastAsia"/>
          <w:sz w:val="24"/>
        </w:rPr>
        <w:t>（一）基金管理人对基金托管人履行托管职责情况进行核查，核查事项包括基金托管人安全保管基金财产、开设基金财产的资金账户、证券账户、期货账户等投资所需账户、复核基金管理人计算的基金资产净值和各类基金份额净值、根据基金管理人指令办理清算交收、相关信息披露和监督基金投资运作等行为。</w:t>
      </w:r>
    </w:p>
    <w:p w:rsidR="00F0328E" w:rsidRDefault="00441AB8">
      <w:pPr>
        <w:adjustRightInd w:val="0"/>
        <w:snapToGrid w:val="0"/>
        <w:spacing w:line="360" w:lineRule="auto"/>
        <w:ind w:firstLine="480"/>
        <w:rPr>
          <w:rFonts w:ascii="宋体" w:hAnsi="宋体" w:cs="Arial"/>
          <w:sz w:val="24"/>
        </w:rPr>
      </w:pPr>
      <w:r>
        <w:rPr>
          <w:rFonts w:ascii="宋体" w:hAnsi="宋体" w:cs="Arial" w:hint="eastAsia"/>
          <w:sz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rsidR="00F0328E" w:rsidRDefault="00441AB8">
      <w:pPr>
        <w:adjustRightInd w:val="0"/>
        <w:snapToGrid w:val="0"/>
        <w:spacing w:line="360" w:lineRule="auto"/>
        <w:ind w:firstLine="480"/>
        <w:rPr>
          <w:rFonts w:ascii="宋体" w:hAnsi="宋体" w:cs="Arial"/>
          <w:sz w:val="24"/>
        </w:rPr>
      </w:pPr>
      <w:r>
        <w:rPr>
          <w:rFonts w:ascii="宋体" w:hAnsi="宋体" w:cs="Arial" w:hint="eastAsia"/>
          <w:sz w:val="24"/>
        </w:rPr>
        <w:t>（三）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供基金管理人核查托管财产的完整性和真实性。</w:t>
      </w:r>
    </w:p>
    <w:p w:rsidR="00F0328E" w:rsidRDefault="00441AB8">
      <w:pPr>
        <w:adjustRightInd w:val="0"/>
        <w:snapToGrid w:val="0"/>
        <w:spacing w:line="360" w:lineRule="auto"/>
        <w:ind w:firstLine="480"/>
        <w:rPr>
          <w:rFonts w:ascii="宋体" w:hAnsi="宋体" w:cs="Arial"/>
          <w:sz w:val="24"/>
        </w:rPr>
      </w:pPr>
      <w:r>
        <w:rPr>
          <w:rFonts w:ascii="宋体" w:hAnsi="宋体" w:cs="Arial" w:hint="eastAsia"/>
          <w:sz w:val="24"/>
        </w:rPr>
        <w:t>（四）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F0328E" w:rsidRDefault="00441AB8">
      <w:pPr>
        <w:pStyle w:val="1"/>
        <w:numPr>
          <w:ilvl w:val="0"/>
          <w:numId w:val="1"/>
        </w:numPr>
        <w:spacing w:before="0" w:after="0" w:line="360" w:lineRule="auto"/>
        <w:rPr>
          <w:rFonts w:ascii="宋体" w:hAnsi="宋体"/>
          <w:sz w:val="24"/>
          <w:szCs w:val="24"/>
        </w:rPr>
      </w:pPr>
      <w:r>
        <w:rPr>
          <w:rFonts w:ascii="宋体" w:hAnsi="宋体"/>
          <w:sz w:val="24"/>
          <w:szCs w:val="24"/>
        </w:rPr>
        <w:br w:type="page"/>
      </w:r>
      <w:bookmarkStart w:id="66" w:name="_Toc295832942"/>
      <w:bookmarkStart w:id="67" w:name="_Toc295833673"/>
      <w:bookmarkStart w:id="68" w:name="_Toc295832635"/>
      <w:bookmarkStart w:id="69" w:name="_Toc295833002"/>
      <w:bookmarkStart w:id="70" w:name="_Toc86727356"/>
      <w:bookmarkStart w:id="71" w:name="_Toc270669856"/>
      <w:bookmarkStart w:id="72" w:name="_Toc120435784"/>
      <w:bookmarkStart w:id="73" w:name="_Toc84133786"/>
      <w:bookmarkStart w:id="74" w:name="_Toc118972649"/>
      <w:bookmarkStart w:id="75" w:name="_Toc124325889"/>
      <w:bookmarkStart w:id="76" w:name="_Toc89163369"/>
      <w:bookmarkStart w:id="77" w:name="_Toc86204789"/>
      <w:bookmarkStart w:id="78" w:name="_Toc86649723"/>
      <w:bookmarkStart w:id="79" w:name="_Toc86223243"/>
      <w:bookmarkStart w:id="80" w:name="_Toc118774804"/>
      <w:bookmarkStart w:id="81" w:name="_Toc119402711"/>
      <w:bookmarkStart w:id="82" w:name="_Toc110761797"/>
      <w:bookmarkStart w:id="83" w:name="_Toc84234388"/>
      <w:bookmarkStart w:id="84" w:name="_Toc86737930"/>
      <w:bookmarkStart w:id="85" w:name="_Toc108512359"/>
      <w:bookmarkStart w:id="86" w:name="_Toc86225292"/>
      <w:bookmarkStart w:id="87" w:name="_Toc86726440"/>
      <w:bookmarkStart w:id="88" w:name="_Toc110830493"/>
      <w:bookmarkStart w:id="89" w:name="_Toc84234435"/>
      <w:bookmarkStart w:id="90" w:name="_Toc118212951"/>
      <w:bookmarkStart w:id="91" w:name="_Toc110765661"/>
      <w:bookmarkStart w:id="92" w:name="_Toc76720684"/>
      <w:bookmarkEnd w:id="66"/>
      <w:bookmarkEnd w:id="67"/>
      <w:bookmarkEnd w:id="68"/>
      <w:bookmarkEnd w:id="69"/>
      <w:r>
        <w:rPr>
          <w:rFonts w:ascii="宋体" w:hAnsi="宋体" w:hint="eastAsia"/>
          <w:sz w:val="24"/>
          <w:szCs w:val="24"/>
        </w:rPr>
        <w:lastRenderedPageBreak/>
        <w:t>基金财产的保管</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F0328E" w:rsidRDefault="00441AB8">
      <w:pPr>
        <w:pStyle w:val="ae"/>
        <w:numPr>
          <w:ilvl w:val="0"/>
          <w:numId w:val="2"/>
        </w:numPr>
        <w:adjustRightInd w:val="0"/>
        <w:snapToGrid w:val="0"/>
        <w:spacing w:line="360" w:lineRule="auto"/>
        <w:ind w:firstLineChars="0"/>
        <w:rPr>
          <w:rFonts w:ascii="宋体" w:hAnsi="宋体" w:cs="Arial"/>
          <w:sz w:val="24"/>
        </w:rPr>
      </w:pPr>
      <w:r>
        <w:rPr>
          <w:rFonts w:ascii="宋体" w:hAnsi="宋体" w:cs="Arial" w:hint="eastAsia"/>
          <w:sz w:val="24"/>
        </w:rPr>
        <w:t>基金财产保管的原则</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1、基金财产应独立于基金管理人、基金托管人、证券经纪商的固有财产。</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2、基金管理人、基金托管人、证券经纪商因依法解散、被依法撤销或者被依法宣告破产等原因进行清算的，基金财产不属于其清算财产。</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3、基金托管人应安全保管基金财产。未经基金管理人依据合法程序作出的合法合规指令，基金托管人不得自行运用、处分、分配基金的任何财产。非因基金财产本身承担的债务，不得对基金财产强制执行。</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4、基金托管人按照规定开设基金财产的托管账户、证券账户等投资所需账户，证券经纪商根据相关法律法规、规范性文件为本基金开立相关证券资金账户。基金管理人、基金托管人、证券经纪商三方应为托管账户签订三方存管协议。</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5、基金托管人对所托管的不同基金财产分别设置账户，与基金托管人的其它财产实行严格的分账管理，独立核算，确保基金财产的完整与独立。</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6、除依据法律法规规定和基金合同约定外，基金托管人不为自己及任何第三人谋取利益，基金托管人违反此义务，利用基金财产为自己及任何第三方谋取利益，所得利益归于基金财产。</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7、基金托管人根据基金管理人的指令，按照基金合同和本协议的约定保管基金财产，如有特殊情况双方可另行协商解决。除本协议另有约定外，基金托管人未经基金管理人的指令，不得自行运用、处分、分配本基金的任何资产。</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8、对于因为基金投资产生的应收资产，应由基金管理人负责与有关当事人确定到账日期并通知基金托管人，到账日基金财产没有到达基金账户的，基金托管人应及时通知基金管理人采取措施进行催收。基金管理人未及时催收给基金财产造成损失的，基金管理人应负责向有关当事人追偿基金财产的损失。</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9、除依据法律法规和基金合同的规定外，基金托管人不得委托第三人托管基金财产。</w:t>
      </w:r>
    </w:p>
    <w:p w:rsidR="00F0328E" w:rsidRDefault="00441AB8">
      <w:pPr>
        <w:adjustRightInd w:val="0"/>
        <w:snapToGrid w:val="0"/>
        <w:spacing w:line="360" w:lineRule="auto"/>
        <w:ind w:firstLine="480"/>
        <w:rPr>
          <w:rFonts w:ascii="宋体" w:hAnsi="宋体" w:cs="Arial"/>
          <w:sz w:val="24"/>
        </w:rPr>
      </w:pPr>
      <w:r>
        <w:rPr>
          <w:rFonts w:ascii="宋体" w:hAnsi="宋体" w:cs="Arial" w:hint="eastAsia"/>
          <w:sz w:val="24"/>
        </w:rPr>
        <w:t>（二）基金募集期间及募集资金的验资</w:t>
      </w:r>
    </w:p>
    <w:p w:rsidR="00F0328E" w:rsidRDefault="00441AB8">
      <w:pPr>
        <w:adjustRightInd w:val="0"/>
        <w:snapToGrid w:val="0"/>
        <w:spacing w:line="360" w:lineRule="auto"/>
        <w:ind w:firstLine="480"/>
        <w:rPr>
          <w:rFonts w:ascii="宋体" w:hAnsi="宋体" w:cs="Arial"/>
          <w:sz w:val="24"/>
        </w:rPr>
      </w:pPr>
      <w:r>
        <w:rPr>
          <w:rFonts w:ascii="宋体" w:hAnsi="宋体" w:cs="Arial" w:hint="eastAsia"/>
          <w:sz w:val="24"/>
        </w:rPr>
        <w:t>1、基金募集期间的资金应存于基金管理人在具有托管资格的商业银行开设的基金募集专户。该账户由基金管理人开立并管理。</w:t>
      </w:r>
    </w:p>
    <w:p w:rsidR="00F0328E" w:rsidRDefault="00441AB8">
      <w:pPr>
        <w:adjustRightInd w:val="0"/>
        <w:snapToGrid w:val="0"/>
        <w:spacing w:line="360" w:lineRule="auto"/>
        <w:ind w:firstLine="480"/>
        <w:rPr>
          <w:rFonts w:ascii="宋体" w:hAnsi="宋体" w:cs="Arial"/>
          <w:sz w:val="24"/>
        </w:rPr>
      </w:pPr>
      <w:r>
        <w:rPr>
          <w:rFonts w:ascii="宋体" w:hAnsi="宋体" w:cs="Arial" w:hint="eastAsia"/>
          <w:sz w:val="24"/>
        </w:rPr>
        <w:t>2、基金募集期满或基金停止募集时，募集的基金份额总额、基金募集金额、</w:t>
      </w:r>
      <w:r>
        <w:rPr>
          <w:rFonts w:ascii="宋体" w:hAnsi="宋体" w:cs="Arial" w:hint="eastAsia"/>
          <w:sz w:val="24"/>
        </w:rPr>
        <w:lastRenderedPageBreak/>
        <w:t>基金份额持有人人数符合《基金法》、《运作办法》等有关规定后，基金管理人应将属于基金财产的全部资金划入基金托管人开立的基金托管账户，同时在规定时间内，聘请符合《证券法》规定的会计师事务所进行验资，出具验资报告。出具的验资报告由参加验资的2名或2名以上注册会计师签字方为有效。</w:t>
      </w:r>
    </w:p>
    <w:p w:rsidR="00F0328E" w:rsidRDefault="00441AB8">
      <w:pPr>
        <w:adjustRightInd w:val="0"/>
        <w:snapToGrid w:val="0"/>
        <w:spacing w:line="360" w:lineRule="auto"/>
        <w:ind w:firstLine="480"/>
        <w:rPr>
          <w:rFonts w:ascii="宋体" w:hAnsi="宋体" w:cs="Arial"/>
          <w:sz w:val="24"/>
        </w:rPr>
      </w:pPr>
      <w:r>
        <w:rPr>
          <w:rFonts w:ascii="宋体" w:hAnsi="宋体" w:cs="Arial" w:hint="eastAsia"/>
          <w:sz w:val="24"/>
        </w:rPr>
        <w:t>3、若基金募集期限届满，未能达到基金合同生效的条件，由基金管理人按规定办理退款等事宜，基金托管人应提供充分协助。</w:t>
      </w:r>
    </w:p>
    <w:p w:rsidR="00F0328E" w:rsidRDefault="00441AB8">
      <w:pPr>
        <w:adjustRightInd w:val="0"/>
        <w:snapToGrid w:val="0"/>
        <w:spacing w:line="360" w:lineRule="auto"/>
        <w:ind w:firstLine="480"/>
        <w:rPr>
          <w:rFonts w:ascii="宋体" w:hAnsi="宋体" w:cs="Arial"/>
          <w:sz w:val="24"/>
        </w:rPr>
      </w:pPr>
      <w:r>
        <w:rPr>
          <w:rFonts w:ascii="宋体" w:hAnsi="宋体" w:cs="Arial" w:hint="eastAsia"/>
          <w:sz w:val="24"/>
        </w:rPr>
        <w:t>（三）基金托管账户的开立和管理</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1、基金托管人应负责本基金的托管账户的开设和管理。</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2、基金托管人以本基金的名义在其营业机构开立基金的托管账户应至少包含基金名称，并根据基金管理人合法合规的指令办理资金收付。本基金的银行预留印鉴由基金托管人保管和使用。</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3、基金托管账户的开立和使用，限于满足开展本基金业务的需要。基金托管人和基金管理人不得假借本基金的名义开立任何其他银行账户；亦不得使用基金的任何账户进行本基金业务以外的活动。</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4、基金托管账户的开立和管理应符合银行业监督管理机构的有关规定。</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5、在符合法律法规规定的条件下，基金托管人可以通过基金托管人专用账户办理基金资产的支付。</w:t>
      </w:r>
    </w:p>
    <w:p w:rsidR="00F0328E" w:rsidRDefault="00441AB8">
      <w:pPr>
        <w:adjustRightInd w:val="0"/>
        <w:snapToGrid w:val="0"/>
        <w:spacing w:line="360" w:lineRule="auto"/>
        <w:ind w:firstLine="480"/>
        <w:rPr>
          <w:rFonts w:ascii="宋体" w:hAnsi="宋体" w:cs="Arial"/>
          <w:sz w:val="24"/>
        </w:rPr>
      </w:pPr>
      <w:r>
        <w:rPr>
          <w:rFonts w:ascii="宋体" w:hAnsi="宋体" w:cs="Arial" w:hint="eastAsia"/>
          <w:sz w:val="24"/>
        </w:rPr>
        <w:t>（四）基金证券账户、证券资金账户的开立和管理</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1、基金托管人在中国证券登记结算有限责任公司上海分公司、深圳分公司为基金开立基金托管人与本基金联名的证券账户。</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3、基金管理人根据相关法律法规及协议约定在选定的证券经纪商处为本基金开立证券资金账户，用于办理本基金在证券交易所进行证券投资所涉及的资金结算业务，并与基金托管人</w:t>
      </w:r>
      <w:r w:rsidR="00544AEE" w:rsidRPr="00544AEE">
        <w:rPr>
          <w:rFonts w:ascii="宋体" w:hAnsi="宋体" w:cs="Arial" w:hint="eastAsia"/>
          <w:sz w:val="24"/>
        </w:rPr>
        <w:t>指定的第三方存</w:t>
      </w:r>
      <w:r>
        <w:rPr>
          <w:rFonts w:ascii="宋体" w:hAnsi="宋体" w:cs="Arial" w:hint="eastAsia"/>
          <w:sz w:val="24"/>
        </w:rPr>
        <w:t>管账户建立第三方存管关系。结算备付金和交易保证金的收取按照代理证券买卖的证券经营机构的规定执行。</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4、交易所证券交易资金采用第三方存管模式，即用于证券交易结算资金全额存放在基金管理人为基金开设的证券资金账户中，场内的证券交易资金清算由基金管理人所选择的证券公司负责。基金托管人不负责办理场内的证券交易资金</w:t>
      </w:r>
      <w:r>
        <w:rPr>
          <w:rFonts w:ascii="宋体" w:hAnsi="宋体" w:cs="Arial" w:hint="eastAsia"/>
          <w:sz w:val="24"/>
        </w:rPr>
        <w:lastRenderedPageBreak/>
        <w:t>清算，也不负责保管证券资金账户内存放的资金。该证券资金账户与基金银行存款账户之间建立银证转账对应关系，银证转账密码由基金托管人负责使用。</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5、若中国证监会或其他监管机构在本托管协议订立日之后允许基金从事其他投资品种的投资业务，涉及相关账户的开立、使用的，按有关规定开立、使用并管理；若无相关规定，则基金托管人比照上述关于账户开立、使用的规定执行。</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（五）债券托管账户的开设和管理</w:t>
      </w:r>
    </w:p>
    <w:p w:rsidR="00F0328E" w:rsidRDefault="00441AB8">
      <w:pPr>
        <w:adjustRightInd w:val="0"/>
        <w:snapToGrid w:val="0"/>
        <w:spacing w:line="360" w:lineRule="auto"/>
        <w:ind w:firstLine="480"/>
        <w:rPr>
          <w:rFonts w:ascii="宋体" w:hAnsi="宋体" w:cs="Arial"/>
          <w:sz w:val="24"/>
        </w:rPr>
      </w:pPr>
      <w:r>
        <w:rPr>
          <w:rFonts w:ascii="宋体" w:hAnsi="宋体" w:cs="Arial" w:hint="eastAsia"/>
          <w:sz w:val="24"/>
        </w:rPr>
        <w:t>基金合同生效后，基金托管人根据中国人民银行、中央国债登记结算有限责任公司、银行间市场清算所股份有限公司的有关规定，以本基金的名义在中央国债登记结算有限责任公司</w:t>
      </w:r>
      <w:r>
        <w:rPr>
          <w:rFonts w:ascii="宋体" w:hAnsi="宋体" w:hint="eastAsia"/>
          <w:sz w:val="24"/>
        </w:rPr>
        <w:t>、银行间市场清算所股份有限公司</w:t>
      </w:r>
      <w:r>
        <w:rPr>
          <w:rFonts w:ascii="宋体" w:hAnsi="宋体" w:cs="Arial" w:hint="eastAsia"/>
          <w:sz w:val="24"/>
        </w:rPr>
        <w:t>开立债券托管账户、持有人账户和资金结算账户，并代表基金进行银行间市场债券的结算。基金管理人和基金托管人共同代表基金签订全国银行间债券市场债券回购主协议。</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（六）期货账户的开立和管理</w:t>
      </w:r>
    </w:p>
    <w:p w:rsidR="0036503A" w:rsidRPr="0036503A" w:rsidRDefault="0036503A" w:rsidP="0036503A">
      <w:pPr>
        <w:adjustRightInd w:val="0"/>
        <w:snapToGrid w:val="0"/>
        <w:spacing w:line="360" w:lineRule="auto"/>
        <w:ind w:firstLineChars="200" w:firstLine="480"/>
        <w:rPr>
          <w:rFonts w:ascii="宋体" w:hAnsi="宋体" w:cs="Arial"/>
          <w:sz w:val="24"/>
        </w:rPr>
      </w:pPr>
      <w:r w:rsidRPr="0036503A">
        <w:rPr>
          <w:rFonts w:ascii="宋体" w:hAnsi="宋体" w:cs="Arial" w:hint="eastAsia"/>
          <w:sz w:val="24"/>
        </w:rPr>
        <w:t>基金管理人根据投资需要按照规定开立期货保证金账户及期货交易编码等，基金托管人按照规定开立期货结算账户等投资所需账户。完成上述账户开立后，基金管理人应以书面形式将期货公司提供的期货保证金账户的初始资金密码和市场监控中心的登录用户名及密码告知基金托管人。资金密码和市场监控中心登录密码重置由基金管理人进行，重置后务必及时通知基金托管人。</w:t>
      </w:r>
    </w:p>
    <w:p w:rsidR="0036503A" w:rsidRDefault="0036503A" w:rsidP="0036503A">
      <w:pPr>
        <w:adjustRightInd w:val="0"/>
        <w:snapToGrid w:val="0"/>
        <w:spacing w:line="360" w:lineRule="auto"/>
        <w:ind w:firstLineChars="200" w:firstLine="480"/>
        <w:rPr>
          <w:rFonts w:ascii="宋体" w:hAnsi="宋体" w:cs="Arial"/>
          <w:sz w:val="24"/>
        </w:rPr>
      </w:pPr>
      <w:r w:rsidRPr="0036503A">
        <w:rPr>
          <w:rFonts w:ascii="宋体" w:hAnsi="宋体" w:cs="Arial" w:hint="eastAsia"/>
          <w:sz w:val="24"/>
        </w:rPr>
        <w:t>基金托管人和基金管理人应当在开户过程中相互配合，并提供所需资料。基金管理人保证所提供的账户开户材料的真实性和有效性，且在相关资料变更后及时将变更的资料提供给基金托管人。</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（七）其他账户的开立和管理</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1、因业务发展需要而开立的其他账户，可以根据法律法规和基金合同的规定开立，在基金管理人和基金托管人商议后由基金托管人负责开立。新账户按有关规定使用并管理。</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2、法律法规等有关规定对相关账户的开立和管理另有规定的，从其规定办理。</w:t>
      </w:r>
    </w:p>
    <w:p w:rsidR="00F0328E" w:rsidRDefault="00441AB8">
      <w:pPr>
        <w:adjustRightInd w:val="0"/>
        <w:snapToGrid w:val="0"/>
        <w:spacing w:line="360" w:lineRule="auto"/>
        <w:ind w:firstLine="480"/>
        <w:rPr>
          <w:rFonts w:ascii="宋体" w:hAnsi="宋体" w:cs="Arial"/>
          <w:sz w:val="24"/>
        </w:rPr>
      </w:pPr>
      <w:r>
        <w:rPr>
          <w:rFonts w:ascii="宋体" w:hAnsi="宋体" w:cs="Arial" w:hint="eastAsia"/>
          <w:sz w:val="24"/>
        </w:rPr>
        <w:t>（八）基金财产投资的有关有价凭证等的保管</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基金财产投资的有关实物证券</w:t>
      </w:r>
      <w:r>
        <w:rPr>
          <w:rFonts w:ascii="宋体" w:hAnsi="宋体" w:cs="仿宋" w:hint="eastAsia"/>
          <w:color w:val="000000"/>
          <w:sz w:val="24"/>
        </w:rPr>
        <w:t>、银行存款开户证实书</w:t>
      </w:r>
      <w:r>
        <w:rPr>
          <w:rFonts w:ascii="宋体" w:hAnsi="宋体" w:cs="Arial" w:hint="eastAsia"/>
          <w:sz w:val="24"/>
        </w:rPr>
        <w:t>等有价凭证由基金托管人存放于基金托管人的保管库，也可存入中央国债登记结算有限责任公司、中国证券登记结算有限责任公司上海分公司/深圳分公司或票据营业中心的代保管</w:t>
      </w:r>
      <w:r>
        <w:rPr>
          <w:rFonts w:ascii="宋体" w:hAnsi="宋体" w:cs="Arial" w:hint="eastAsia"/>
          <w:sz w:val="24"/>
        </w:rPr>
        <w:lastRenderedPageBreak/>
        <w:t>库，保管凭证由基金托管人持有。实物证券</w:t>
      </w:r>
      <w:r>
        <w:rPr>
          <w:rFonts w:ascii="宋体" w:hAnsi="宋体" w:cs="仿宋" w:hint="eastAsia"/>
          <w:color w:val="000000"/>
          <w:sz w:val="24"/>
        </w:rPr>
        <w:t>、银行存款开户证实书</w:t>
      </w:r>
      <w:r>
        <w:rPr>
          <w:rFonts w:ascii="宋体" w:hAnsi="宋体" w:cs="Arial" w:hint="eastAsia"/>
          <w:sz w:val="24"/>
        </w:rPr>
        <w:t>等有价凭证的购买和转让，由基金管理人和基金托管人共同办理。基金托管人对由基金托管人以外机构实际有效控制的证券不承担保管责任，但基金托管人应妥善保管凭证。</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（九）与基金财产有关的重大合同的保管</w:t>
      </w:r>
    </w:p>
    <w:p w:rsidR="00F0328E" w:rsidRDefault="00441AB8">
      <w:pPr>
        <w:adjustRightInd w:val="0"/>
        <w:snapToGrid w:val="0"/>
        <w:spacing w:line="360" w:lineRule="auto"/>
        <w:ind w:firstLineChars="200" w:firstLine="480"/>
        <w:rPr>
          <w:rFonts w:ascii="宋体" w:hAnsi="宋体"/>
          <w:sz w:val="24"/>
        </w:rPr>
      </w:pPr>
      <w:r>
        <w:rPr>
          <w:rFonts w:ascii="宋体" w:hAnsi="宋体" w:cs="Arial" w:hint="eastAsia"/>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尽可能保证基金管理人和基金托管人至少各持有一份正本的原件。重大合同的保管期限为基金合同终止后20年，保管期限</w:t>
      </w:r>
      <w:r w:rsidR="001B4D94" w:rsidRPr="001B4D94">
        <w:rPr>
          <w:rFonts w:ascii="宋体" w:hAnsi="宋体" w:cs="Arial" w:hint="eastAsia"/>
          <w:sz w:val="24"/>
        </w:rPr>
        <w:t>不少于法定最低期限</w:t>
      </w:r>
      <w:r>
        <w:rPr>
          <w:rFonts w:ascii="宋体" w:hAnsi="宋体" w:cs="Arial" w:hint="eastAsia"/>
          <w:sz w:val="24"/>
        </w:rPr>
        <w:t>。</w:t>
      </w:r>
      <w:r>
        <w:rPr>
          <w:rFonts w:ascii="宋体" w:hAnsi="宋体" w:hint="eastAsia"/>
          <w:sz w:val="24"/>
        </w:rPr>
        <w:t>对于无法取得二份以上的正本的，基金管理人应向基金托管人提供加盖公章的合同传真件，未经双方协商或未在合同约定范围内，合同原件不得转移。</w:t>
      </w:r>
    </w:p>
    <w:p w:rsidR="00F0328E" w:rsidRDefault="00F0328E">
      <w:pPr>
        <w:adjustRightInd w:val="0"/>
        <w:snapToGrid w:val="0"/>
        <w:spacing w:line="360" w:lineRule="auto"/>
        <w:ind w:firstLineChars="200" w:firstLine="480"/>
        <w:rPr>
          <w:rFonts w:ascii="宋体" w:hAnsi="宋体"/>
          <w:sz w:val="24"/>
        </w:rPr>
      </w:pPr>
    </w:p>
    <w:p w:rsidR="00F0328E" w:rsidRDefault="00F0328E">
      <w:pPr>
        <w:adjustRightInd w:val="0"/>
        <w:snapToGrid w:val="0"/>
        <w:spacing w:line="360" w:lineRule="auto"/>
        <w:ind w:firstLineChars="200" w:firstLine="480"/>
        <w:rPr>
          <w:rFonts w:ascii="宋体" w:hAnsi="宋体" w:cs="Arial"/>
          <w:sz w:val="24"/>
        </w:rPr>
      </w:pPr>
    </w:p>
    <w:p w:rsidR="00F0328E" w:rsidRDefault="00441AB8" w:rsidP="00CF65B5">
      <w:pPr>
        <w:pStyle w:val="1"/>
        <w:numPr>
          <w:ilvl w:val="0"/>
          <w:numId w:val="1"/>
        </w:numPr>
        <w:spacing w:before="0" w:afterLines="50" w:after="156" w:line="360" w:lineRule="auto"/>
        <w:rPr>
          <w:rFonts w:ascii="宋体" w:hAnsi="宋体"/>
          <w:sz w:val="24"/>
          <w:szCs w:val="24"/>
        </w:rPr>
      </w:pPr>
      <w:bookmarkStart w:id="93" w:name="_Toc295833677"/>
      <w:bookmarkStart w:id="94" w:name="_Toc295832945"/>
      <w:bookmarkStart w:id="95" w:name="_Toc295832946"/>
      <w:bookmarkStart w:id="96" w:name="_Toc295833004"/>
      <w:bookmarkStart w:id="97" w:name="_Toc295833006"/>
      <w:bookmarkStart w:id="98" w:name="_Toc295833675"/>
      <w:bookmarkStart w:id="99" w:name="_Toc295832944"/>
      <w:bookmarkStart w:id="100" w:name="_Toc295832638"/>
      <w:bookmarkStart w:id="101" w:name="_Toc295833676"/>
      <w:bookmarkStart w:id="102" w:name="_Toc295832637"/>
      <w:bookmarkStart w:id="103" w:name="_Toc295832639"/>
      <w:bookmarkStart w:id="104" w:name="_Toc295833005"/>
      <w:bookmarkEnd w:id="93"/>
      <w:bookmarkEnd w:id="94"/>
      <w:bookmarkEnd w:id="95"/>
      <w:bookmarkEnd w:id="96"/>
      <w:bookmarkEnd w:id="97"/>
      <w:bookmarkEnd w:id="98"/>
      <w:bookmarkEnd w:id="99"/>
      <w:bookmarkEnd w:id="100"/>
      <w:bookmarkEnd w:id="101"/>
      <w:bookmarkEnd w:id="102"/>
      <w:bookmarkEnd w:id="103"/>
      <w:bookmarkEnd w:id="104"/>
      <w:r>
        <w:rPr>
          <w:rFonts w:ascii="宋体" w:hAnsi="宋体"/>
          <w:sz w:val="24"/>
          <w:szCs w:val="24"/>
        </w:rPr>
        <w:br w:type="page"/>
      </w:r>
      <w:bookmarkStart w:id="105" w:name="_Toc295832947"/>
      <w:bookmarkStart w:id="106" w:name="_Toc295832640"/>
      <w:bookmarkStart w:id="107" w:name="_Toc295833678"/>
      <w:bookmarkStart w:id="108" w:name="_Toc295833007"/>
      <w:bookmarkStart w:id="109" w:name="_Toc86737931"/>
      <w:bookmarkStart w:id="110" w:name="_Toc84234389"/>
      <w:bookmarkStart w:id="111" w:name="_Toc86727357"/>
      <w:bookmarkStart w:id="112" w:name="_Toc84133787"/>
      <w:bookmarkStart w:id="113" w:name="_Toc86223244"/>
      <w:bookmarkStart w:id="114" w:name="_Toc84234436"/>
      <w:bookmarkStart w:id="115" w:name="_Toc86225293"/>
      <w:bookmarkStart w:id="116" w:name="_Toc86204790"/>
      <w:bookmarkStart w:id="117" w:name="_Toc118972650"/>
      <w:bookmarkStart w:id="118" w:name="_Toc120435785"/>
      <w:bookmarkStart w:id="119" w:name="_Toc86649724"/>
      <w:bookmarkStart w:id="120" w:name="_Toc110765662"/>
      <w:bookmarkStart w:id="121" w:name="_Toc118774805"/>
      <w:bookmarkStart w:id="122" w:name="_Toc89163370"/>
      <w:bookmarkStart w:id="123" w:name="_Toc119402712"/>
      <w:bookmarkStart w:id="124" w:name="_Toc118212952"/>
      <w:bookmarkStart w:id="125" w:name="_Toc86726441"/>
      <w:bookmarkStart w:id="126" w:name="_Toc108512360"/>
      <w:bookmarkStart w:id="127" w:name="_Toc270669857"/>
      <w:bookmarkStart w:id="128" w:name="_Toc110761798"/>
      <w:bookmarkStart w:id="129" w:name="_Toc124325890"/>
      <w:bookmarkStart w:id="130" w:name="_Toc110830494"/>
      <w:bookmarkStart w:id="131" w:name="_Toc76720685"/>
      <w:bookmarkEnd w:id="105"/>
      <w:bookmarkEnd w:id="106"/>
      <w:bookmarkEnd w:id="107"/>
      <w:bookmarkEnd w:id="108"/>
      <w:r>
        <w:rPr>
          <w:rFonts w:ascii="宋体" w:hAnsi="宋体" w:hint="eastAsia"/>
          <w:sz w:val="24"/>
          <w:szCs w:val="24"/>
        </w:rPr>
        <w:lastRenderedPageBreak/>
        <w:t>指令的发送、确认及执行</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基金管理人在运用基金财产时向基金托管人发送资金划拨及其他款项付款指令，基金托管人执行基金管理人的指令、办理基金名下的资金往来等有关事项。</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（一）基金管理人对发送指令人员的书面授权</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1、基金管理人应指定专人向基金托管人发送指令。</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2、基金管理人应向基金托管人提供书面授权文件，该文件应加盖公章并由法定代表人或其授权代表签署，若由授权代表签署，还应附上法定代表人的授权委托书。文件内容包括被授权人名单、预留印鉴及被授权人签字或签章样本，授权文件应注明被授权人相应的权限。</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3、基金托管人在收到授权传真文件并经基金管理人电话确认后，授权文件即生效。如果授权文件中载明具体生效时间的，该生效时间不得早于基金托管人收到授权文件并经电话确认的时点。如早于前述时间，则以基金托管人收到授权文件并经电话确认的时点为授权文件的生效时间。</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4、基金管理人应在发送授权传真文件后5个工作日内向托管人提供原件。基金管理人应确保原件与传真件一致，若不一致则以生效的传真件为准。基金管理人和基金托管人对授权文件负有保密义务，其内容不得向被授权人及相关操作人员以外的任何人泄露，但法律法规规定或有权机关要求的除外。</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（二）指令的内容</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1、指令包括赎回、分红付款指令、投资有关的付款指令、实物债券出入库指令、银证互转指令以及其他资金划拨指令等。</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2、基金管理人发给基金托管人的指令应写明款项事由、支付时间、到账时间、金额、账户等，加盖预留印鉴并由被授权人签字或签章。</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3、相关登记结算公司向基金托管人发送的结算通知视为基金管理人向基金托管人发出的指令。</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（三）指令的发送、确认及执行的时间和程序</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1、指令的发送</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基金管理人发送指令应采用</w:t>
      </w:r>
      <w:r w:rsidR="00A96ED8">
        <w:rPr>
          <w:rFonts w:ascii="宋体" w:hAnsi="宋体" w:cs="Arial" w:hint="eastAsia"/>
          <w:sz w:val="24"/>
        </w:rPr>
        <w:t>电子邮件、</w:t>
      </w:r>
      <w:r>
        <w:rPr>
          <w:rFonts w:ascii="宋体" w:hAnsi="宋体" w:cs="Arial" w:hint="eastAsia"/>
          <w:sz w:val="24"/>
        </w:rPr>
        <w:t>加密传真方式</w:t>
      </w:r>
      <w:r>
        <w:rPr>
          <w:rFonts w:ascii="宋体" w:hAnsi="宋体" w:cs="Arial"/>
          <w:sz w:val="24"/>
        </w:rPr>
        <w:t>或其他基金管理人和基金托管人双方书面共同确认的</w:t>
      </w:r>
      <w:r>
        <w:rPr>
          <w:rFonts w:ascii="宋体" w:hAnsi="宋体" w:cs="Arial" w:hint="eastAsia"/>
          <w:sz w:val="24"/>
        </w:rPr>
        <w:t>方式。</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基金管理人应按照法律法规和基金合同的规定，在其合法的经营权限和交易</w:t>
      </w:r>
      <w:r>
        <w:rPr>
          <w:rFonts w:ascii="宋体" w:hAnsi="宋体" w:cs="Arial" w:hint="eastAsia"/>
          <w:sz w:val="24"/>
        </w:rPr>
        <w:lastRenderedPageBreak/>
        <w:t>权限内发送指令；被授权人应严格按照其授权权限发送指令，基金托管人在复核后应在规定期限内执行，不得延误。对于被授权人依约定程序发出的指令，基金管理人不得否认其效力。但如果基金管理人已经撤销或更改对交易指令发送人员的授权，且上述授权的撤销或更改基金管理人已在指令执行前按照本协议约定通知基金托管人并经基金托管人根据本协议的约定方式或双方认可的方式确认后，则对于此后该交易指令发送人员无权发送的指令，或超权限发送的指令，基金管理人不承担责任，授权已更改但未经基金托管人确认的情况除外。</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指令发出后，基金管理人应及时以电话方式向基金托管人确认。基金托管人在复核后应在规定期限内执行，不得延误。基金托管人仅对基金管理人提交的指令按照本协议的约定进行审慎的表面一致性审查，基金托管人不负责审查基金管理人发送指令同时提交的其他文件资料的合法性、真实性、完整性和有效性，基金管理人应保证上述文件资料合法、真实、完整和有效。如因基金管理人提供的上述文件不合法、不真实、不完整或失去效力而影响基金托管人的审核或给任何第三人带来损失，基金托管人不承担任何形式的责任。</w:t>
      </w:r>
    </w:p>
    <w:p w:rsidR="00F0328E" w:rsidRDefault="00441AB8" w:rsidP="00BC42D4">
      <w:pPr>
        <w:adjustRightInd w:val="0"/>
        <w:snapToGrid w:val="0"/>
        <w:spacing w:line="360" w:lineRule="auto"/>
        <w:ind w:firstLineChars="200" w:firstLine="480"/>
        <w:rPr>
          <w:rFonts w:ascii="宋体" w:hAnsi="宋体" w:cs="Arial"/>
          <w:sz w:val="24"/>
        </w:rPr>
      </w:pPr>
      <w:r>
        <w:rPr>
          <w:rFonts w:ascii="宋体" w:hAnsi="宋体" w:cs="Arial" w:hint="eastAsia"/>
          <w:sz w:val="24"/>
        </w:rPr>
        <w:t>如果银行间簿记系统已经生成的交易需要取消或终止，基金管理人应当立即以书面或双方认可的形式通知基金托管人。</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基金管理人应于划款前一日向基金托管人发送投资划款指令并确认，如需在划款当日下达投资划款指令，在发送指令时，应为基金托管人留出执行指令所必需的时间，一般为两个工作小时，基金管理人应于划款当日的15：00前向基金托管人发送划款指令，15:00之后发送的，基金托管人尽力执行，但不能保证划账成功，如有特殊情况，双方协商解决。由基金管理人原因造成的指令传输不及时、未能留出足够划款所需时间，致使资金未能及时到账所造成的损失由基金管理人承担。</w:t>
      </w:r>
    </w:p>
    <w:p w:rsidR="00F0328E" w:rsidRDefault="001B4D94">
      <w:pPr>
        <w:adjustRightInd w:val="0"/>
        <w:snapToGrid w:val="0"/>
        <w:spacing w:line="360" w:lineRule="auto"/>
        <w:ind w:firstLineChars="200" w:firstLine="480"/>
        <w:rPr>
          <w:rFonts w:ascii="宋体" w:hAnsi="宋体" w:cs="Arial"/>
          <w:sz w:val="24"/>
        </w:rPr>
      </w:pPr>
      <w:r w:rsidRPr="00BC42D4">
        <w:rPr>
          <w:rFonts w:ascii="宋体" w:hAnsi="宋体" w:cs="Arial" w:hint="eastAsia"/>
          <w:sz w:val="24"/>
        </w:rPr>
        <w:t>对新股申购网下发行业务，基金管理人应在网下申购缴款日</w:t>
      </w:r>
      <w:r w:rsidRPr="00BC42D4">
        <w:rPr>
          <w:rFonts w:ascii="宋体" w:hAnsi="宋体" w:cs="Arial"/>
          <w:sz w:val="24"/>
        </w:rPr>
        <w:t>(T</w:t>
      </w:r>
      <w:r w:rsidRPr="00BC42D4">
        <w:rPr>
          <w:rFonts w:ascii="宋体" w:hAnsi="宋体" w:cs="Arial" w:hint="eastAsia"/>
          <w:sz w:val="24"/>
        </w:rPr>
        <w:t>日</w:t>
      </w:r>
      <w:r w:rsidRPr="00BC42D4">
        <w:rPr>
          <w:rFonts w:ascii="宋体" w:hAnsi="宋体" w:cs="Arial"/>
          <w:sz w:val="24"/>
        </w:rPr>
        <w:t>)</w:t>
      </w:r>
      <w:r w:rsidRPr="00BC42D4">
        <w:rPr>
          <w:rFonts w:ascii="宋体" w:hAnsi="宋体" w:cs="Arial" w:hint="eastAsia"/>
          <w:sz w:val="24"/>
        </w:rPr>
        <w:t>的前一工作日下班前将指令发送给基金托管人，指令发送时间最迟不应晚于</w:t>
      </w:r>
      <w:r w:rsidRPr="00BC42D4">
        <w:rPr>
          <w:rFonts w:ascii="宋体" w:hAnsi="宋体" w:cs="Arial"/>
          <w:sz w:val="24"/>
        </w:rPr>
        <w:t>T</w:t>
      </w:r>
      <w:r w:rsidRPr="00BC42D4">
        <w:rPr>
          <w:rFonts w:ascii="宋体" w:hAnsi="宋体" w:cs="Arial" w:hint="eastAsia"/>
          <w:sz w:val="24"/>
        </w:rPr>
        <w:t>日上午。</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sz w:val="24"/>
        </w:rPr>
        <w:t>对于证券交易所场内业务</w:t>
      </w:r>
      <w:r>
        <w:rPr>
          <w:rFonts w:ascii="宋体" w:hAnsi="宋体" w:cs="Arial" w:hint="eastAsia"/>
          <w:sz w:val="24"/>
        </w:rPr>
        <w:t>，</w:t>
      </w:r>
      <w:r>
        <w:rPr>
          <w:rFonts w:ascii="宋体" w:hAnsi="宋体" w:cs="Arial"/>
          <w:sz w:val="24"/>
        </w:rPr>
        <w:t>基金管理人运用基金财产</w:t>
      </w:r>
      <w:r>
        <w:rPr>
          <w:rFonts w:ascii="宋体" w:hAnsi="宋体" w:cs="Arial" w:hint="eastAsia"/>
          <w:sz w:val="24"/>
        </w:rPr>
        <w:t>进行</w:t>
      </w:r>
      <w:r>
        <w:rPr>
          <w:rFonts w:ascii="宋体" w:hAnsi="宋体" w:cs="Arial"/>
          <w:sz w:val="24"/>
        </w:rPr>
        <w:t>证券交易</w:t>
      </w:r>
      <w:r>
        <w:rPr>
          <w:rFonts w:ascii="宋体" w:hAnsi="宋体" w:cs="Arial" w:hint="eastAsia"/>
          <w:sz w:val="24"/>
        </w:rPr>
        <w:t>的</w:t>
      </w:r>
      <w:r>
        <w:rPr>
          <w:rFonts w:ascii="宋体" w:hAnsi="宋体" w:cs="Arial"/>
          <w:sz w:val="24"/>
        </w:rPr>
        <w:t>资金</w:t>
      </w:r>
      <w:r>
        <w:rPr>
          <w:rFonts w:ascii="宋体" w:hAnsi="宋体" w:cs="Arial" w:hint="eastAsia"/>
          <w:sz w:val="24"/>
        </w:rPr>
        <w:t>，由</w:t>
      </w:r>
      <w:r>
        <w:rPr>
          <w:rFonts w:ascii="宋体" w:hAnsi="宋体" w:cs="Arial"/>
          <w:sz w:val="24"/>
        </w:rPr>
        <w:t>基金管理人向托管人发送银证互转指令</w:t>
      </w:r>
      <w:r>
        <w:rPr>
          <w:rFonts w:ascii="宋体" w:hAnsi="宋体" w:cs="Arial" w:hint="eastAsia"/>
          <w:sz w:val="24"/>
        </w:rPr>
        <w:t>，</w:t>
      </w:r>
      <w:r>
        <w:rPr>
          <w:rFonts w:ascii="宋体" w:hAnsi="宋体" w:cs="Arial"/>
          <w:sz w:val="24"/>
        </w:rPr>
        <w:t>即通过基金托管账户与证券资金账户已建立的第三方存管系统在基金托管户与证券资金账户之间划款</w:t>
      </w:r>
      <w:r>
        <w:rPr>
          <w:rFonts w:ascii="宋体" w:hAnsi="宋体" w:cs="Arial" w:hint="eastAsia"/>
          <w:sz w:val="24"/>
        </w:rPr>
        <w:t>。</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sz w:val="24"/>
        </w:rPr>
        <w:t>对于期货出入金业务</w:t>
      </w:r>
      <w:r>
        <w:rPr>
          <w:rFonts w:ascii="宋体" w:hAnsi="宋体" w:cs="Arial" w:hint="eastAsia"/>
          <w:sz w:val="24"/>
        </w:rPr>
        <w:t>，</w:t>
      </w:r>
      <w:r>
        <w:rPr>
          <w:rFonts w:ascii="宋体" w:hAnsi="宋体" w:cs="Arial"/>
          <w:sz w:val="24"/>
        </w:rPr>
        <w:t>基金管理人应于交易期货出入金截止时间2小时前将期货出入金指令发送至基金托管人</w:t>
      </w:r>
      <w:r>
        <w:rPr>
          <w:rFonts w:ascii="宋体" w:hAnsi="宋体" w:cs="Arial" w:hint="eastAsia"/>
          <w:sz w:val="24"/>
        </w:rPr>
        <w:t>。</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lastRenderedPageBreak/>
        <w:t>本协议项下的资金账户发生的银行结算费用、银行账户维护费等银行费用，由基金托管人直接从资金账户中扣划，无须基金管理人出具划款指令。</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基金托管人在收到有效指令后，将对于同一批次的划款指令随机执行，如有特殊支付顺序，基金管理人应以书面或其他双方认可的形式提前告知。</w:t>
      </w:r>
      <w:r>
        <w:rPr>
          <w:rFonts w:ascii="宋体" w:hAnsi="宋体" w:cs="Arial" w:hint="eastAsia"/>
          <w:sz w:val="24"/>
        </w:rPr>
        <w:tab/>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2、指令的确认</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基金托管人应指定专人接收基金管理人的指令，预先通知基金管理人其名单，并与基金管理人商定指令发送和接收方式。指令到达基金托管人后，基金托管人应指定专人立即对有关内容及印鉴和签名进行审慎的表面一致性审查，如有疑问必须及时通知基金管理人。</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3、指令的时间和执行</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基金托管人对指令验证后，应及时办理</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sz w:val="24"/>
        </w:rPr>
        <w:t>基金管理人向基金托管人下达指令时，应确保基金资金账户有足够的资金余额，对基金管理人在没有充足资金的情况下向基金托管人发出的投资指令、赎回、分红资金等的划拨指令，基金托管人可不予执行，但应立即通知基金管理人，</w:t>
      </w:r>
      <w:r>
        <w:rPr>
          <w:rFonts w:ascii="宋体" w:hAnsi="宋体" w:cs="Arial" w:hint="eastAsia"/>
          <w:sz w:val="24"/>
        </w:rPr>
        <w:t>并视头寸充足时为指令接收时间，</w:t>
      </w:r>
      <w:r>
        <w:rPr>
          <w:rFonts w:ascii="宋体" w:hAnsi="宋体" w:cs="Arial"/>
          <w:sz w:val="24"/>
        </w:rPr>
        <w:t>由基金管理人审核、查明原因，</w:t>
      </w:r>
      <w:r>
        <w:rPr>
          <w:rFonts w:ascii="宋体" w:hAnsi="宋体" w:cs="Arial" w:hint="eastAsia"/>
          <w:sz w:val="24"/>
        </w:rPr>
        <w:t>如需作废该指令，由基金管理人在原划款指令上加盖“作废”字样的印章，并重新发送至基金托管人，作废该指令。</w:t>
      </w:r>
      <w:r>
        <w:rPr>
          <w:rFonts w:ascii="宋体" w:hAnsi="宋体" w:cs="Arial"/>
          <w:sz w:val="24"/>
        </w:rPr>
        <w:t>在及时通知后，基金托管人不承担因未执行该指令造成损失的责任。</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sz w:val="24"/>
        </w:rPr>
        <w:t>对于发送时资金不足的指令，基金托管人有权不予执行，应当立即通知基金管理人，基金管理人确认该指令不予取消的，资金备足</w:t>
      </w:r>
      <w:r>
        <w:rPr>
          <w:rFonts w:ascii="宋体" w:hAnsi="宋体" w:cs="Arial" w:hint="eastAsia"/>
          <w:sz w:val="24"/>
        </w:rPr>
        <w:t>后应及时</w:t>
      </w:r>
      <w:r>
        <w:rPr>
          <w:rFonts w:ascii="宋体" w:hAnsi="宋体" w:cs="Arial"/>
          <w:sz w:val="24"/>
        </w:rPr>
        <w:t>通知基金托管人</w:t>
      </w:r>
      <w:r>
        <w:rPr>
          <w:rFonts w:ascii="宋体" w:hAnsi="宋体" w:cs="Arial" w:hint="eastAsia"/>
          <w:sz w:val="24"/>
        </w:rPr>
        <w:t>，通知到达基金托管人</w:t>
      </w:r>
      <w:r>
        <w:rPr>
          <w:rFonts w:ascii="宋体" w:hAnsi="宋体" w:cs="Arial"/>
          <w:sz w:val="24"/>
        </w:rPr>
        <w:t>的时间视为指令收到时间。</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（四）基金管理人发送错误指令的情形和处理程序</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基金管理人发送错误指令的情形包括指令违反法律法规和基金合同，指令发送人员无权或超越权限发送指令。</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基金托管人在履行监督职能时，发现基金管理人的指令错误时，有权拒绝执行，并及时通知基金管理人改正。如需撤销指令，由基金管理人在指令执行前在原指令上加盖“作废”字样的印章，并重新发送至基金托管人。但基金托管人因执行基金管理人的合法指令而对基金财产造成损失的，基金托管人不承担赔偿责任。基金托管人对执行基金管理人的依据交易程序已经生效的指令对本基金资产造成的损失不承担赔偿责任。</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lastRenderedPageBreak/>
        <w:t>（五）基金托管人依照法律法规暂缓、拒绝执行指令的情形和处理程序</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若基金托管人发现基金管理人的指令违反法律、行政法规和其他有关规定，或者违反基金合同约定的，应当暂缓或拒绝执行，立即通知基金管理人。</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（六）基金托管人未按照基金管理人指令执行的处理方法</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对于基金管理人发送的合法、有效指令，基金托管人不得无故拒绝或拖延执行。基金托管人由于自身原因，未按照基金管理人发送的指令执行，应在发现后及时采取措施予以弥补；若对基金管理人、基金财产或投资者造成直接损失的，由基金托管人赔偿由此造成的直接损失。</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（七）更换被授权人员的程序</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基金管理人更换被授权人、更改或终止对被授权人的授权，应至少提前一个工作日，以书面方式（以下简称“授权变更通知书”）通知基金托管人，同时基金管理人向基金托管人提供新的被授权人的姓名、权限、预留印鉴和签字或签章样本。基金管理人向基金托管人发出的授权变更通知书原件应加盖公章并由法定代表人或其授权代表签署，若由授权代表签署，还应附上法定代表人的授权书。基金托管人在收到授权文件传真并经电话确认后，授权文件即生效，原授权文件同时废止。若授权变更通知书中载明具体生效时间的，则该生效时间不得早于基金托管人收到授权变更通知书传真件并经电话确认的时点。如早于，则以基金托管人收到授权变更通知书传真件并经电话确认的时点为生效时间。被授权人变更通知生效前，基金托管人仍应按原约定执行指令，基金管理人不得否认其效力。基金管理人应确保传真件与原件的一致性，否则以生效的传真件为准。基金管理人和基金托管人对授权文件负有保密义务，其内容不得向被授权人及相关操作人员以外的任何人泄露。但法律法规规定或有权机关要求的除外。</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基金托管人更换接收基金管理人指令的人员，应提前通过电话通知基金管理人。</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（八）其他事项</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基金托管人在接收指令时，应对指令的要素是否齐全、印鉴与被授权人是否与预留的授权文件内容相符进行审慎检查，如发现问题，应及时报告基金管理人，基金托管人对执行基金管理人的合法指令对基金财产造成的损失不承担赔偿责任。</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基金参与认购未上市债券时，基金管理人应代表本基金与对手方签署相关合</w:t>
      </w:r>
      <w:r>
        <w:rPr>
          <w:rFonts w:ascii="宋体" w:hAnsi="宋体" w:cs="Arial" w:hint="eastAsia"/>
          <w:sz w:val="24"/>
        </w:rPr>
        <w:lastRenderedPageBreak/>
        <w:t>同或协议，明确约定债券过户具体事宜。否则，基金管理人需对所认购债券的过户事宜承担相应责任。</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指令正本由基金管理人保管，基金托管人保管指令传真件。当两者不一致时，以基金托管人收到的业务指令传真件为准。</w:t>
      </w:r>
    </w:p>
    <w:p w:rsidR="00F0328E" w:rsidRDefault="00441AB8" w:rsidP="00CF65B5">
      <w:pPr>
        <w:pStyle w:val="1"/>
        <w:numPr>
          <w:ilvl w:val="0"/>
          <w:numId w:val="1"/>
        </w:numPr>
        <w:spacing w:before="0" w:afterLines="50" w:after="156" w:line="360" w:lineRule="auto"/>
        <w:rPr>
          <w:rFonts w:ascii="宋体" w:hAnsi="宋体"/>
          <w:sz w:val="24"/>
          <w:szCs w:val="24"/>
        </w:rPr>
      </w:pPr>
      <w:bookmarkStart w:id="132" w:name="_Toc295833680"/>
      <w:bookmarkStart w:id="133" w:name="_Toc295833009"/>
      <w:bookmarkStart w:id="134" w:name="_Toc295832642"/>
      <w:bookmarkStart w:id="135" w:name="_Toc295832949"/>
      <w:bookmarkStart w:id="136" w:name="_Toc86204791"/>
      <w:bookmarkStart w:id="137" w:name="_Toc86649725"/>
      <w:bookmarkStart w:id="138" w:name="_Toc86737932"/>
      <w:bookmarkStart w:id="139" w:name="_Toc89163371"/>
      <w:bookmarkStart w:id="140" w:name="_Toc86223245"/>
      <w:bookmarkStart w:id="141" w:name="_Toc86225294"/>
      <w:bookmarkStart w:id="142" w:name="_Toc86726442"/>
      <w:bookmarkStart w:id="143" w:name="_Toc110765663"/>
      <w:bookmarkStart w:id="144" w:name="_Toc84133788"/>
      <w:bookmarkStart w:id="145" w:name="_Toc84234390"/>
      <w:bookmarkStart w:id="146" w:name="_Toc84234437"/>
      <w:bookmarkStart w:id="147" w:name="_Toc110830495"/>
      <w:bookmarkStart w:id="148" w:name="_Toc119402713"/>
      <w:bookmarkStart w:id="149" w:name="_Toc120435786"/>
      <w:bookmarkStart w:id="150" w:name="_Toc124325891"/>
      <w:bookmarkStart w:id="151" w:name="_Toc110761799"/>
      <w:bookmarkStart w:id="152" w:name="_Toc108512361"/>
      <w:bookmarkStart w:id="153" w:name="_Toc86727358"/>
      <w:bookmarkStart w:id="154" w:name="_Toc118774806"/>
      <w:bookmarkStart w:id="155" w:name="_Toc118212953"/>
      <w:bookmarkStart w:id="156" w:name="_Toc118972651"/>
      <w:bookmarkStart w:id="157" w:name="_Toc270669858"/>
      <w:bookmarkEnd w:id="132"/>
      <w:bookmarkEnd w:id="133"/>
      <w:bookmarkEnd w:id="134"/>
      <w:bookmarkEnd w:id="135"/>
      <w:r>
        <w:rPr>
          <w:rFonts w:ascii="宋体" w:hAnsi="宋体"/>
          <w:sz w:val="24"/>
          <w:szCs w:val="24"/>
        </w:rPr>
        <w:br w:type="page"/>
      </w:r>
      <w:bookmarkStart w:id="158" w:name="_Toc76720686"/>
      <w:r>
        <w:rPr>
          <w:rFonts w:ascii="宋体" w:hAnsi="宋体" w:hint="eastAsia"/>
          <w:sz w:val="24"/>
          <w:szCs w:val="24"/>
        </w:rPr>
        <w:lastRenderedPageBreak/>
        <w:t>交易及清算交收安排</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F0328E" w:rsidRDefault="00441AB8">
      <w:pPr>
        <w:adjustRightInd w:val="0"/>
        <w:snapToGrid w:val="0"/>
        <w:spacing w:line="360" w:lineRule="auto"/>
        <w:ind w:firstLineChars="200" w:firstLine="480"/>
        <w:rPr>
          <w:rFonts w:ascii="宋体" w:hAnsi="宋体"/>
          <w:sz w:val="24"/>
        </w:rPr>
      </w:pPr>
      <w:r>
        <w:rPr>
          <w:rFonts w:ascii="宋体" w:hAnsi="宋体" w:hint="eastAsia"/>
          <w:sz w:val="24"/>
        </w:rPr>
        <w:t>（一）选择代理证券、期货买卖的证券、期货经营机构</w:t>
      </w:r>
    </w:p>
    <w:p w:rsidR="00F0328E" w:rsidRDefault="00441AB8">
      <w:pPr>
        <w:adjustRightInd w:val="0"/>
        <w:snapToGrid w:val="0"/>
        <w:spacing w:line="360" w:lineRule="auto"/>
        <w:ind w:firstLineChars="200" w:firstLine="480"/>
        <w:rPr>
          <w:rFonts w:ascii="宋体" w:hAnsi="宋体"/>
          <w:sz w:val="24"/>
        </w:rPr>
      </w:pPr>
      <w:r>
        <w:rPr>
          <w:rFonts w:ascii="宋体" w:hAnsi="宋体" w:hint="eastAsia"/>
          <w:sz w:val="24"/>
        </w:rPr>
        <w:t>基金管理人负责选择代理本基金财产证券买卖的证券经纪商，并与其签订证券经纪服务协议，基金管理人、基金托管人和证券经纪商就基金参与证券交易的具体事项另行签订协议，明确三方在本基金参与场内证券买卖中的各类证券交易、证券交收及相关资金交收过程中的职责和义务。基金管理人应及时将本基金财产的佣金费率等基本信息以及变更情况及时以书面形式通知基金托管人，以便基金托管人估值核算使用。</w:t>
      </w:r>
    </w:p>
    <w:p w:rsidR="00F0328E" w:rsidRDefault="00441AB8">
      <w:pPr>
        <w:adjustRightInd w:val="0"/>
        <w:snapToGrid w:val="0"/>
        <w:spacing w:line="360" w:lineRule="auto"/>
        <w:ind w:firstLineChars="200" w:firstLine="480"/>
        <w:rPr>
          <w:rFonts w:ascii="宋体" w:hAnsi="宋体"/>
          <w:sz w:val="24"/>
        </w:rPr>
      </w:pPr>
      <w:r>
        <w:rPr>
          <w:rFonts w:ascii="宋体" w:hAnsi="宋体" w:hint="eastAsia"/>
          <w:sz w:val="24"/>
        </w:rPr>
        <w:t>基金管理人负责选择代理本基金期货交易的期货经纪商，并与期货经纪商、托管人共同签订期货经纪合同，其他事宜根据法律法规、《基金合同》的相关规定执行，若无明确规定的，可参照有关证券买卖、证券经纪商选择的规则执行。</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（二）基金投资证券后的清算交收安排</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1、清算与交割</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（1）基金投资证券后的清算交收安排</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本基金通过证券经纪商进行的交易由证券经纪商作为结算参与人代理本基金进行结算；本基金其它证券交易由基金托管人或相关机构负责结算。</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（2）证券交易所证券资金结算</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基金托管人、基金管理人应共同遵守中国证券登记结算有限公司制定的相关业务规则和规定，该等规则和规定自动成为本条款约定的内容。基金管理人在投资前，应充分知晓与理解中国证券登记结算有限公司针对各类交易品种制定的结算业务规则和规定。</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证券经纪商代理本基金财产与中国证券登记结算有限公司完成证券交易所场内证券交易及非交易涉及的证券资金结算业务，并承担由证券经纪商原因造成的正常结算、交收业务无法完成的责任。对于任何原因发生的证券资金交收违约事件，相关各方应当及时协商解决。</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sz w:val="24"/>
        </w:rPr>
        <w:t>基金投资于证券交易所场外的交易资金</w:t>
      </w:r>
      <w:r>
        <w:rPr>
          <w:rFonts w:ascii="宋体" w:hAnsi="宋体" w:cs="Arial" w:hint="eastAsia"/>
          <w:sz w:val="24"/>
        </w:rPr>
        <w:t>，</w:t>
      </w:r>
      <w:r>
        <w:rPr>
          <w:rFonts w:ascii="宋体" w:hAnsi="宋体" w:cs="Arial"/>
          <w:sz w:val="24"/>
        </w:rPr>
        <w:t>由基金托管人依据管理人出具的指令负责划付</w:t>
      </w:r>
      <w:r>
        <w:rPr>
          <w:rFonts w:ascii="宋体" w:hAnsi="宋体" w:cs="Arial" w:hint="eastAsia"/>
          <w:sz w:val="24"/>
        </w:rPr>
        <w:t>。</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（3）其它场外交易资金结算</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1）基金管理人负责对交易对手的资信控制，按银行间债券市场的交易规则</w:t>
      </w:r>
      <w:r>
        <w:rPr>
          <w:rFonts w:ascii="宋体" w:hAnsi="宋体" w:cs="Arial" w:hint="eastAsia"/>
          <w:sz w:val="24"/>
        </w:rPr>
        <w:lastRenderedPageBreak/>
        <w:t>进行交易，并负责解决因交易对手不履行合同或不及时履行合同而造成的纠纷及损失，基金托管人不承担由此造成的任何法律责任及损失。</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2）基金管理人应在交易结束后将银行间同业市场债券交易成交单加盖预留印鉴后及时传真给基金托管人，并电话确认。如果银行间中债综合业务平台或上海清算所客户终端系统已经生成的交易需要取消或终止，基金管理人要书面通知基金托管人。如果时间紧急，管理人可电话通知基金托管人，管理人需在交易完成后及时向托管人补发书面通知。</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3）基金管理人发送有效指令（包括原指令被撤销、变更后再次发送的新指令）的截止时间为当天的15:00，15：00之后发送的指令，基金托管人会尽力配合，但不能保证当天划款成功。如基金管理人要求当天某一时点到账，则交易结算指令需提前2个工作小时发送，并进行电话确认。若因基金管理人原因导致的指令、成交单传输不及时、未能留出足够的操作时间，致使资金未能及时到账、债券未能及时交割所造成的损失由基金管理人承担。</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4）基金管理人向基金托管人下达指令时，应确保基金财产托管专户有足够的资金余额，对基金管理人在没有充足资金的情况下向基金托管人发出的指令，基金托管人可不予执行，并立即采用书面形式或双方认可的形式通知基金管理人，基金托管人不承担因为不执行该指令而造成损失的责任。基金管理人确认该指令不予取消的，资金备足并通知基金托管人的时间视为指令收到时间。</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5）银行间交易结算方式采用券款对付的，托管专户与该产品在登记结算机构开立的DVP资金账户之间的资金调拨，除了登记结算机构系统自动将DVP资金账户资金退回至托管专户的之外，应当由基金管理人出具资金划款指令，基金托管人审核无误后执行。由于基金管理人未及时出具指令导致该产品在托管专户的头寸不足或者DVP资金账户头寸不足导致的损失，基金托管人不承担责任。</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6）若基金管理人未及时通知基金托管人有关交易信息，基金托管人有权（但并非确保）仅根据银行间同业市场债券交易成交数据，主动将基金托管账户中的资金划入银行间同业市场用以完成当日银行间同业市场债券交易的交收，基金管理人承诺在日终前向基金托管人补出具资金划款指令。</w:t>
      </w:r>
    </w:p>
    <w:p w:rsidR="00F0328E" w:rsidRDefault="00441AB8">
      <w:pPr>
        <w:adjustRightInd w:val="0"/>
        <w:snapToGrid w:val="0"/>
        <w:spacing w:line="360" w:lineRule="auto"/>
        <w:ind w:left="480"/>
        <w:rPr>
          <w:rFonts w:ascii="宋体" w:hAnsi="宋体" w:cs="Arial"/>
          <w:sz w:val="24"/>
        </w:rPr>
      </w:pPr>
      <w:r>
        <w:rPr>
          <w:rFonts w:ascii="宋体" w:hAnsi="宋体" w:hint="eastAsia"/>
          <w:sz w:val="24"/>
        </w:rPr>
        <w:t>2</w:t>
      </w:r>
      <w:r>
        <w:rPr>
          <w:rFonts w:ascii="宋体" w:hAnsi="宋体" w:cs="Arial" w:hint="eastAsia"/>
          <w:sz w:val="24"/>
        </w:rPr>
        <w:t>、交易记录、资金和证券账目核对的时间和方式</w:t>
      </w:r>
    </w:p>
    <w:p w:rsidR="00F0328E" w:rsidRDefault="00441AB8">
      <w:pPr>
        <w:adjustRightInd w:val="0"/>
        <w:snapToGrid w:val="0"/>
        <w:spacing w:line="360" w:lineRule="auto"/>
        <w:ind w:left="480"/>
        <w:rPr>
          <w:rFonts w:ascii="宋体" w:hAnsi="宋体" w:cs="Arial"/>
          <w:sz w:val="24"/>
        </w:rPr>
      </w:pPr>
      <w:r>
        <w:rPr>
          <w:rFonts w:ascii="宋体" w:hAnsi="宋体" w:cs="Arial" w:hint="eastAsia"/>
          <w:sz w:val="24"/>
        </w:rPr>
        <w:t>（1）交易记录的核对</w:t>
      </w:r>
    </w:p>
    <w:p w:rsidR="00F0328E" w:rsidRDefault="00441AB8">
      <w:pPr>
        <w:adjustRightInd w:val="0"/>
        <w:snapToGrid w:val="0"/>
        <w:spacing w:line="360" w:lineRule="auto"/>
        <w:ind w:firstLine="480"/>
        <w:rPr>
          <w:rFonts w:ascii="宋体" w:hAnsi="宋体" w:cs="Arial"/>
          <w:sz w:val="24"/>
        </w:rPr>
      </w:pPr>
      <w:r>
        <w:rPr>
          <w:rFonts w:ascii="宋体" w:hAnsi="宋体" w:cs="Arial" w:hint="eastAsia"/>
          <w:sz w:val="24"/>
        </w:rPr>
        <w:t>基金管理人和基金托管人按日进行交易记录的核对，同时与证券经纪商进行</w:t>
      </w:r>
      <w:r>
        <w:rPr>
          <w:rFonts w:ascii="宋体" w:hAnsi="宋体" w:cs="Arial" w:hint="eastAsia"/>
          <w:sz w:val="24"/>
        </w:rPr>
        <w:lastRenderedPageBreak/>
        <w:t>交易记录的核对。对外披露净值之前，必须保证当天所有实际交易记录与基金会计账簿上的交易记录完全一致。如果由于证券经纪商提供的数据错误或者不完整致使实际交易记录与会计账簿记录不一致，造成基金会计核算不完整或不真实，由此导致的损失由证券经纪商承担。如果因管理人过错导致实际交易记录与会计账簿记录不一致，造成基金会计核算不完整或不真实，由此导致的损失由基金管理人承担。</w:t>
      </w:r>
    </w:p>
    <w:p w:rsidR="00F0328E" w:rsidRDefault="00441AB8">
      <w:pPr>
        <w:adjustRightInd w:val="0"/>
        <w:snapToGrid w:val="0"/>
        <w:spacing w:line="360" w:lineRule="auto"/>
        <w:ind w:left="480"/>
        <w:rPr>
          <w:rFonts w:ascii="宋体" w:hAnsi="宋体" w:cs="Arial"/>
          <w:sz w:val="24"/>
        </w:rPr>
      </w:pPr>
      <w:r>
        <w:rPr>
          <w:rFonts w:ascii="宋体" w:hAnsi="宋体" w:cs="Arial" w:hint="eastAsia"/>
          <w:sz w:val="24"/>
        </w:rPr>
        <w:t>（2）资金账目的核对</w:t>
      </w:r>
    </w:p>
    <w:p w:rsidR="00F0328E" w:rsidRDefault="00441AB8">
      <w:pPr>
        <w:adjustRightInd w:val="0"/>
        <w:snapToGrid w:val="0"/>
        <w:spacing w:line="360" w:lineRule="auto"/>
        <w:ind w:firstLine="480"/>
        <w:rPr>
          <w:rFonts w:ascii="宋体" w:hAnsi="宋体" w:cs="Arial"/>
          <w:sz w:val="24"/>
        </w:rPr>
      </w:pPr>
      <w:r>
        <w:rPr>
          <w:rFonts w:ascii="宋体" w:hAnsi="宋体" w:cs="Arial" w:hint="eastAsia"/>
          <w:sz w:val="24"/>
        </w:rPr>
        <w:t>资金账目由基金管理人和基金托管人按日核实，账实相符。基金托管人每日</w:t>
      </w:r>
      <w:r w:rsidR="00D97452">
        <w:rPr>
          <w:rFonts w:ascii="宋体" w:hAnsi="宋体" w:cs="Arial" w:hint="eastAsia"/>
          <w:sz w:val="24"/>
        </w:rPr>
        <w:t>18</w:t>
      </w:r>
      <w:r>
        <w:rPr>
          <w:rFonts w:ascii="宋体" w:hAnsi="宋体" w:cs="Arial" w:hint="eastAsia"/>
          <w:sz w:val="24"/>
        </w:rPr>
        <w:t>:00前应将资金调节表以传真或双方约定的其他方式发送至基金管理人。</w:t>
      </w:r>
    </w:p>
    <w:p w:rsidR="00F0328E" w:rsidRDefault="00441AB8">
      <w:pPr>
        <w:adjustRightInd w:val="0"/>
        <w:snapToGrid w:val="0"/>
        <w:spacing w:line="360" w:lineRule="auto"/>
        <w:ind w:left="480"/>
        <w:rPr>
          <w:rFonts w:ascii="宋体" w:hAnsi="宋体" w:cs="Arial"/>
          <w:sz w:val="24"/>
        </w:rPr>
      </w:pPr>
      <w:r>
        <w:rPr>
          <w:rFonts w:ascii="宋体" w:hAnsi="宋体" w:cs="Arial" w:hint="eastAsia"/>
          <w:sz w:val="24"/>
        </w:rPr>
        <w:t>（3）证券账目的核对</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基金管理人和基金托管人</w:t>
      </w:r>
      <w:r>
        <w:rPr>
          <w:rFonts w:ascii="宋体" w:hAnsi="宋体" w:hint="eastAsia"/>
          <w:sz w:val="24"/>
        </w:rPr>
        <w:t>每交易日结束后核</w:t>
      </w:r>
      <w:r>
        <w:rPr>
          <w:rFonts w:ascii="宋体" w:hAnsi="宋体" w:cs="Arial" w:hint="eastAsia"/>
          <w:sz w:val="24"/>
        </w:rPr>
        <w:t>对基金证券账目，并每日与证券经纪商提供的对账单数据进行核对，确保账目相符。基金管理人和</w:t>
      </w:r>
      <w:r>
        <w:rPr>
          <w:rFonts w:ascii="宋体" w:hAnsi="宋体" w:hint="eastAsia"/>
          <w:sz w:val="24"/>
        </w:rPr>
        <w:t>基金托管人每月月末核对实物证券账目</w:t>
      </w:r>
      <w:r>
        <w:rPr>
          <w:rFonts w:ascii="宋体" w:hAnsi="宋体" w:cs="Arial" w:hint="eastAsia"/>
          <w:sz w:val="24"/>
        </w:rPr>
        <w:t>。</w:t>
      </w:r>
    </w:p>
    <w:p w:rsidR="00F0328E" w:rsidRDefault="00441AB8">
      <w:pPr>
        <w:adjustRightInd w:val="0"/>
        <w:snapToGrid w:val="0"/>
        <w:spacing w:line="360" w:lineRule="auto"/>
        <w:ind w:firstLine="480"/>
        <w:rPr>
          <w:rFonts w:ascii="宋体" w:hAnsi="宋体" w:cs="Arial"/>
          <w:sz w:val="24"/>
        </w:rPr>
      </w:pPr>
      <w:r>
        <w:rPr>
          <w:rFonts w:ascii="宋体" w:hAnsi="宋体" w:cs="Arial" w:hint="eastAsia"/>
          <w:sz w:val="24"/>
        </w:rPr>
        <w:t>对于资金账目及证券账目，若基金管理人与基金托管人核对不一致，双方应积极查找原因并纠正。</w:t>
      </w:r>
    </w:p>
    <w:p w:rsidR="00F0328E" w:rsidRDefault="00441AB8">
      <w:pPr>
        <w:adjustRightInd w:val="0"/>
        <w:snapToGrid w:val="0"/>
        <w:spacing w:line="360" w:lineRule="auto"/>
        <w:ind w:firstLine="480"/>
        <w:rPr>
          <w:rFonts w:ascii="宋体" w:hAnsi="宋体" w:cs="Arial"/>
          <w:sz w:val="24"/>
        </w:rPr>
      </w:pPr>
      <w:r>
        <w:rPr>
          <w:rFonts w:ascii="宋体" w:hAnsi="宋体" w:cs="Arial" w:hint="eastAsia"/>
          <w:sz w:val="24"/>
        </w:rPr>
        <w:t>（三）基金认/申购和赎回业务处理的基本规定</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1、基金份额认/申购、赎回、转换的确认、清算由基金管理人或其委托的登记机构负责。</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2、基金管理人应将每个开放日的申购、赎回、转换开放式基金的数据传送给基金托管人。基金管理人应对传递的申购、赎回、转换开放式基金的数据真实性负责。基金托管人应及时查收申购及转入资金的到账情况并根据基金管理人指令及时划付赎回及转出款项。</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3、基金管理人应保证本基金（或本基金管理人委托）的登记机构每个工作日15:00前向基金托管人发送前一开放日上述有关数据，并保证相关数据的准确、完整。</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4、登记机构应通过与基金管理人建立的加密系统发送有关数据，如因各种原因，该系统无法正常发送，双方可协商解决处理方式。基金管理人向基金托管人发送的数据，双方各自按有关规定保存。</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5、如基金管理人委托其他机构办理本基金的登记业务，应保证上述相关事宜按时进行。</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lastRenderedPageBreak/>
        <w:t>6、关于清算专用账户的设立和管理</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为满足认/申购、赎回、转换及分红资金汇划的需要，由基金管理人开立资金清算的专用账户，该账户由登记机构管理。</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7、对于基金申购、转换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基金托管人予以必要的配合。</w:t>
      </w:r>
    </w:p>
    <w:p w:rsidR="00F0328E" w:rsidRDefault="00441AB8">
      <w:pPr>
        <w:adjustRightInd w:val="0"/>
        <w:snapToGrid w:val="0"/>
        <w:spacing w:line="360" w:lineRule="auto"/>
        <w:ind w:firstLineChars="250" w:firstLine="600"/>
        <w:rPr>
          <w:rFonts w:ascii="宋体" w:hAnsi="宋体" w:cs="Arial"/>
          <w:sz w:val="24"/>
        </w:rPr>
      </w:pPr>
      <w:r>
        <w:rPr>
          <w:rFonts w:ascii="宋体" w:hAnsi="宋体" w:cs="Arial" w:hint="eastAsia"/>
          <w:sz w:val="24"/>
        </w:rPr>
        <w:t>8、赎回、转换和分红资金划拨规定</w:t>
      </w:r>
    </w:p>
    <w:p w:rsidR="00F0328E" w:rsidRDefault="00441AB8">
      <w:pPr>
        <w:adjustRightInd w:val="0"/>
        <w:snapToGrid w:val="0"/>
        <w:spacing w:line="360" w:lineRule="auto"/>
        <w:ind w:firstLine="480"/>
        <w:rPr>
          <w:rFonts w:ascii="宋体" w:hAnsi="宋体" w:cs="Arial"/>
          <w:sz w:val="24"/>
        </w:rPr>
      </w:pPr>
      <w:r>
        <w:rPr>
          <w:rFonts w:ascii="宋体" w:hAnsi="宋体" w:cs="Arial" w:hint="eastAsia"/>
          <w:sz w:val="24"/>
        </w:rPr>
        <w:t>拨付赎回款、转换转出款或进行基金分红时，如基金资金账户有足够的资金，基金托管人应按时拨付；因基金资金账户没有足够的资金，导致基金托管人不能按时拨付，如系基金管理人的原因造成，责任由基金管理人承担，基金托管人不承担垫款义务，但应及时通知管理人。</w:t>
      </w:r>
    </w:p>
    <w:p w:rsidR="00F0328E" w:rsidRDefault="00441AB8">
      <w:pPr>
        <w:adjustRightInd w:val="0"/>
        <w:snapToGrid w:val="0"/>
        <w:spacing w:line="360" w:lineRule="auto"/>
        <w:ind w:firstLineChars="250" w:firstLine="600"/>
        <w:rPr>
          <w:rFonts w:ascii="宋体" w:hAnsi="宋体" w:cs="Arial"/>
          <w:sz w:val="24"/>
        </w:rPr>
      </w:pPr>
      <w:r>
        <w:rPr>
          <w:rFonts w:ascii="宋体" w:hAnsi="宋体" w:cs="Arial" w:hint="eastAsia"/>
          <w:sz w:val="24"/>
        </w:rPr>
        <w:t>9、资金指令</w:t>
      </w:r>
    </w:p>
    <w:p w:rsidR="00F0328E" w:rsidRDefault="00441AB8">
      <w:pPr>
        <w:adjustRightInd w:val="0"/>
        <w:snapToGrid w:val="0"/>
        <w:spacing w:line="360" w:lineRule="auto"/>
        <w:ind w:firstLine="480"/>
        <w:rPr>
          <w:rFonts w:ascii="宋体" w:hAnsi="宋体" w:cs="Arial"/>
          <w:sz w:val="24"/>
        </w:rPr>
      </w:pPr>
      <w:r>
        <w:rPr>
          <w:rFonts w:ascii="宋体" w:hAnsi="宋体" w:cs="Arial" w:hint="eastAsia"/>
          <w:sz w:val="24"/>
        </w:rPr>
        <w:t>除申购款项到达基金资金账户需双方按约定方式对账外，回购到期付款和与投资有关的付款、赎回和分红资金划拨时，基金管理人需向基金托管人下达指令。</w:t>
      </w:r>
    </w:p>
    <w:p w:rsidR="00F0328E" w:rsidRDefault="00441AB8">
      <w:pPr>
        <w:adjustRightInd w:val="0"/>
        <w:snapToGrid w:val="0"/>
        <w:spacing w:line="360" w:lineRule="auto"/>
        <w:ind w:firstLine="480"/>
        <w:rPr>
          <w:rFonts w:ascii="宋体" w:hAnsi="宋体" w:cs="Arial"/>
          <w:sz w:val="24"/>
        </w:rPr>
      </w:pPr>
      <w:r>
        <w:rPr>
          <w:rFonts w:ascii="宋体" w:hAnsi="宋体" w:cs="Arial" w:hint="eastAsia"/>
          <w:sz w:val="24"/>
        </w:rPr>
        <w:t>（四）申赎净额结算</w:t>
      </w:r>
    </w:p>
    <w:p w:rsidR="00F0328E" w:rsidRDefault="00441AB8">
      <w:pPr>
        <w:pStyle w:val="Default"/>
        <w:spacing w:line="360" w:lineRule="auto"/>
        <w:ind w:firstLineChars="200" w:firstLine="480"/>
        <w:jc w:val="both"/>
        <w:rPr>
          <w:rFonts w:hAnsi="宋体" w:cs="Arial"/>
          <w:color w:val="auto"/>
          <w:kern w:val="2"/>
        </w:rPr>
      </w:pPr>
      <w:r>
        <w:rPr>
          <w:rFonts w:hAnsi="宋体" w:cs="Arial" w:hint="eastAsia"/>
          <w:color w:val="auto"/>
          <w:kern w:val="2"/>
        </w:rPr>
        <w:t>基金托管资金专门账户与</w:t>
      </w:r>
      <w:r>
        <w:rPr>
          <w:rFonts w:hAnsi="宋体" w:cs="Arial"/>
          <w:color w:val="auto"/>
          <w:kern w:val="2"/>
        </w:rPr>
        <w:t>“</w:t>
      </w:r>
      <w:r>
        <w:rPr>
          <w:rFonts w:hAnsi="宋体" w:cs="Arial" w:hint="eastAsia"/>
          <w:color w:val="auto"/>
          <w:kern w:val="2"/>
        </w:rPr>
        <w:t>基金清算账户</w:t>
      </w:r>
      <w:r>
        <w:rPr>
          <w:rFonts w:hAnsi="宋体" w:cs="Arial"/>
          <w:color w:val="auto"/>
          <w:kern w:val="2"/>
        </w:rPr>
        <w:t>”</w:t>
      </w:r>
      <w:r>
        <w:rPr>
          <w:rFonts w:hAnsi="宋体" w:cs="Arial" w:hint="eastAsia"/>
          <w:color w:val="auto"/>
          <w:kern w:val="2"/>
        </w:rPr>
        <w:t>间的资金清算遵循</w:t>
      </w:r>
      <w:r>
        <w:rPr>
          <w:rFonts w:hAnsi="宋体" w:cs="Arial"/>
          <w:color w:val="auto"/>
          <w:kern w:val="2"/>
        </w:rPr>
        <w:t>“</w:t>
      </w:r>
      <w:r>
        <w:rPr>
          <w:rFonts w:hAnsi="宋体" w:cs="Arial" w:hint="eastAsia"/>
          <w:color w:val="auto"/>
          <w:kern w:val="2"/>
        </w:rPr>
        <w:t>全额清算、净额交收</w:t>
      </w:r>
      <w:r>
        <w:rPr>
          <w:rFonts w:hAnsi="宋体" w:cs="Arial"/>
          <w:color w:val="auto"/>
          <w:kern w:val="2"/>
        </w:rPr>
        <w:t>”</w:t>
      </w:r>
      <w:r>
        <w:rPr>
          <w:rFonts w:hAnsi="宋体" w:cs="Arial" w:hint="eastAsia"/>
          <w:color w:val="auto"/>
          <w:kern w:val="2"/>
        </w:rPr>
        <w:t>的原则，当存在基金资金账户净应收额时，基金管理人负责将基金资金账户净应收额在交收日</w:t>
      </w:r>
      <w:r>
        <w:rPr>
          <w:rFonts w:hAnsi="宋体" w:cs="Arial"/>
          <w:color w:val="auto"/>
          <w:kern w:val="2"/>
        </w:rPr>
        <w:t>15:00</w:t>
      </w:r>
      <w:r>
        <w:rPr>
          <w:rFonts w:hAnsi="宋体" w:cs="Arial" w:hint="eastAsia"/>
          <w:color w:val="auto"/>
          <w:kern w:val="2"/>
        </w:rPr>
        <w:t>前从</w:t>
      </w:r>
      <w:r>
        <w:rPr>
          <w:rFonts w:hAnsi="宋体" w:cs="Arial"/>
          <w:color w:val="auto"/>
          <w:kern w:val="2"/>
        </w:rPr>
        <w:t>“</w:t>
      </w:r>
      <w:r>
        <w:rPr>
          <w:rFonts w:hAnsi="宋体" w:cs="Arial" w:hint="eastAsia"/>
          <w:color w:val="auto"/>
          <w:kern w:val="2"/>
        </w:rPr>
        <w:t>基金清算账户</w:t>
      </w:r>
      <w:r>
        <w:rPr>
          <w:rFonts w:hAnsi="宋体" w:cs="Arial"/>
          <w:color w:val="auto"/>
          <w:kern w:val="2"/>
        </w:rPr>
        <w:t>”</w:t>
      </w:r>
      <w:r>
        <w:rPr>
          <w:rFonts w:hAnsi="宋体" w:cs="Arial" w:hint="eastAsia"/>
          <w:color w:val="auto"/>
          <w:kern w:val="2"/>
        </w:rPr>
        <w:t>划到基金资金账户，基金托管人应当为基金管理人提供适当方式，便于基金管理人进行查询和账务管理；当存在基金资金账户净应付额时，基金管理人应在交收日</w:t>
      </w:r>
      <w:r>
        <w:rPr>
          <w:rFonts w:hAnsi="宋体" w:cs="Arial"/>
          <w:color w:val="auto"/>
          <w:kern w:val="2"/>
        </w:rPr>
        <w:t>12:00</w:t>
      </w:r>
      <w:r>
        <w:rPr>
          <w:rFonts w:hAnsi="宋体" w:cs="Arial" w:hint="eastAsia"/>
          <w:color w:val="auto"/>
          <w:kern w:val="2"/>
        </w:rPr>
        <w:t>前将划款指令发送给基金托管人，基金托管人按基金管理人的划款指令将基金资金账户净应付额在交收日及时划往</w:t>
      </w:r>
      <w:r>
        <w:rPr>
          <w:rFonts w:hAnsi="宋体" w:cs="Arial"/>
          <w:color w:val="auto"/>
          <w:kern w:val="2"/>
        </w:rPr>
        <w:t>“</w:t>
      </w:r>
      <w:r>
        <w:rPr>
          <w:rFonts w:hAnsi="宋体" w:cs="Arial" w:hint="eastAsia"/>
          <w:color w:val="auto"/>
          <w:kern w:val="2"/>
        </w:rPr>
        <w:t>基金清算账户</w:t>
      </w:r>
      <w:r>
        <w:rPr>
          <w:rFonts w:hAnsi="宋体" w:cs="Arial"/>
          <w:color w:val="auto"/>
          <w:kern w:val="2"/>
        </w:rPr>
        <w:t>”</w:t>
      </w:r>
      <w:r>
        <w:rPr>
          <w:rFonts w:hAnsi="宋体" w:cs="Arial" w:hint="eastAsia"/>
          <w:color w:val="auto"/>
          <w:kern w:val="2"/>
        </w:rPr>
        <w:t>，基金管理人通过基金托管人提供的方式查询结果。</w:t>
      </w:r>
    </w:p>
    <w:p w:rsidR="00F0328E" w:rsidRDefault="00441AB8">
      <w:pPr>
        <w:spacing w:line="360" w:lineRule="auto"/>
        <w:ind w:firstLineChars="200" w:firstLine="480"/>
        <w:rPr>
          <w:rFonts w:ascii="宋体" w:hAnsi="宋体" w:cs="Arial"/>
          <w:sz w:val="24"/>
        </w:rPr>
      </w:pPr>
      <w:r>
        <w:rPr>
          <w:rFonts w:ascii="宋体" w:hAnsi="宋体" w:cs="Arial" w:hint="eastAsia"/>
          <w:sz w:val="24"/>
        </w:rPr>
        <w:t>当存在资金账户净应付额时，如基金银行账户有足够的资金，基金托管人应及时拨付；因基金资金账户没有足够的资金，导致基金托管人不能按时拨付，基金托管人应及时通知基金管理人，托管人不承担责任；如系基金管理人的原因造成，责任由基金管理人承担，基金托管人不承担垫款义务。</w:t>
      </w:r>
    </w:p>
    <w:p w:rsidR="00F0328E" w:rsidRDefault="00441AB8">
      <w:pPr>
        <w:spacing w:line="360" w:lineRule="auto"/>
        <w:ind w:firstLineChars="200" w:firstLine="480"/>
        <w:rPr>
          <w:rFonts w:ascii="宋体" w:hAnsi="宋体" w:cs="Arial"/>
          <w:sz w:val="24"/>
        </w:rPr>
      </w:pPr>
      <w:r>
        <w:rPr>
          <w:rFonts w:ascii="宋体" w:hAnsi="宋体" w:cs="Arial" w:hint="eastAsia"/>
          <w:sz w:val="24"/>
        </w:rPr>
        <w:t>在发生巨额赎回或基金合同载明的延缓支付赎回款项的情形时，款项的支付办法参照基金合同有关条款处理。</w:t>
      </w:r>
    </w:p>
    <w:p w:rsidR="00F0328E" w:rsidRDefault="00441AB8">
      <w:pPr>
        <w:spacing w:line="360" w:lineRule="auto"/>
        <w:ind w:firstLineChars="200" w:firstLine="480"/>
        <w:rPr>
          <w:rFonts w:ascii="宋体" w:hAnsi="宋体"/>
          <w:sz w:val="24"/>
        </w:rPr>
      </w:pPr>
      <w:r>
        <w:rPr>
          <w:rFonts w:ascii="宋体" w:hAnsi="宋体" w:hint="eastAsia"/>
          <w:sz w:val="24"/>
        </w:rPr>
        <w:lastRenderedPageBreak/>
        <w:t>（五）基金转换</w:t>
      </w:r>
    </w:p>
    <w:p w:rsidR="00F0328E" w:rsidRDefault="00441AB8">
      <w:pPr>
        <w:spacing w:line="360" w:lineRule="auto"/>
        <w:ind w:firstLineChars="200" w:firstLine="480"/>
        <w:rPr>
          <w:rFonts w:ascii="宋体" w:hAnsi="宋体"/>
          <w:sz w:val="24"/>
        </w:rPr>
      </w:pPr>
      <w:r>
        <w:rPr>
          <w:rFonts w:ascii="宋体" w:hAnsi="宋体" w:hint="eastAsia"/>
          <w:sz w:val="24"/>
        </w:rPr>
        <w:t>在本基金与基金管理人管理的其它基金开展转换业务之前，基金管理人应函告基金托管人并就相关事宜进行协商。</w:t>
      </w:r>
    </w:p>
    <w:p w:rsidR="00F0328E" w:rsidRDefault="00441AB8">
      <w:pPr>
        <w:spacing w:line="360" w:lineRule="auto"/>
        <w:ind w:firstLineChars="200" w:firstLine="480"/>
        <w:rPr>
          <w:rFonts w:ascii="宋体" w:hAnsi="宋体"/>
          <w:sz w:val="24"/>
        </w:rPr>
      </w:pPr>
      <w:r>
        <w:rPr>
          <w:rFonts w:ascii="宋体" w:hAnsi="宋体" w:hint="eastAsia"/>
          <w:sz w:val="24"/>
        </w:rPr>
        <w:t>基金托管人将根据基金管理人传送的基金转换数据进行账务处理，具体资金清算和数据传递的时间、程序及托管协议当事人承担的权责按基金管理人届时的公告执行。</w:t>
      </w:r>
    </w:p>
    <w:p w:rsidR="00F0328E" w:rsidRDefault="00441AB8">
      <w:pPr>
        <w:spacing w:line="360" w:lineRule="auto"/>
        <w:ind w:firstLineChars="200" w:firstLine="480"/>
        <w:rPr>
          <w:rFonts w:ascii="宋体" w:hAnsi="宋体"/>
          <w:sz w:val="24"/>
        </w:rPr>
      </w:pPr>
      <w:r>
        <w:rPr>
          <w:rFonts w:ascii="宋体" w:hAnsi="宋体" w:hint="eastAsia"/>
          <w:sz w:val="24"/>
        </w:rPr>
        <w:t>本基金开展基金转换业务应按相关法律法规规定及基金合同的约定进行公告。</w:t>
      </w:r>
    </w:p>
    <w:p w:rsidR="00F0328E" w:rsidRDefault="00441AB8">
      <w:pPr>
        <w:spacing w:line="360" w:lineRule="auto"/>
        <w:ind w:firstLineChars="200" w:firstLine="480"/>
        <w:rPr>
          <w:rFonts w:ascii="宋体" w:hAnsi="宋体"/>
          <w:sz w:val="24"/>
        </w:rPr>
      </w:pPr>
      <w:r>
        <w:rPr>
          <w:rFonts w:ascii="宋体" w:hAnsi="宋体" w:hint="eastAsia"/>
          <w:sz w:val="24"/>
        </w:rPr>
        <w:t>（六）基金现金分红</w:t>
      </w:r>
    </w:p>
    <w:p w:rsidR="00F0328E" w:rsidRDefault="00441AB8">
      <w:pPr>
        <w:spacing w:line="360" w:lineRule="auto"/>
        <w:ind w:firstLineChars="200" w:firstLine="480"/>
        <w:rPr>
          <w:rFonts w:ascii="宋体" w:hAnsi="宋体" w:cs="Arial"/>
          <w:sz w:val="24"/>
        </w:rPr>
      </w:pPr>
      <w:r>
        <w:rPr>
          <w:rFonts w:ascii="宋体" w:hAnsi="宋体" w:hint="eastAsia"/>
          <w:sz w:val="24"/>
        </w:rPr>
        <w:t>基金管理人确定分红方案通知基金托管人，双方核定后依照《信息披露</w:t>
      </w:r>
      <w:r>
        <w:rPr>
          <w:rFonts w:ascii="宋体" w:hAnsi="宋体" w:cs="Arial" w:hint="eastAsia"/>
          <w:sz w:val="24"/>
        </w:rPr>
        <w:t>办法》的有关规定在中国证监会规定媒介上公告。</w:t>
      </w:r>
    </w:p>
    <w:p w:rsidR="00F0328E" w:rsidRDefault="00441AB8">
      <w:pPr>
        <w:adjustRightInd w:val="0"/>
        <w:snapToGrid w:val="0"/>
        <w:spacing w:line="360" w:lineRule="auto"/>
        <w:ind w:firstLineChars="250" w:firstLine="600"/>
        <w:rPr>
          <w:rFonts w:ascii="宋体" w:hAnsi="宋体" w:cs="Arial"/>
          <w:sz w:val="24"/>
        </w:rPr>
      </w:pPr>
      <w:r>
        <w:rPr>
          <w:rFonts w:ascii="宋体" w:hAnsi="宋体" w:cs="Arial" w:hint="eastAsia"/>
          <w:sz w:val="24"/>
        </w:rPr>
        <w:t>1、基金托管人和基金管理人对基金分红进行账务处理并核对后，基金管理人向基金托管人发送现金红利的划款指令，基金托管人应及时将资金划入专用账户。</w:t>
      </w:r>
    </w:p>
    <w:p w:rsidR="00F0328E" w:rsidRDefault="00441AB8">
      <w:pPr>
        <w:adjustRightInd w:val="0"/>
        <w:snapToGrid w:val="0"/>
        <w:spacing w:line="360" w:lineRule="auto"/>
        <w:ind w:firstLineChars="250" w:firstLine="600"/>
        <w:rPr>
          <w:rFonts w:ascii="宋体" w:hAnsi="宋体" w:cs="Arial"/>
          <w:sz w:val="24"/>
        </w:rPr>
      </w:pPr>
      <w:r>
        <w:rPr>
          <w:rFonts w:ascii="宋体" w:hAnsi="宋体" w:cs="Arial" w:hint="eastAsia"/>
          <w:sz w:val="24"/>
        </w:rPr>
        <w:t>2、基金管理人在下达指令时，应给基金托管人留出必需的划款时间。</w:t>
      </w:r>
    </w:p>
    <w:p w:rsidR="00F0328E" w:rsidRDefault="00441AB8">
      <w:pPr>
        <w:numPr>
          <w:ilvl w:val="0"/>
          <w:numId w:val="3"/>
        </w:numPr>
        <w:adjustRightInd w:val="0"/>
        <w:snapToGrid w:val="0"/>
        <w:spacing w:line="360" w:lineRule="auto"/>
        <w:rPr>
          <w:rFonts w:ascii="宋体" w:hAnsi="宋体" w:cs="Arial"/>
          <w:sz w:val="24"/>
        </w:rPr>
      </w:pPr>
      <w:r>
        <w:rPr>
          <w:rFonts w:ascii="宋体" w:hAnsi="宋体" w:cs="Arial" w:hint="eastAsia"/>
          <w:sz w:val="24"/>
        </w:rPr>
        <w:t>期货交易及清算交收</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基金管理人所选择的期货经纪商或负责办理基金资产的期货交易的清算交割；基金管理人应责成其选择的期货经纪商对发送的数据的准确性、完整性、真实性负责。基金管理人、基金托管人以及期货经纪商应另行签署《期货投资托管操作备忘录》，约定基金资产在期货投资运作中的职责及义务。</w:t>
      </w:r>
    </w:p>
    <w:p w:rsidR="00F0328E" w:rsidRDefault="00441AB8" w:rsidP="00CF65B5">
      <w:pPr>
        <w:pStyle w:val="1"/>
        <w:numPr>
          <w:ilvl w:val="0"/>
          <w:numId w:val="1"/>
        </w:numPr>
        <w:spacing w:before="0" w:afterLines="50" w:after="156" w:line="360" w:lineRule="auto"/>
        <w:rPr>
          <w:rFonts w:ascii="宋体" w:hAnsi="宋体"/>
          <w:sz w:val="24"/>
          <w:szCs w:val="24"/>
        </w:rPr>
      </w:pPr>
      <w:bookmarkStart w:id="159" w:name="_Toc388447690"/>
      <w:bookmarkStart w:id="160" w:name="_Toc389650615"/>
      <w:bookmarkEnd w:id="159"/>
      <w:bookmarkEnd w:id="160"/>
      <w:r>
        <w:rPr>
          <w:rFonts w:ascii="宋体" w:hAnsi="宋体" w:cs="Arial"/>
          <w:sz w:val="24"/>
          <w:szCs w:val="24"/>
        </w:rPr>
        <w:br w:type="page"/>
      </w:r>
      <w:bookmarkStart w:id="161" w:name="_Toc295833011"/>
      <w:bookmarkStart w:id="162" w:name="_Toc295833682"/>
      <w:bookmarkStart w:id="163" w:name="_Toc295832951"/>
      <w:bookmarkStart w:id="164" w:name="_Toc295832644"/>
      <w:bookmarkStart w:id="165" w:name="_Toc124325892"/>
      <w:bookmarkStart w:id="166" w:name="_Toc270669859"/>
      <w:bookmarkStart w:id="167" w:name="_Toc76720687"/>
      <w:bookmarkStart w:id="168" w:name="_Hlk33619180"/>
      <w:bookmarkEnd w:id="161"/>
      <w:bookmarkEnd w:id="162"/>
      <w:bookmarkEnd w:id="163"/>
      <w:bookmarkEnd w:id="164"/>
      <w:r>
        <w:rPr>
          <w:rFonts w:ascii="宋体" w:hAnsi="宋体" w:hint="eastAsia"/>
          <w:sz w:val="24"/>
          <w:szCs w:val="24"/>
        </w:rPr>
        <w:lastRenderedPageBreak/>
        <w:t>基金资产净值计算、估值和会计核算</w:t>
      </w:r>
      <w:bookmarkEnd w:id="165"/>
      <w:bookmarkEnd w:id="166"/>
      <w:bookmarkEnd w:id="167"/>
    </w:p>
    <w:p w:rsidR="00F0328E" w:rsidRDefault="00441AB8">
      <w:pPr>
        <w:adjustRightInd w:val="0"/>
        <w:snapToGrid w:val="0"/>
        <w:spacing w:line="360" w:lineRule="auto"/>
        <w:ind w:firstLine="480"/>
        <w:rPr>
          <w:rFonts w:ascii="宋体" w:hAnsi="宋体" w:cs="Arial"/>
          <w:sz w:val="24"/>
        </w:rPr>
      </w:pPr>
      <w:r>
        <w:rPr>
          <w:rFonts w:ascii="宋体" w:hAnsi="宋体" w:cs="Arial" w:hint="eastAsia"/>
          <w:sz w:val="24"/>
        </w:rPr>
        <w:t>（一）基金资产净值的计算、复核与完成的时间及程序</w:t>
      </w:r>
    </w:p>
    <w:p w:rsidR="00F0328E" w:rsidRDefault="00441AB8">
      <w:pPr>
        <w:adjustRightInd w:val="0"/>
        <w:snapToGrid w:val="0"/>
        <w:spacing w:line="360" w:lineRule="auto"/>
        <w:ind w:firstLineChars="250" w:firstLine="600"/>
        <w:rPr>
          <w:rFonts w:ascii="宋体" w:hAnsi="宋体" w:cs="Arial"/>
          <w:sz w:val="24"/>
        </w:rPr>
      </w:pPr>
      <w:r>
        <w:rPr>
          <w:rFonts w:ascii="宋体" w:hAnsi="宋体" w:cs="Arial" w:hint="eastAsia"/>
          <w:sz w:val="24"/>
        </w:rPr>
        <w:t>1、基金资产净值</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基金资产净值是指基金资产总值减去基金负债后的价值。</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基金份额净值</w:t>
      </w:r>
      <w:r w:rsidR="004C7CE1">
        <w:rPr>
          <w:rFonts w:ascii="宋体" w:hAnsi="宋体" w:cs="Arial" w:hint="eastAsia"/>
          <w:sz w:val="24"/>
        </w:rPr>
        <w:t>（含各类基金份额的基金份额净值，下同）</w:t>
      </w:r>
      <w:r>
        <w:rPr>
          <w:rFonts w:ascii="宋体" w:hAnsi="宋体" w:cs="Arial" w:hint="eastAsia"/>
          <w:sz w:val="24"/>
        </w:rPr>
        <w:t>是按照每个工作日闭市后，相应类别的基金资产净值除以当日该类基金份额的余额数量计算，精确到0.0001元，小数点后第5位四舍五入，由此产生的误差计入基金财产。基金管理人可以设立大额赎回情形下的净值精度应急调整机制。国家另有规定的，从其规定。基金管理人每个工作日计算各类基金份额的基金资产净值及基金份额净值，并按规定公告。</w:t>
      </w:r>
    </w:p>
    <w:p w:rsidR="00F0328E" w:rsidRDefault="00441AB8">
      <w:pPr>
        <w:adjustRightInd w:val="0"/>
        <w:snapToGrid w:val="0"/>
        <w:spacing w:line="360" w:lineRule="auto"/>
        <w:ind w:firstLineChars="250" w:firstLine="600"/>
        <w:rPr>
          <w:rFonts w:ascii="宋体" w:hAnsi="宋体" w:cs="Arial"/>
          <w:sz w:val="24"/>
        </w:rPr>
      </w:pPr>
      <w:r>
        <w:rPr>
          <w:rFonts w:ascii="宋体" w:hAnsi="宋体" w:cs="Arial" w:hint="eastAsia"/>
          <w:sz w:val="24"/>
        </w:rPr>
        <w:t>2、复核程序</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基金管理人应每个工作日对基金资产估值，但基金管理人根据法律法规或基金合同的规定暂停估值时除外。基金管理人每个工作日对基金资产估值后，将各类基金份额净值结果以双方约定的方式提交给基金托管人，经基金托管人复核无误后，以约定的方式将复核结果提交给基金管理人，由基金管理人依据基金合同和相关法律法规的规定对外公布。</w:t>
      </w:r>
    </w:p>
    <w:p w:rsidR="00F0328E" w:rsidRDefault="00441AB8">
      <w:pPr>
        <w:adjustRightInd w:val="0"/>
        <w:snapToGrid w:val="0"/>
        <w:spacing w:line="360" w:lineRule="auto"/>
        <w:ind w:firstLine="480"/>
        <w:rPr>
          <w:rFonts w:ascii="宋体" w:hAnsi="宋体" w:cs="Arial"/>
          <w:sz w:val="24"/>
        </w:rPr>
      </w:pPr>
      <w:r>
        <w:rPr>
          <w:rFonts w:ascii="宋体" w:hAnsi="宋体" w:cs="Arial" w:hint="eastAsia"/>
          <w:sz w:val="24"/>
        </w:rPr>
        <w:t>（二）基金资产估值方法和特殊情形的处理</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sz w:val="24"/>
        </w:rPr>
        <w:t>1</w:t>
      </w:r>
      <w:r>
        <w:rPr>
          <w:rFonts w:ascii="宋体" w:hAnsi="宋体" w:cs="Arial" w:hint="eastAsia"/>
          <w:sz w:val="24"/>
        </w:rPr>
        <w:t>、估值对象</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基金所拥有的股票、存托凭证、债券、资产支持证券、股指期货合约和银行存款本息、应收款项、其它投资等资产及负债。</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2、估值方法</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（1）证券交易所上市的有价证券的估值</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1）交易所上市的有价证券（包括股票等），以其估值日在证券交易所挂牌的市价（收盘价）估值；估值日无交易的，且最近交易日后经济环境未发生重大变化以及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2）交易所上市交易或挂牌转让的不含权固定收益品种，选取估值日第三方</w:t>
      </w:r>
      <w:r>
        <w:rPr>
          <w:rFonts w:ascii="宋体" w:hAnsi="宋体" w:cs="Arial" w:hint="eastAsia"/>
          <w:sz w:val="24"/>
        </w:rPr>
        <w:lastRenderedPageBreak/>
        <w:t>估值机构提供的相应品种当日的估值净价进行估值；</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3）交易所上市交易或挂牌转让的含权固定收益品种，选取估值日第三方估值机构提供的相应品种当日的唯一估值净价或推荐估值净价进行估值；</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4）交易所上市交易的可转换债券以每日收盘价作为估值全价；</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5）交易所上市不存在活跃市场的有价证券，采用估值技术确定公允价值。交易所市场挂牌转让的资产支持证券，采用估值技术确定公允价值；</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（2）处于未上市期间的有价证券应区分如下情况处理：</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1）送股、转增股、配股和公开增发的新股，按估值日在证券交易所挂牌的同一股票的估值方法估值；该日无交易的，以最近一日的市价（收盘价）估值；</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2）首次公开发行未上市的股票和债券，采用估值技术确定公允价值，在估值技术难以可靠计量公允价值的情况下，按成本估值；</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（4）本基金投资同业存单，按估值日第三方估值机构提供的估值净价估值；选定的第三方估值机构未提供估值价格的，按监管机构或行业协会有关规定确定 公允价值。</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lastRenderedPageBreak/>
        <w:t>（5）同一证券同时在两个或两个以上市场交易的，按证券所处的市场分别估值。</w:t>
      </w:r>
    </w:p>
    <w:p w:rsidR="00F0328E" w:rsidRDefault="001B4D94">
      <w:pPr>
        <w:adjustRightInd w:val="0"/>
        <w:snapToGrid w:val="0"/>
        <w:spacing w:line="360" w:lineRule="auto"/>
        <w:ind w:firstLineChars="200" w:firstLine="480"/>
        <w:rPr>
          <w:rFonts w:ascii="宋体" w:hAnsi="宋体" w:cs="Arial"/>
          <w:sz w:val="24"/>
        </w:rPr>
      </w:pPr>
      <w:r w:rsidRPr="00AD18D2">
        <w:rPr>
          <w:rFonts w:ascii="宋体" w:hAnsi="宋体" w:cs="Arial" w:hint="eastAsia"/>
          <w:sz w:val="24"/>
        </w:rPr>
        <w:t>（</w:t>
      </w:r>
      <w:r w:rsidRPr="00AD18D2">
        <w:rPr>
          <w:rFonts w:ascii="宋体" w:hAnsi="宋体" w:cs="Arial"/>
          <w:sz w:val="24"/>
        </w:rPr>
        <w:t>6）</w:t>
      </w:r>
      <w:r w:rsidR="00441AB8" w:rsidRPr="00AD18D2">
        <w:rPr>
          <w:rFonts w:ascii="宋体" w:hAnsi="宋体" w:cs="Arial" w:hint="eastAsia"/>
          <w:sz w:val="24"/>
        </w:rPr>
        <w:t>本基金投资股指</w:t>
      </w:r>
      <w:r w:rsidRPr="00AD18D2">
        <w:rPr>
          <w:rFonts w:ascii="宋体" w:hAnsi="宋体" w:cs="Arial" w:hint="eastAsia"/>
          <w:sz w:val="24"/>
        </w:rPr>
        <w:t>期货合约</w:t>
      </w:r>
      <w:r w:rsidR="00441AB8" w:rsidRPr="00AD18D2">
        <w:rPr>
          <w:rFonts w:ascii="宋体" w:hAnsi="宋体" w:cs="Arial" w:hint="eastAsia"/>
          <w:sz w:val="24"/>
        </w:rPr>
        <w:t>，一般</w:t>
      </w:r>
      <w:r w:rsidRPr="00AD18D2">
        <w:rPr>
          <w:rFonts w:ascii="宋体" w:hAnsi="宋体" w:cs="Arial" w:hint="eastAsia"/>
          <w:sz w:val="24"/>
        </w:rPr>
        <w:t>以估值当日结算价进行估值，估值日无结算价的，且最近交易日后经济环境未发生重大变化的，采用最近交易日结算价估值。</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（7）本基金可以采用第三方估值机构按照上述公允价值确定原则提供的估值价格数据。</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（8）估值计算中涉及港币对人民币汇率的，将依据下列信息提供机构所提供的汇率为基准：当日中国人民银行公布的人民币与港币的中间价。</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（9）如有确凿证据表明按上述方法进行估值不能客观反映其公允价值的，基金管理人可根据具体情况与基金托管人商定后，按最能反映公允价值的价格估值。</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（10）当发生大额申购或赎回情形时，基金管理人可以采用摆动定价机制，以确保基金估值的公平性。具体处理原则与操作规范遵循相关法律法规以及监管部门、自律规则的规定。</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（11）本基金投资存托凭证的估值核算，依照境内上市交易的股票执行。</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（12）相关法律法规以及监管部门有强制规定的，从其规定。如有新增事项，按国家最新规定估值。</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sz w:val="24"/>
        </w:rPr>
        <w:t>如基金管理人或基金托管人发现基金估值违反基金合同订明的估值方法、程序及相关法律法规的规定或者未能充分维护基金份额持有人利益时，应立即通知对方，共同查明原因，双方协商解决。</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rsidR="00F0328E" w:rsidRDefault="00441AB8">
      <w:pPr>
        <w:adjustRightInd w:val="0"/>
        <w:snapToGrid w:val="0"/>
        <w:spacing w:line="360" w:lineRule="auto"/>
        <w:ind w:firstLineChars="200" w:firstLine="480"/>
        <w:rPr>
          <w:rFonts w:ascii="宋体" w:hAnsi="宋体"/>
          <w:sz w:val="24"/>
        </w:rPr>
      </w:pPr>
      <w:r>
        <w:rPr>
          <w:rFonts w:ascii="宋体" w:hAnsi="宋体"/>
          <w:sz w:val="24"/>
        </w:rPr>
        <w:lastRenderedPageBreak/>
        <w:t>3</w:t>
      </w:r>
      <w:r>
        <w:rPr>
          <w:rFonts w:ascii="宋体" w:hAnsi="宋体" w:hint="eastAsia"/>
          <w:sz w:val="24"/>
        </w:rPr>
        <w:t>、特殊情形的处理</w:t>
      </w:r>
    </w:p>
    <w:p w:rsidR="00F0328E" w:rsidRDefault="00441AB8">
      <w:pPr>
        <w:adjustRightInd w:val="0"/>
        <w:snapToGrid w:val="0"/>
        <w:spacing w:line="360" w:lineRule="auto"/>
        <w:ind w:firstLineChars="200" w:firstLine="480"/>
        <w:rPr>
          <w:rFonts w:ascii="宋体" w:hAnsi="宋体"/>
          <w:sz w:val="24"/>
        </w:rPr>
      </w:pPr>
      <w:r>
        <w:rPr>
          <w:rFonts w:ascii="宋体" w:hAnsi="宋体" w:hint="eastAsia"/>
          <w:sz w:val="24"/>
        </w:rPr>
        <w:t>（1）基金管理人或基金托管人按本部分第2条有关估值方法规定的第（9）项进行估值时，所造成的误差不作为基金资产估值错误处理。</w:t>
      </w:r>
    </w:p>
    <w:p w:rsidR="00F0328E" w:rsidRDefault="00441AB8">
      <w:pPr>
        <w:adjustRightInd w:val="0"/>
        <w:snapToGrid w:val="0"/>
        <w:spacing w:line="360" w:lineRule="auto"/>
        <w:ind w:firstLineChars="200" w:firstLine="480"/>
        <w:rPr>
          <w:rFonts w:ascii="宋体" w:hAnsi="宋体"/>
          <w:sz w:val="24"/>
        </w:rPr>
      </w:pPr>
      <w:r>
        <w:rPr>
          <w:rFonts w:ascii="宋体" w:hAnsi="宋体" w:hint="eastAsia"/>
          <w:sz w:val="24"/>
        </w:rPr>
        <w:t>（2）由于证券/期货交易场所</w:t>
      </w:r>
      <w:r>
        <w:rPr>
          <w:bCs/>
          <w:sz w:val="24"/>
        </w:rPr>
        <w:t>及其登记结算公司</w:t>
      </w:r>
      <w:r>
        <w:rPr>
          <w:rFonts w:ascii="宋体" w:hAnsi="宋体" w:hint="eastAsia"/>
          <w:sz w:val="24"/>
        </w:rPr>
        <w:t>、登记机构、证券经纪商、期货经纪商、存款银行</w:t>
      </w:r>
      <w:r>
        <w:rPr>
          <w:rFonts w:hint="eastAsia"/>
          <w:bCs/>
          <w:sz w:val="24"/>
        </w:rPr>
        <w:t>、第三方估值机构等</w:t>
      </w:r>
      <w:r>
        <w:rPr>
          <w:rFonts w:ascii="宋体" w:hAnsi="宋体" w:hint="eastAsia"/>
          <w:sz w:val="24"/>
        </w:rPr>
        <w:t>发送的数据错误，或国家会计政策变化、市场规则变更</w:t>
      </w:r>
      <w:r>
        <w:rPr>
          <w:bCs/>
          <w:sz w:val="24"/>
        </w:rPr>
        <w:t>或由于其他</w:t>
      </w:r>
      <w:r>
        <w:rPr>
          <w:rFonts w:hint="eastAsia"/>
          <w:bCs/>
          <w:sz w:val="24"/>
        </w:rPr>
        <w:t>不</w:t>
      </w:r>
      <w:r>
        <w:rPr>
          <w:bCs/>
          <w:sz w:val="24"/>
        </w:rPr>
        <w:t>可抗力</w:t>
      </w:r>
      <w:r>
        <w:rPr>
          <w:rFonts w:ascii="宋体" w:hAnsi="宋体" w:hint="eastAsia"/>
          <w:sz w:val="24"/>
        </w:rPr>
        <w:t>等非基金管理人与基金托管人原因，基金管理人和基金托管人虽然已经采取必要、适当、合理的措施进行检查，但是未能发现该错误的，由此造成的基金资产估值错误，基金管理人和基金托管人免除赔偿责任。但基金管理人和基金托管人应当积极采取必要的措施减轻或消除由此造成的影响。</w:t>
      </w:r>
    </w:p>
    <w:p w:rsidR="00F0328E" w:rsidRDefault="00441AB8">
      <w:pPr>
        <w:adjustRightInd w:val="0"/>
        <w:snapToGrid w:val="0"/>
        <w:spacing w:line="360" w:lineRule="auto"/>
        <w:ind w:firstLineChars="200" w:firstLine="480"/>
        <w:rPr>
          <w:rFonts w:ascii="宋体" w:hAnsi="宋体"/>
          <w:sz w:val="24"/>
        </w:rPr>
      </w:pPr>
      <w:r>
        <w:rPr>
          <w:rFonts w:ascii="宋体" w:hAnsi="宋体" w:hint="eastAsia"/>
          <w:sz w:val="24"/>
        </w:rPr>
        <w:t>（三）基金份额净值错误的处理方式</w:t>
      </w:r>
    </w:p>
    <w:p w:rsidR="00F0328E" w:rsidRDefault="00441AB8">
      <w:pPr>
        <w:autoSpaceDE w:val="0"/>
        <w:autoSpaceDN w:val="0"/>
        <w:adjustRightInd w:val="0"/>
        <w:spacing w:line="360" w:lineRule="auto"/>
        <w:ind w:firstLineChars="200" w:firstLine="480"/>
        <w:textAlignment w:val="bottom"/>
        <w:rPr>
          <w:rFonts w:ascii="宋体" w:hAnsi="宋体"/>
          <w:bCs/>
          <w:sz w:val="24"/>
        </w:rPr>
      </w:pPr>
      <w:r>
        <w:rPr>
          <w:bCs/>
          <w:sz w:val="24"/>
        </w:rPr>
        <w:t>基金管理人和基金托管人将采取必要、适当、合理的措施确保基金资产估值的准确性、及时性。</w:t>
      </w:r>
      <w:r>
        <w:rPr>
          <w:rFonts w:ascii="宋体" w:hAnsi="宋体" w:hint="eastAsia"/>
          <w:bCs/>
          <w:sz w:val="24"/>
        </w:rPr>
        <w:t>当任一类基金份额净值小数点后</w:t>
      </w:r>
      <w:r>
        <w:rPr>
          <w:rFonts w:ascii="宋体" w:hAnsi="宋体"/>
          <w:bCs/>
          <w:sz w:val="24"/>
        </w:rPr>
        <w:t>4</w:t>
      </w:r>
      <w:r>
        <w:rPr>
          <w:rFonts w:ascii="宋体" w:hAnsi="宋体" w:hint="eastAsia"/>
          <w:bCs/>
          <w:sz w:val="24"/>
        </w:rPr>
        <w:t>位以内（含第</w:t>
      </w:r>
      <w:r>
        <w:rPr>
          <w:rFonts w:ascii="宋体" w:hAnsi="宋体"/>
          <w:bCs/>
          <w:sz w:val="24"/>
        </w:rPr>
        <w:t>4</w:t>
      </w:r>
      <w:r>
        <w:rPr>
          <w:rFonts w:ascii="宋体" w:hAnsi="宋体" w:hint="eastAsia"/>
          <w:bCs/>
          <w:sz w:val="24"/>
        </w:rPr>
        <w:t>位）发生估值错误时，视为基金份额净值错误。</w:t>
      </w:r>
    </w:p>
    <w:p w:rsidR="00F0328E" w:rsidRDefault="00441AB8">
      <w:pPr>
        <w:adjustRightInd w:val="0"/>
        <w:spacing w:line="360" w:lineRule="auto"/>
        <w:ind w:firstLineChars="200" w:firstLine="480"/>
        <w:rPr>
          <w:rFonts w:ascii="宋体" w:hAnsi="宋体"/>
          <w:bCs/>
          <w:sz w:val="24"/>
        </w:rPr>
      </w:pPr>
      <w:r>
        <w:rPr>
          <w:rFonts w:ascii="宋体" w:hAnsi="宋体" w:hint="eastAsia"/>
          <w:bCs/>
          <w:sz w:val="24"/>
        </w:rPr>
        <w:t>基金合同的当事人应按照以下约定处理：</w:t>
      </w:r>
    </w:p>
    <w:p w:rsidR="00F0328E" w:rsidRDefault="00441AB8">
      <w:pPr>
        <w:adjustRightInd w:val="0"/>
        <w:spacing w:line="360" w:lineRule="auto"/>
        <w:ind w:firstLineChars="200" w:firstLine="480"/>
        <w:rPr>
          <w:rFonts w:ascii="宋体" w:hAnsi="宋体" w:cs="Arial"/>
          <w:sz w:val="24"/>
        </w:rPr>
      </w:pPr>
      <w:r>
        <w:rPr>
          <w:rFonts w:ascii="宋体" w:hAnsi="宋体" w:cs="Arial" w:hint="eastAsia"/>
          <w:sz w:val="24"/>
        </w:rPr>
        <w:t>1、估值错误类型</w:t>
      </w:r>
    </w:p>
    <w:p w:rsidR="00F0328E" w:rsidRDefault="00441AB8">
      <w:pPr>
        <w:adjustRightInd w:val="0"/>
        <w:spacing w:line="360" w:lineRule="auto"/>
        <w:ind w:firstLineChars="200" w:firstLine="480"/>
        <w:rPr>
          <w:rFonts w:ascii="宋体" w:hAnsi="宋体" w:cs="Arial"/>
          <w:sz w:val="24"/>
        </w:rPr>
      </w:pPr>
      <w:r>
        <w:rPr>
          <w:rFonts w:ascii="宋体" w:hAnsi="宋体" w:cs="Arial" w:hint="eastAsia"/>
          <w:sz w:val="24"/>
        </w:rPr>
        <w:t>本基金运作过程中，如果由于基金管理人或基金托管人、</w:t>
      </w:r>
      <w:r>
        <w:rPr>
          <w:rFonts w:ascii="宋体" w:hAnsi="宋体" w:hint="eastAsia"/>
          <w:bCs/>
          <w:sz w:val="24"/>
        </w:rPr>
        <w:t>证券经纪商、期货经纪商</w:t>
      </w:r>
      <w:r>
        <w:rPr>
          <w:rFonts w:ascii="宋体" w:hAnsi="宋体" w:cs="Arial" w:hint="eastAsia"/>
          <w:sz w:val="24"/>
        </w:rPr>
        <w:t>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F0328E" w:rsidRDefault="00441AB8">
      <w:pPr>
        <w:adjustRightInd w:val="0"/>
        <w:spacing w:line="360" w:lineRule="auto"/>
        <w:ind w:firstLineChars="200" w:firstLine="480"/>
        <w:rPr>
          <w:rFonts w:ascii="宋体" w:hAnsi="宋体" w:cs="Arial"/>
          <w:sz w:val="24"/>
        </w:rPr>
      </w:pPr>
      <w:r>
        <w:rPr>
          <w:rFonts w:ascii="宋体" w:hAnsi="宋体" w:cs="Arial" w:hint="eastAsia"/>
          <w:sz w:val="24"/>
        </w:rPr>
        <w:t>上述估值错误的主要类型包括但不限于：资料申报差错、数据传输差错、数据计算差错、系统故障差错、下达指令差错等。</w:t>
      </w:r>
    </w:p>
    <w:p w:rsidR="00F0328E" w:rsidRDefault="00441AB8">
      <w:pPr>
        <w:adjustRightInd w:val="0"/>
        <w:spacing w:line="360" w:lineRule="auto"/>
        <w:ind w:firstLineChars="200" w:firstLine="480"/>
        <w:rPr>
          <w:rFonts w:ascii="宋体" w:hAnsi="宋体" w:cs="Arial"/>
          <w:sz w:val="24"/>
        </w:rPr>
      </w:pPr>
      <w:r>
        <w:rPr>
          <w:rFonts w:ascii="宋体" w:hAnsi="宋体" w:cs="Arial" w:hint="eastAsia"/>
          <w:sz w:val="24"/>
        </w:rPr>
        <w:t>2、估值错误处理原则</w:t>
      </w:r>
    </w:p>
    <w:p w:rsidR="00F0328E" w:rsidRDefault="00441AB8">
      <w:pPr>
        <w:adjustRightInd w:val="0"/>
        <w:spacing w:line="360" w:lineRule="auto"/>
        <w:ind w:firstLineChars="200" w:firstLine="480"/>
        <w:rPr>
          <w:rFonts w:ascii="宋体" w:hAnsi="宋体" w:cs="Arial"/>
          <w:sz w:val="24"/>
        </w:rPr>
      </w:pPr>
      <w:r>
        <w:rPr>
          <w:rFonts w:ascii="宋体" w:hAnsi="宋体" w:cs="Arial" w:hint="eastAsia"/>
          <w:sz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F0328E" w:rsidRDefault="00441AB8">
      <w:pPr>
        <w:adjustRightInd w:val="0"/>
        <w:spacing w:line="360" w:lineRule="auto"/>
        <w:ind w:firstLineChars="200" w:firstLine="480"/>
        <w:rPr>
          <w:rFonts w:ascii="宋体" w:hAnsi="宋体" w:cs="Arial"/>
          <w:sz w:val="24"/>
        </w:rPr>
      </w:pPr>
      <w:r>
        <w:rPr>
          <w:rFonts w:ascii="宋体" w:hAnsi="宋体" w:cs="Arial" w:hint="eastAsia"/>
          <w:sz w:val="24"/>
        </w:rPr>
        <w:lastRenderedPageBreak/>
        <w:t>（2）估值错误的责任方对有关当事人的直接损失负责，不对间接损失负责，并且仅对估值错误的有关直接当事人负责，不对第三方负责。</w:t>
      </w:r>
    </w:p>
    <w:p w:rsidR="00F0328E" w:rsidRDefault="00441AB8">
      <w:pPr>
        <w:adjustRightInd w:val="0"/>
        <w:spacing w:line="360" w:lineRule="auto"/>
        <w:ind w:firstLineChars="200" w:firstLine="480"/>
        <w:rPr>
          <w:rFonts w:ascii="宋体" w:hAnsi="宋体" w:cs="Arial"/>
          <w:sz w:val="24"/>
        </w:rPr>
      </w:pPr>
      <w:r>
        <w:rPr>
          <w:rFonts w:ascii="宋体" w:hAnsi="宋体" w:cs="Arial" w:hint="eastAsia"/>
          <w:sz w:val="24"/>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F0328E" w:rsidRDefault="00441AB8">
      <w:pPr>
        <w:adjustRightInd w:val="0"/>
        <w:spacing w:line="360" w:lineRule="auto"/>
        <w:ind w:firstLineChars="200" w:firstLine="480"/>
        <w:rPr>
          <w:rFonts w:ascii="宋体" w:hAnsi="宋体" w:cs="Arial"/>
          <w:sz w:val="24"/>
        </w:rPr>
      </w:pPr>
      <w:r>
        <w:rPr>
          <w:rFonts w:ascii="宋体" w:hAnsi="宋体" w:cs="Arial" w:hint="eastAsia"/>
          <w:sz w:val="24"/>
        </w:rPr>
        <w:t>（4）估值错误调整采用尽量恢复至假设未发生估值错误的正确情形的方式。</w:t>
      </w:r>
    </w:p>
    <w:p w:rsidR="00F0328E" w:rsidRDefault="00441AB8">
      <w:pPr>
        <w:adjustRightInd w:val="0"/>
        <w:spacing w:line="360" w:lineRule="auto"/>
        <w:ind w:firstLineChars="200" w:firstLine="480"/>
        <w:rPr>
          <w:rFonts w:ascii="宋体" w:hAnsi="宋体" w:cs="Arial"/>
          <w:sz w:val="24"/>
        </w:rPr>
      </w:pPr>
      <w:r>
        <w:rPr>
          <w:rFonts w:ascii="宋体" w:hAnsi="宋体" w:cs="Arial" w:hint="eastAsia"/>
          <w:sz w:val="24"/>
        </w:rPr>
        <w:t>3、估值错误处理程序</w:t>
      </w:r>
    </w:p>
    <w:p w:rsidR="00F0328E" w:rsidRDefault="00441AB8">
      <w:pPr>
        <w:adjustRightInd w:val="0"/>
        <w:spacing w:line="360" w:lineRule="auto"/>
        <w:ind w:firstLineChars="200" w:firstLine="480"/>
        <w:rPr>
          <w:rFonts w:ascii="宋体" w:hAnsi="宋体" w:cs="Arial"/>
          <w:sz w:val="24"/>
        </w:rPr>
      </w:pPr>
      <w:r>
        <w:rPr>
          <w:rFonts w:ascii="宋体" w:hAnsi="宋体" w:cs="Arial" w:hint="eastAsia"/>
          <w:sz w:val="24"/>
        </w:rPr>
        <w:t>估值错误被发现后，有关的当事人应当及时进行处理，处理的程序如下：</w:t>
      </w:r>
    </w:p>
    <w:p w:rsidR="00F0328E" w:rsidRDefault="00441AB8">
      <w:pPr>
        <w:adjustRightInd w:val="0"/>
        <w:spacing w:line="360" w:lineRule="auto"/>
        <w:ind w:firstLineChars="200" w:firstLine="480"/>
        <w:rPr>
          <w:rFonts w:ascii="宋体" w:hAnsi="宋体" w:cs="Arial"/>
          <w:sz w:val="24"/>
        </w:rPr>
      </w:pPr>
      <w:r>
        <w:rPr>
          <w:rFonts w:ascii="宋体" w:hAnsi="宋体" w:cs="Arial" w:hint="eastAsia"/>
          <w:sz w:val="24"/>
        </w:rPr>
        <w:t>（1）查明估值错误发生的原因，列明所有的当事人，并根据估值错误发生的原因确定估值错误的责任方；</w:t>
      </w:r>
    </w:p>
    <w:p w:rsidR="00F0328E" w:rsidRDefault="00441AB8">
      <w:pPr>
        <w:adjustRightInd w:val="0"/>
        <w:spacing w:line="360" w:lineRule="auto"/>
        <w:ind w:firstLineChars="200" w:firstLine="480"/>
        <w:rPr>
          <w:rFonts w:ascii="宋体" w:hAnsi="宋体" w:cs="Arial"/>
          <w:sz w:val="24"/>
        </w:rPr>
      </w:pPr>
      <w:r>
        <w:rPr>
          <w:rFonts w:ascii="宋体" w:hAnsi="宋体" w:cs="Arial" w:hint="eastAsia"/>
          <w:sz w:val="24"/>
        </w:rPr>
        <w:t>（2）根据估值错误处理原则或当事人协商的方法对因估值错误造成的损失进行评估；</w:t>
      </w:r>
    </w:p>
    <w:p w:rsidR="00F0328E" w:rsidRDefault="00441AB8">
      <w:pPr>
        <w:adjustRightInd w:val="0"/>
        <w:spacing w:line="360" w:lineRule="auto"/>
        <w:ind w:firstLineChars="200" w:firstLine="480"/>
        <w:rPr>
          <w:rFonts w:ascii="宋体" w:hAnsi="宋体" w:cs="Arial"/>
          <w:sz w:val="24"/>
        </w:rPr>
      </w:pPr>
      <w:r>
        <w:rPr>
          <w:rFonts w:ascii="宋体" w:hAnsi="宋体" w:cs="Arial" w:hint="eastAsia"/>
          <w:sz w:val="24"/>
        </w:rPr>
        <w:t>（3）根据估值错误处理原则或当事人协商的方法由估值错误的责任方进行更正和赔偿损失；</w:t>
      </w:r>
    </w:p>
    <w:p w:rsidR="00F0328E" w:rsidRDefault="00441AB8">
      <w:pPr>
        <w:adjustRightInd w:val="0"/>
        <w:spacing w:line="360" w:lineRule="auto"/>
        <w:ind w:firstLineChars="200" w:firstLine="480"/>
        <w:rPr>
          <w:rFonts w:ascii="宋体" w:hAnsi="宋体" w:cs="Arial"/>
          <w:sz w:val="24"/>
        </w:rPr>
      </w:pPr>
      <w:r>
        <w:rPr>
          <w:rFonts w:ascii="宋体" w:hAnsi="宋体" w:cs="Arial" w:hint="eastAsia"/>
          <w:sz w:val="24"/>
        </w:rPr>
        <w:t>（4）根据估值错误处理的方法，需要修改基金登记机构交易数据的，由基金登记机构进行更正，并就估值错误的更正向有关当事人进行确认。</w:t>
      </w:r>
    </w:p>
    <w:p w:rsidR="00F0328E" w:rsidRDefault="00441AB8">
      <w:pPr>
        <w:adjustRightInd w:val="0"/>
        <w:spacing w:line="360" w:lineRule="auto"/>
        <w:ind w:firstLineChars="200" w:firstLine="480"/>
        <w:rPr>
          <w:rFonts w:ascii="宋体" w:hAnsi="宋体" w:cs="Arial"/>
          <w:sz w:val="24"/>
        </w:rPr>
      </w:pPr>
      <w:r>
        <w:rPr>
          <w:rFonts w:ascii="宋体" w:hAnsi="宋体" w:cs="Arial" w:hint="eastAsia"/>
          <w:sz w:val="24"/>
        </w:rPr>
        <w:t>4、基金份额净值估值错误处理的方法如下：</w:t>
      </w:r>
    </w:p>
    <w:p w:rsidR="00F0328E" w:rsidRDefault="00441AB8">
      <w:pPr>
        <w:adjustRightInd w:val="0"/>
        <w:spacing w:line="360" w:lineRule="auto"/>
        <w:ind w:firstLineChars="200" w:firstLine="480"/>
        <w:rPr>
          <w:rFonts w:ascii="宋体" w:hAnsi="宋体" w:cs="Arial"/>
          <w:sz w:val="24"/>
        </w:rPr>
      </w:pPr>
      <w:r>
        <w:rPr>
          <w:rFonts w:ascii="宋体" w:hAnsi="宋体" w:cs="Arial" w:hint="eastAsia"/>
          <w:sz w:val="24"/>
        </w:rPr>
        <w:t>（1）基金份额净值计算出现错误时，基金管理人应当立即予以纠正，通报基金托管人，并采取合理的措施防止损失进一步扩大。</w:t>
      </w:r>
    </w:p>
    <w:p w:rsidR="00F0328E" w:rsidRDefault="00441AB8">
      <w:pPr>
        <w:adjustRightInd w:val="0"/>
        <w:spacing w:line="360" w:lineRule="auto"/>
        <w:ind w:firstLineChars="200" w:firstLine="480"/>
        <w:rPr>
          <w:rFonts w:ascii="宋体" w:hAnsi="宋体" w:cs="Arial"/>
          <w:sz w:val="24"/>
        </w:rPr>
      </w:pPr>
      <w:r>
        <w:rPr>
          <w:rFonts w:ascii="宋体" w:hAnsi="宋体" w:cs="Arial" w:hint="eastAsia"/>
          <w:sz w:val="24"/>
        </w:rPr>
        <w:t>（2）错误偏差达到或超过该类基金份额净值的0.25%时，基金管理人应当及时通报基金托管人并报中国证监会备案；错误偏差达到该类基金份额净值的0.5%时，基金管理人应当公告，并报中国证监会备案。</w:t>
      </w:r>
    </w:p>
    <w:p w:rsidR="00F0328E" w:rsidRDefault="00441AB8">
      <w:pPr>
        <w:spacing w:line="360" w:lineRule="auto"/>
        <w:ind w:firstLineChars="200" w:firstLine="480"/>
        <w:rPr>
          <w:rFonts w:ascii="宋体" w:hAnsi="宋体" w:cs="Arial"/>
          <w:sz w:val="24"/>
        </w:rPr>
      </w:pPr>
      <w:r>
        <w:rPr>
          <w:rFonts w:ascii="宋体" w:hAnsi="宋体" w:cs="Arial" w:hint="eastAsia"/>
          <w:sz w:val="24"/>
        </w:rPr>
        <w:t>（3）前述内容如法律法规或监管机关另有规定的，从其规定处理。如果行业另有通行做法，基金管理人</w:t>
      </w:r>
      <w:r>
        <w:rPr>
          <w:rFonts w:ascii="宋体" w:hAnsi="宋体" w:cs="Arial"/>
          <w:sz w:val="24"/>
        </w:rPr>
        <w:t>、</w:t>
      </w:r>
      <w:r>
        <w:rPr>
          <w:rFonts w:ascii="宋体" w:hAnsi="宋体" w:cs="Arial" w:hint="eastAsia"/>
          <w:sz w:val="24"/>
        </w:rPr>
        <w:t>基金托管人应本着平等和保护基金份额持有人利益的原则进行协商。</w:t>
      </w:r>
    </w:p>
    <w:p w:rsidR="00F0328E" w:rsidRDefault="00441AB8">
      <w:pPr>
        <w:spacing w:line="360" w:lineRule="auto"/>
        <w:ind w:firstLineChars="200" w:firstLine="480"/>
        <w:rPr>
          <w:rFonts w:ascii="宋体" w:hAnsi="宋体"/>
          <w:bCs/>
          <w:sz w:val="24"/>
        </w:rPr>
      </w:pPr>
      <w:r>
        <w:rPr>
          <w:rFonts w:ascii="宋体" w:hAnsi="宋体" w:hint="eastAsia"/>
          <w:bCs/>
          <w:sz w:val="24"/>
        </w:rPr>
        <w:lastRenderedPageBreak/>
        <w:t>（四）暂停估值的情形</w:t>
      </w:r>
    </w:p>
    <w:p w:rsidR="00F0328E" w:rsidRDefault="00441AB8">
      <w:pPr>
        <w:spacing w:line="360" w:lineRule="auto"/>
        <w:ind w:firstLineChars="200" w:firstLine="480"/>
        <w:rPr>
          <w:rFonts w:ascii="宋体" w:hAnsi="宋体" w:cs="Arial"/>
          <w:sz w:val="24"/>
        </w:rPr>
      </w:pPr>
      <w:r>
        <w:rPr>
          <w:rFonts w:ascii="宋体" w:hAnsi="宋体" w:cs="Arial"/>
          <w:sz w:val="24"/>
        </w:rPr>
        <w:t>1、基金投资所涉及的证券</w:t>
      </w:r>
      <w:r>
        <w:rPr>
          <w:rFonts w:ascii="宋体" w:hAnsi="宋体" w:cs="Arial" w:hint="eastAsia"/>
          <w:sz w:val="24"/>
        </w:rPr>
        <w:t>、期货</w:t>
      </w:r>
      <w:r>
        <w:rPr>
          <w:rFonts w:ascii="宋体" w:hAnsi="宋体" w:cs="Arial"/>
          <w:sz w:val="24"/>
        </w:rPr>
        <w:t>交易市场遇法定节假日或因其他原因暂停营业</w:t>
      </w:r>
      <w:r>
        <w:rPr>
          <w:rFonts w:ascii="宋体" w:hAnsi="宋体" w:cs="Arial" w:hint="eastAsia"/>
          <w:sz w:val="24"/>
        </w:rPr>
        <w:t>或港股通临时停市</w:t>
      </w:r>
      <w:r>
        <w:rPr>
          <w:rFonts w:ascii="宋体" w:hAnsi="宋体" w:cs="Arial"/>
          <w:sz w:val="24"/>
        </w:rPr>
        <w:t>时；</w:t>
      </w:r>
    </w:p>
    <w:p w:rsidR="00F0328E" w:rsidRDefault="00441AB8">
      <w:pPr>
        <w:spacing w:line="360" w:lineRule="auto"/>
        <w:ind w:firstLineChars="200" w:firstLine="480"/>
        <w:rPr>
          <w:rFonts w:ascii="宋体" w:hAnsi="宋体" w:cs="Arial"/>
          <w:sz w:val="24"/>
        </w:rPr>
      </w:pPr>
      <w:r>
        <w:rPr>
          <w:rFonts w:ascii="宋体" w:hAnsi="宋体" w:cs="Arial"/>
          <w:sz w:val="24"/>
        </w:rPr>
        <w:t>2、因不可抗力致使基金管理人、基金托管人无法准确评估基金资产价值时；</w:t>
      </w:r>
    </w:p>
    <w:p w:rsidR="00F0328E" w:rsidRDefault="00441AB8">
      <w:pPr>
        <w:spacing w:line="360" w:lineRule="auto"/>
        <w:ind w:firstLineChars="200" w:firstLine="480"/>
        <w:rPr>
          <w:rFonts w:ascii="宋体" w:hAnsi="宋体" w:cs="Arial"/>
          <w:sz w:val="24"/>
        </w:rPr>
      </w:pPr>
      <w:r>
        <w:rPr>
          <w:rFonts w:ascii="宋体" w:hAnsi="宋体" w:cs="Arial"/>
          <w:sz w:val="24"/>
        </w:rPr>
        <w:t>3、</w:t>
      </w:r>
      <w:r>
        <w:rPr>
          <w:rFonts w:ascii="宋体" w:hAnsi="宋体" w:cs="Arial" w:hint="eastAsia"/>
          <w:sz w:val="24"/>
        </w:rPr>
        <w:t>当特定资产占前一估值日基金资产净值50%以上时，经与基金托管人协商确认后，基金管理人应当暂停估值；</w:t>
      </w:r>
    </w:p>
    <w:p w:rsidR="00F0328E" w:rsidRDefault="00441AB8">
      <w:pPr>
        <w:spacing w:line="360" w:lineRule="auto"/>
        <w:ind w:firstLineChars="200" w:firstLine="480"/>
        <w:rPr>
          <w:rFonts w:ascii="宋体" w:hAnsi="宋体" w:cs="Arial"/>
          <w:sz w:val="24"/>
        </w:rPr>
      </w:pPr>
      <w:r>
        <w:rPr>
          <w:rFonts w:ascii="宋体" w:hAnsi="宋体" w:cs="Arial" w:hint="eastAsia"/>
          <w:sz w:val="24"/>
        </w:rPr>
        <w:t>4、占基金相当比例的投资品种的估值出现重大转变，而基金管理人为保障投资人的利益，已决定延迟估值；如果出现基金管理人认为属于紧急事故的任何情况，导致基金管理人不能出售或评估基金资产时；</w:t>
      </w:r>
    </w:p>
    <w:p w:rsidR="00F0328E" w:rsidRDefault="00441AB8">
      <w:pPr>
        <w:spacing w:line="360" w:lineRule="auto"/>
        <w:ind w:firstLineChars="200" w:firstLine="480"/>
        <w:rPr>
          <w:rFonts w:ascii="宋体" w:hAnsi="宋体" w:cs="Arial"/>
          <w:sz w:val="24"/>
        </w:rPr>
      </w:pPr>
      <w:r>
        <w:rPr>
          <w:rFonts w:ascii="宋体" w:hAnsi="宋体" w:cs="Arial" w:hint="eastAsia"/>
          <w:sz w:val="24"/>
        </w:rPr>
        <w:t>5、法律法规规定、</w:t>
      </w:r>
      <w:r>
        <w:rPr>
          <w:rFonts w:ascii="宋体" w:hAnsi="宋体" w:cs="Arial"/>
          <w:sz w:val="24"/>
        </w:rPr>
        <w:t>中国证监会和基金合同认定的其它情形。</w:t>
      </w:r>
    </w:p>
    <w:p w:rsidR="00F0328E" w:rsidRDefault="00441AB8">
      <w:pPr>
        <w:spacing w:line="360" w:lineRule="auto"/>
        <w:ind w:firstLineChars="200" w:firstLine="480"/>
        <w:rPr>
          <w:rFonts w:ascii="宋体" w:hAnsi="宋体"/>
          <w:bCs/>
          <w:sz w:val="24"/>
        </w:rPr>
      </w:pPr>
      <w:r>
        <w:rPr>
          <w:rFonts w:ascii="宋体" w:hAnsi="宋体" w:hint="eastAsia"/>
          <w:bCs/>
          <w:sz w:val="24"/>
        </w:rPr>
        <w:t>（五）基金会计制度</w:t>
      </w:r>
    </w:p>
    <w:p w:rsidR="00F0328E" w:rsidRDefault="00441AB8">
      <w:pPr>
        <w:spacing w:line="360" w:lineRule="auto"/>
        <w:ind w:firstLineChars="200" w:firstLine="480"/>
        <w:rPr>
          <w:rFonts w:ascii="宋体" w:hAnsi="宋体"/>
          <w:bCs/>
          <w:sz w:val="24"/>
        </w:rPr>
      </w:pPr>
      <w:r>
        <w:rPr>
          <w:rFonts w:ascii="宋体" w:hAnsi="宋体" w:hint="eastAsia"/>
          <w:bCs/>
          <w:sz w:val="24"/>
        </w:rPr>
        <w:t>按国家有关部门规定的会计制度执行。</w:t>
      </w:r>
    </w:p>
    <w:p w:rsidR="00F0328E" w:rsidRDefault="00441AB8">
      <w:pPr>
        <w:spacing w:line="360" w:lineRule="auto"/>
        <w:ind w:firstLineChars="200" w:firstLine="480"/>
        <w:rPr>
          <w:rFonts w:ascii="宋体" w:hAnsi="宋体"/>
          <w:bCs/>
          <w:sz w:val="24"/>
        </w:rPr>
      </w:pPr>
      <w:r>
        <w:rPr>
          <w:rFonts w:ascii="宋体" w:hAnsi="宋体" w:hint="eastAsia"/>
          <w:bCs/>
          <w:sz w:val="24"/>
        </w:rPr>
        <w:t>（六）基金账册的建立</w:t>
      </w:r>
    </w:p>
    <w:p w:rsidR="00F0328E" w:rsidRDefault="00441AB8">
      <w:pPr>
        <w:spacing w:line="360" w:lineRule="auto"/>
        <w:ind w:firstLineChars="200" w:firstLine="480"/>
        <w:rPr>
          <w:rFonts w:ascii="宋体" w:hAnsi="宋体" w:cs="Arial"/>
          <w:sz w:val="24"/>
        </w:rPr>
      </w:pPr>
      <w:r>
        <w:rPr>
          <w:rFonts w:ascii="宋体" w:hAnsi="宋体" w:hint="eastAsia"/>
          <w:bCs/>
          <w:sz w:val="24"/>
        </w:rPr>
        <w:t>基金管理人进行基金会计核算并编制基金财务会计报告。基金管理人、基金托管人分别独立地设置、记录和保管本基金的全套账</w:t>
      </w:r>
      <w:r>
        <w:rPr>
          <w:rFonts w:ascii="宋体" w:hAnsi="宋体" w:cs="Arial" w:hint="eastAsia"/>
          <w:sz w:val="24"/>
        </w:rPr>
        <w:t>册。基金托管人按规定制作相关账册并与基金管理人核对。若基金管理人和基金托管人对会计处理方法存在分歧，应以基金管理人的处理方法为准。若当日核对不符，暂时无法查找到错账的原因而影响到基金净值的计算和公告的，以基金管理人的账册为准。</w:t>
      </w:r>
    </w:p>
    <w:p w:rsidR="00F0328E" w:rsidRDefault="00441AB8">
      <w:pPr>
        <w:pStyle w:val="ae"/>
        <w:numPr>
          <w:ilvl w:val="0"/>
          <w:numId w:val="4"/>
        </w:numPr>
        <w:adjustRightInd w:val="0"/>
        <w:snapToGrid w:val="0"/>
        <w:spacing w:line="360" w:lineRule="auto"/>
        <w:ind w:firstLineChars="0"/>
        <w:rPr>
          <w:rFonts w:ascii="宋体" w:hAnsi="宋体" w:cs="Arial"/>
          <w:sz w:val="24"/>
        </w:rPr>
      </w:pPr>
      <w:r>
        <w:rPr>
          <w:rFonts w:ascii="宋体" w:hAnsi="宋体" w:cs="Arial" w:hint="eastAsia"/>
          <w:sz w:val="24"/>
        </w:rPr>
        <w:t>基金财务报表与报告的编制和复核</w:t>
      </w:r>
    </w:p>
    <w:p w:rsidR="00F0328E" w:rsidRDefault="00441AB8">
      <w:pPr>
        <w:adjustRightInd w:val="0"/>
        <w:snapToGrid w:val="0"/>
        <w:spacing w:line="360" w:lineRule="auto"/>
        <w:ind w:left="480"/>
        <w:rPr>
          <w:rStyle w:val="read"/>
          <w:rFonts w:ascii="宋体" w:hAnsi="宋体"/>
          <w:sz w:val="24"/>
        </w:rPr>
      </w:pPr>
      <w:r>
        <w:rPr>
          <w:rStyle w:val="read"/>
          <w:rFonts w:ascii="宋体" w:hAnsi="宋体" w:hint="eastAsia"/>
          <w:sz w:val="24"/>
        </w:rPr>
        <w:t>1、财务报表的编制</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基金财务报表由基金管理人编制，基金托管人复核。</w:t>
      </w:r>
    </w:p>
    <w:p w:rsidR="00F0328E" w:rsidRDefault="00441AB8">
      <w:pPr>
        <w:pStyle w:val="ae"/>
        <w:numPr>
          <w:ilvl w:val="0"/>
          <w:numId w:val="5"/>
        </w:numPr>
        <w:adjustRightInd w:val="0"/>
        <w:snapToGrid w:val="0"/>
        <w:spacing w:line="360" w:lineRule="auto"/>
        <w:ind w:firstLineChars="0"/>
        <w:rPr>
          <w:rStyle w:val="read"/>
          <w:rFonts w:ascii="宋体" w:hAnsi="宋体"/>
          <w:sz w:val="24"/>
        </w:rPr>
      </w:pPr>
      <w:r>
        <w:rPr>
          <w:rStyle w:val="read"/>
          <w:rFonts w:ascii="宋体" w:hAnsi="宋体" w:hint="eastAsia"/>
          <w:sz w:val="24"/>
        </w:rPr>
        <w:t>报表复核</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基金托管人在收到基金管理人编制的基金财务报表后，进行独立的复核。核对不符时，应及时通知基金管理人共同查出原因，进行调整，直至双方数据完全一致。</w:t>
      </w:r>
    </w:p>
    <w:p w:rsidR="00F0328E" w:rsidRDefault="00441AB8">
      <w:pPr>
        <w:pStyle w:val="ae"/>
        <w:numPr>
          <w:ilvl w:val="0"/>
          <w:numId w:val="5"/>
        </w:numPr>
        <w:adjustRightInd w:val="0"/>
        <w:snapToGrid w:val="0"/>
        <w:spacing w:line="360" w:lineRule="auto"/>
        <w:ind w:firstLineChars="0"/>
        <w:rPr>
          <w:rStyle w:val="read"/>
          <w:rFonts w:ascii="宋体" w:hAnsi="宋体"/>
          <w:sz w:val="24"/>
        </w:rPr>
      </w:pPr>
      <w:r>
        <w:rPr>
          <w:rStyle w:val="read"/>
          <w:rFonts w:ascii="宋体" w:hAnsi="宋体" w:hint="eastAsia"/>
          <w:sz w:val="24"/>
        </w:rPr>
        <w:t>财务报表的编制与复核时间安排</w:t>
      </w:r>
    </w:p>
    <w:p w:rsidR="00F0328E" w:rsidRDefault="00441AB8">
      <w:pPr>
        <w:adjustRightInd w:val="0"/>
        <w:snapToGrid w:val="0"/>
        <w:spacing w:line="360" w:lineRule="auto"/>
        <w:ind w:left="480"/>
        <w:rPr>
          <w:rFonts w:ascii="宋体" w:hAnsi="宋体" w:cs="Arial"/>
          <w:sz w:val="24"/>
        </w:rPr>
      </w:pPr>
      <w:r>
        <w:rPr>
          <w:rFonts w:ascii="宋体" w:hAnsi="宋体" w:cs="Arial" w:hint="eastAsia"/>
          <w:sz w:val="24"/>
        </w:rPr>
        <w:t>（1）报表的编制</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基金财务报表由基金管理人和基金托管人每月分别独立编制。月度报表的编制，应于每月终了后</w:t>
      </w:r>
      <w:r>
        <w:rPr>
          <w:rFonts w:ascii="宋体" w:hAnsi="宋体" w:cs="Arial"/>
          <w:sz w:val="24"/>
        </w:rPr>
        <w:t>5</w:t>
      </w:r>
      <w:r>
        <w:rPr>
          <w:rFonts w:ascii="宋体" w:hAnsi="宋体" w:cs="Arial" w:hint="eastAsia"/>
          <w:sz w:val="24"/>
        </w:rPr>
        <w:t>个工作日内完成。定期报告文件应按中国证监会的要求公告。季度报告的编制，应于每季度终了后</w:t>
      </w:r>
      <w:r>
        <w:rPr>
          <w:rFonts w:ascii="宋体" w:hAnsi="宋体" w:cs="Arial"/>
          <w:sz w:val="24"/>
        </w:rPr>
        <w:t>15</w:t>
      </w:r>
      <w:r>
        <w:rPr>
          <w:rFonts w:ascii="宋体" w:hAnsi="宋体" w:cs="Arial" w:hint="eastAsia"/>
          <w:sz w:val="24"/>
        </w:rPr>
        <w:t>个工作日内完成；基金合同生效后，</w:t>
      </w:r>
      <w:r>
        <w:rPr>
          <w:rFonts w:ascii="宋体" w:hAnsi="宋体" w:cs="Arial" w:hint="eastAsia"/>
          <w:sz w:val="24"/>
        </w:rPr>
        <w:lastRenderedPageBreak/>
        <w:t>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中期报告在上半年结束之日起两个月内公告；年度报告在每年结束之日起三个月内公告。如果基金合同生效不足</w:t>
      </w:r>
      <w:r>
        <w:rPr>
          <w:rFonts w:ascii="宋体" w:hAnsi="宋体" w:cs="Arial"/>
          <w:sz w:val="24"/>
        </w:rPr>
        <w:t>2</w:t>
      </w:r>
      <w:r>
        <w:rPr>
          <w:rFonts w:ascii="宋体" w:hAnsi="宋体" w:cs="Arial" w:hint="eastAsia"/>
          <w:sz w:val="24"/>
        </w:rPr>
        <w:t>个月的，基金管理人可以不编制当期季度报告、中期报告或者年度报告。</w:t>
      </w:r>
    </w:p>
    <w:p w:rsidR="00F0328E" w:rsidRDefault="00441AB8">
      <w:pPr>
        <w:adjustRightInd w:val="0"/>
        <w:snapToGrid w:val="0"/>
        <w:spacing w:line="360" w:lineRule="auto"/>
        <w:ind w:left="480"/>
        <w:rPr>
          <w:rFonts w:ascii="宋体" w:hAnsi="宋体" w:cs="Arial"/>
          <w:sz w:val="24"/>
        </w:rPr>
      </w:pPr>
      <w:r>
        <w:rPr>
          <w:rFonts w:ascii="宋体" w:hAnsi="宋体" w:cs="Arial" w:hint="eastAsia"/>
          <w:sz w:val="24"/>
        </w:rPr>
        <w:t>（2）报表的复核</w:t>
      </w:r>
    </w:p>
    <w:p w:rsidR="00F0328E" w:rsidRDefault="00441AB8">
      <w:pPr>
        <w:pStyle w:val="17"/>
        <w:adjustRightInd w:val="0"/>
        <w:snapToGrid w:val="0"/>
        <w:spacing w:line="360" w:lineRule="auto"/>
        <w:rPr>
          <w:rFonts w:ascii="宋体" w:hAnsi="宋体" w:cs="Arial"/>
          <w:sz w:val="24"/>
          <w:szCs w:val="24"/>
        </w:rPr>
      </w:pPr>
      <w:r>
        <w:rPr>
          <w:rFonts w:ascii="宋体" w:hAnsi="宋体" w:cs="Arial" w:hint="eastAsia"/>
          <w:sz w:val="24"/>
          <w:szCs w:val="24"/>
        </w:rPr>
        <w:t>基金管理人应及时完成报表编制，将有关报表提供基金托管人复核；如果基金招募说明书发生重大变更的信息不属于基金托管人法定复核责任范围且基金托管人不掌握相关信息的，无需经基金托管人复核；基金托管人在复核过程中，发现双方的报表存在不符时，基金管理人和基金托管人应共同查明原因，进行调整，调整以国家有关规定为准。</w:t>
      </w:r>
    </w:p>
    <w:p w:rsidR="00F0328E" w:rsidRDefault="00441AB8">
      <w:pPr>
        <w:pStyle w:val="a3"/>
        <w:adjustRightInd w:val="0"/>
        <w:snapToGrid w:val="0"/>
        <w:spacing w:line="360" w:lineRule="auto"/>
        <w:rPr>
          <w:rFonts w:ascii="宋体" w:hAnsi="宋体" w:cs="Arial"/>
          <w:sz w:val="24"/>
          <w:szCs w:val="24"/>
        </w:rPr>
      </w:pPr>
      <w:r>
        <w:rPr>
          <w:rFonts w:ascii="宋体" w:hAnsi="宋体" w:cs="Arial" w:hint="eastAsia"/>
          <w:sz w:val="24"/>
          <w:szCs w:val="24"/>
        </w:rPr>
        <w:t>基金管理人应留足充分的时间，便于基金托管人复核相关报表及报告。基金托管人在对财务报表、季度报告、中期报告或年度报告复核完毕后，应当出具复核确认书（盖章）或以其他双方约定的方式确认，以备有权机构对相关文件审核检查。</w:t>
      </w:r>
    </w:p>
    <w:p w:rsidR="00F0328E" w:rsidRDefault="00441AB8">
      <w:pPr>
        <w:pStyle w:val="17"/>
        <w:adjustRightInd w:val="0"/>
        <w:snapToGrid w:val="0"/>
        <w:spacing w:line="360" w:lineRule="auto"/>
        <w:rPr>
          <w:rFonts w:ascii="宋体" w:hAnsi="宋体" w:cs="Arial"/>
          <w:sz w:val="24"/>
          <w:szCs w:val="24"/>
        </w:rPr>
      </w:pPr>
      <w:r>
        <w:rPr>
          <w:rFonts w:ascii="宋体" w:hAnsi="宋体" w:cs="Arial" w:hint="eastAsia"/>
          <w:sz w:val="24"/>
          <w:szCs w:val="24"/>
        </w:rPr>
        <w:t>（八）基金管理人应在编制季度报告、中期报告或者年度报告之前及时向基金托管人提供基金业绩比较基准的基础数据和编制结果。</w:t>
      </w:r>
    </w:p>
    <w:p w:rsidR="00F0328E" w:rsidRDefault="00441AB8" w:rsidP="00CF65B5">
      <w:pPr>
        <w:pStyle w:val="1"/>
        <w:numPr>
          <w:ilvl w:val="0"/>
          <w:numId w:val="1"/>
        </w:numPr>
        <w:spacing w:before="0" w:afterLines="50" w:after="156" w:line="360" w:lineRule="auto"/>
        <w:rPr>
          <w:rFonts w:ascii="宋体" w:hAnsi="宋体"/>
          <w:sz w:val="24"/>
          <w:szCs w:val="24"/>
        </w:rPr>
      </w:pPr>
      <w:bookmarkStart w:id="169" w:name="_Toc295833684"/>
      <w:bookmarkStart w:id="170" w:name="_Toc295833014"/>
      <w:bookmarkStart w:id="171" w:name="_Toc295832954"/>
      <w:bookmarkStart w:id="172" w:name="_Toc295833013"/>
      <w:bookmarkStart w:id="173" w:name="_Toc295832646"/>
      <w:bookmarkStart w:id="174" w:name="_Toc295832953"/>
      <w:bookmarkStart w:id="175" w:name="_Toc295833685"/>
      <w:bookmarkStart w:id="176" w:name="_Toc295832647"/>
      <w:bookmarkEnd w:id="169"/>
      <w:bookmarkEnd w:id="170"/>
      <w:bookmarkEnd w:id="171"/>
      <w:bookmarkEnd w:id="172"/>
      <w:bookmarkEnd w:id="173"/>
      <w:bookmarkEnd w:id="174"/>
      <w:bookmarkEnd w:id="175"/>
      <w:bookmarkEnd w:id="176"/>
      <w:r>
        <w:rPr>
          <w:rFonts w:ascii="宋体" w:hAnsi="宋体" w:cs="Arial"/>
          <w:sz w:val="24"/>
          <w:szCs w:val="24"/>
        </w:rPr>
        <w:br w:type="page"/>
      </w:r>
      <w:bookmarkStart w:id="177" w:name="_Toc295832955"/>
      <w:bookmarkStart w:id="178" w:name="_Toc295832648"/>
      <w:bookmarkStart w:id="179" w:name="_Toc295833686"/>
      <w:bookmarkStart w:id="180" w:name="_Toc295833015"/>
      <w:bookmarkStart w:id="181" w:name="_Toc76720688"/>
      <w:bookmarkStart w:id="182" w:name="_Toc270669860"/>
      <w:bookmarkStart w:id="183" w:name="_Toc124325893"/>
      <w:bookmarkEnd w:id="177"/>
      <w:bookmarkEnd w:id="178"/>
      <w:bookmarkEnd w:id="179"/>
      <w:bookmarkEnd w:id="180"/>
      <w:r>
        <w:rPr>
          <w:rFonts w:ascii="宋体" w:hAnsi="宋体" w:hint="eastAsia"/>
          <w:sz w:val="24"/>
          <w:szCs w:val="24"/>
        </w:rPr>
        <w:lastRenderedPageBreak/>
        <w:t>基金收益分配</w:t>
      </w:r>
      <w:bookmarkEnd w:id="181"/>
    </w:p>
    <w:p w:rsidR="00F0328E" w:rsidRDefault="00441AB8">
      <w:pPr>
        <w:pStyle w:val="21"/>
        <w:rPr>
          <w:rFonts w:ascii="宋体" w:hAnsi="宋体"/>
          <w:szCs w:val="24"/>
        </w:rPr>
      </w:pPr>
      <w:bookmarkStart w:id="184" w:name="OLE_LINK10"/>
      <w:bookmarkStart w:id="185" w:name="OLE_LINK11"/>
      <w:r>
        <w:rPr>
          <w:rFonts w:ascii="宋体" w:hAnsi="宋体" w:hint="eastAsia"/>
          <w:szCs w:val="24"/>
        </w:rPr>
        <w:t>（</w:t>
      </w:r>
      <w:r>
        <w:rPr>
          <w:rFonts w:ascii="宋体" w:hAnsi="宋体"/>
          <w:szCs w:val="24"/>
        </w:rPr>
        <w:t>一</w:t>
      </w:r>
      <w:r>
        <w:rPr>
          <w:rFonts w:ascii="宋体" w:hAnsi="宋体" w:hint="eastAsia"/>
          <w:szCs w:val="24"/>
        </w:rPr>
        <w:t>）</w:t>
      </w:r>
      <w:r>
        <w:rPr>
          <w:rFonts w:ascii="宋体" w:hAnsi="宋体"/>
          <w:szCs w:val="24"/>
        </w:rPr>
        <w:t>基金利润的构成</w:t>
      </w:r>
    </w:p>
    <w:p w:rsidR="00F0328E" w:rsidRDefault="00441AB8">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rsidR="00F0328E" w:rsidRDefault="00441AB8">
      <w:pPr>
        <w:pStyle w:val="21"/>
        <w:rPr>
          <w:rFonts w:ascii="宋体" w:hAnsi="宋体"/>
          <w:szCs w:val="24"/>
        </w:rPr>
      </w:pPr>
      <w:r>
        <w:rPr>
          <w:rFonts w:ascii="宋体" w:hAnsi="宋体" w:hint="eastAsia"/>
          <w:szCs w:val="24"/>
        </w:rPr>
        <w:t>（</w:t>
      </w:r>
      <w:r>
        <w:rPr>
          <w:rFonts w:ascii="宋体" w:hAnsi="宋体"/>
          <w:szCs w:val="24"/>
        </w:rPr>
        <w:t>二</w:t>
      </w:r>
      <w:r>
        <w:rPr>
          <w:rFonts w:ascii="宋体" w:hAnsi="宋体" w:hint="eastAsia"/>
          <w:szCs w:val="24"/>
        </w:rPr>
        <w:t>）</w:t>
      </w:r>
      <w:r>
        <w:rPr>
          <w:rFonts w:ascii="宋体" w:hAnsi="宋体"/>
          <w:szCs w:val="24"/>
        </w:rPr>
        <w:t>基金可供分配利润</w:t>
      </w:r>
    </w:p>
    <w:p w:rsidR="00F0328E" w:rsidRDefault="00441AB8">
      <w:pPr>
        <w:spacing w:line="360" w:lineRule="auto"/>
        <w:ind w:firstLineChars="225" w:firstLine="540"/>
        <w:rPr>
          <w:bCs/>
          <w:sz w:val="24"/>
        </w:rPr>
      </w:pPr>
      <w:r>
        <w:rPr>
          <w:bCs/>
          <w:sz w:val="24"/>
        </w:rPr>
        <w:t>基金可供分配利润指截至收益分配基准日基金未分配利润与未分配利润中已实现收益的孰低数。</w:t>
      </w:r>
    </w:p>
    <w:p w:rsidR="00F0328E" w:rsidRDefault="00441AB8">
      <w:pPr>
        <w:pStyle w:val="21"/>
        <w:rPr>
          <w:rFonts w:ascii="宋体" w:hAnsi="宋体"/>
          <w:szCs w:val="24"/>
        </w:rPr>
      </w:pPr>
      <w:r>
        <w:rPr>
          <w:rFonts w:ascii="宋体" w:hAnsi="宋体" w:hint="eastAsia"/>
          <w:szCs w:val="24"/>
        </w:rPr>
        <w:t>（</w:t>
      </w:r>
      <w:r>
        <w:rPr>
          <w:rFonts w:ascii="宋体" w:hAnsi="宋体"/>
          <w:szCs w:val="24"/>
        </w:rPr>
        <w:t>三</w:t>
      </w:r>
      <w:r>
        <w:rPr>
          <w:rFonts w:ascii="宋体" w:hAnsi="宋体" w:hint="eastAsia"/>
          <w:szCs w:val="24"/>
        </w:rPr>
        <w:t>）</w:t>
      </w:r>
      <w:r>
        <w:rPr>
          <w:rFonts w:ascii="宋体" w:hAnsi="宋体"/>
          <w:szCs w:val="24"/>
        </w:rPr>
        <w:t>基金收益分配原则</w:t>
      </w:r>
    </w:p>
    <w:p w:rsidR="00F0328E" w:rsidRDefault="00441AB8">
      <w:pPr>
        <w:spacing w:line="360" w:lineRule="auto"/>
        <w:ind w:firstLineChars="225" w:firstLine="540"/>
        <w:rPr>
          <w:bCs/>
          <w:sz w:val="24"/>
        </w:rPr>
      </w:pPr>
      <w:r>
        <w:rPr>
          <w:rFonts w:hint="eastAsia"/>
          <w:bCs/>
          <w:sz w:val="24"/>
        </w:rPr>
        <w:t>1</w:t>
      </w:r>
      <w:r>
        <w:rPr>
          <w:rFonts w:hint="eastAsia"/>
          <w:bCs/>
          <w:sz w:val="24"/>
        </w:rPr>
        <w:t>、在符合有关基金分红条件的前提下，本基金每年收益分配次数最多为</w:t>
      </w:r>
      <w:r>
        <w:rPr>
          <w:rFonts w:hint="eastAsia"/>
          <w:bCs/>
          <w:sz w:val="24"/>
        </w:rPr>
        <w:t>12</w:t>
      </w:r>
      <w:r>
        <w:rPr>
          <w:rFonts w:hint="eastAsia"/>
          <w:bCs/>
          <w:sz w:val="24"/>
        </w:rPr>
        <w:t>次，若《基金合同》生效不满</w:t>
      </w:r>
      <w:r>
        <w:rPr>
          <w:rFonts w:hint="eastAsia"/>
          <w:bCs/>
          <w:sz w:val="24"/>
        </w:rPr>
        <w:t>3</w:t>
      </w:r>
      <w:r>
        <w:rPr>
          <w:rFonts w:hint="eastAsia"/>
          <w:bCs/>
          <w:sz w:val="24"/>
        </w:rPr>
        <w:t>个月可不进行收益分配；</w:t>
      </w:r>
      <w:r w:rsidR="0036216A" w:rsidDel="0036216A">
        <w:rPr>
          <w:rFonts w:hint="eastAsia"/>
          <w:bCs/>
          <w:sz w:val="24"/>
        </w:rPr>
        <w:t xml:space="preserve"> </w:t>
      </w:r>
    </w:p>
    <w:p w:rsidR="00F0328E" w:rsidRDefault="00441AB8">
      <w:pPr>
        <w:spacing w:line="360" w:lineRule="auto"/>
        <w:ind w:firstLineChars="225" w:firstLine="540"/>
        <w:rPr>
          <w:bCs/>
          <w:sz w:val="24"/>
        </w:rPr>
      </w:pPr>
      <w:r>
        <w:rPr>
          <w:rFonts w:hint="eastAsia"/>
          <w:bCs/>
          <w:sz w:val="24"/>
        </w:rPr>
        <w:t>2</w:t>
      </w:r>
      <w:r>
        <w:rPr>
          <w:rFonts w:hint="eastAsia"/>
          <w:bCs/>
          <w:sz w:val="24"/>
        </w:rPr>
        <w:t>、本基金收益分配方式分两种：现金分红与红利再投资，投资者可选择现金红利或将现金红利自动转为相应类别的基金份额进行再投资；若投资者不选择，本基金默认的收益分配方式是现金分红；</w:t>
      </w:r>
    </w:p>
    <w:p w:rsidR="00F0328E" w:rsidRDefault="00441AB8">
      <w:pPr>
        <w:spacing w:line="360" w:lineRule="auto"/>
        <w:ind w:firstLineChars="225" w:firstLine="540"/>
        <w:rPr>
          <w:bCs/>
          <w:sz w:val="24"/>
        </w:rPr>
      </w:pPr>
      <w:r>
        <w:rPr>
          <w:rFonts w:hint="eastAsia"/>
          <w:bCs/>
          <w:sz w:val="24"/>
        </w:rPr>
        <w:t>3</w:t>
      </w:r>
      <w:r>
        <w:rPr>
          <w:rFonts w:hint="eastAsia"/>
          <w:bCs/>
          <w:sz w:val="24"/>
        </w:rPr>
        <w:t>、基金收益分配后任一类基金份额净值不能低于面值；即基金收益分配基准日的任一类基金份额净值减去该类每单位基金份额收益分配金额后不能低于面值；</w:t>
      </w:r>
    </w:p>
    <w:p w:rsidR="00F0328E" w:rsidRDefault="00441AB8">
      <w:pPr>
        <w:spacing w:line="360" w:lineRule="auto"/>
        <w:ind w:firstLineChars="225" w:firstLine="540"/>
        <w:rPr>
          <w:bCs/>
          <w:sz w:val="24"/>
        </w:rPr>
      </w:pPr>
      <w:r>
        <w:rPr>
          <w:rFonts w:hint="eastAsia"/>
          <w:bCs/>
          <w:sz w:val="24"/>
        </w:rPr>
        <w:t>4</w:t>
      </w:r>
      <w:r>
        <w:rPr>
          <w:rFonts w:hint="eastAsia"/>
          <w:bCs/>
          <w:sz w:val="24"/>
        </w:rPr>
        <w:t>、由于本基金</w:t>
      </w:r>
      <w:r>
        <w:rPr>
          <w:rFonts w:hint="eastAsia"/>
          <w:bCs/>
          <w:sz w:val="24"/>
        </w:rPr>
        <w:t xml:space="preserve"> A </w:t>
      </w:r>
      <w:r>
        <w:rPr>
          <w:rFonts w:hint="eastAsia"/>
          <w:bCs/>
          <w:sz w:val="24"/>
        </w:rPr>
        <w:t>类基金份额不收取销售服务费，而</w:t>
      </w:r>
      <w:r>
        <w:rPr>
          <w:rFonts w:hint="eastAsia"/>
          <w:bCs/>
          <w:sz w:val="24"/>
        </w:rPr>
        <w:t>C</w:t>
      </w:r>
      <w:r>
        <w:rPr>
          <w:rFonts w:hint="eastAsia"/>
          <w:bCs/>
          <w:sz w:val="24"/>
        </w:rPr>
        <w:t>类基金份额收取销售服务费，各类别基金份额对应的可供分配利润将有所不同。本基金同一类别的每一基金份额享有同等分配权；</w:t>
      </w:r>
    </w:p>
    <w:p w:rsidR="00F0328E" w:rsidRDefault="00441AB8">
      <w:pPr>
        <w:spacing w:line="360" w:lineRule="auto"/>
        <w:ind w:firstLineChars="225" w:firstLine="540"/>
        <w:rPr>
          <w:bCs/>
          <w:sz w:val="24"/>
        </w:rPr>
      </w:pPr>
      <w:r>
        <w:rPr>
          <w:rFonts w:hint="eastAsia"/>
          <w:bCs/>
          <w:sz w:val="24"/>
        </w:rPr>
        <w:t>5</w:t>
      </w:r>
      <w:r>
        <w:rPr>
          <w:rFonts w:hint="eastAsia"/>
          <w:bCs/>
          <w:sz w:val="24"/>
        </w:rPr>
        <w:t>、法律法规或监管机关另有规定的，从其规定。</w:t>
      </w:r>
    </w:p>
    <w:p w:rsidR="00F0328E" w:rsidRDefault="00441AB8">
      <w:pPr>
        <w:spacing w:line="360" w:lineRule="auto"/>
        <w:ind w:firstLineChars="225" w:firstLine="540"/>
        <w:rPr>
          <w:bCs/>
          <w:sz w:val="24"/>
        </w:rPr>
      </w:pPr>
      <w:r>
        <w:rPr>
          <w:rFonts w:hint="eastAsia"/>
          <w:bCs/>
          <w:sz w:val="24"/>
        </w:rPr>
        <w:t>在不违背法律法规及基金合同的规定、且对基金份额持有人利益无实质性不利影响的前提下，基金管理人经与基金托管人协商一致，可在中国证监会允许的条件下调整基金收益的分配原则，不需召开基金份额持有人大会。</w:t>
      </w:r>
    </w:p>
    <w:p w:rsidR="00F0328E" w:rsidRDefault="00441AB8">
      <w:pPr>
        <w:pStyle w:val="21"/>
        <w:rPr>
          <w:rFonts w:ascii="宋体" w:hAnsi="宋体"/>
          <w:szCs w:val="24"/>
        </w:rPr>
      </w:pPr>
      <w:r>
        <w:rPr>
          <w:rFonts w:ascii="宋体" w:hAnsi="宋体" w:hint="eastAsia"/>
          <w:szCs w:val="24"/>
        </w:rPr>
        <w:t>（</w:t>
      </w:r>
      <w:r>
        <w:rPr>
          <w:rFonts w:ascii="宋体" w:hAnsi="宋体"/>
          <w:szCs w:val="24"/>
        </w:rPr>
        <w:t>四</w:t>
      </w:r>
      <w:r>
        <w:rPr>
          <w:rFonts w:ascii="宋体" w:hAnsi="宋体" w:hint="eastAsia"/>
          <w:szCs w:val="24"/>
        </w:rPr>
        <w:t>）</w:t>
      </w:r>
      <w:r>
        <w:rPr>
          <w:rFonts w:ascii="宋体" w:hAnsi="宋体"/>
          <w:szCs w:val="24"/>
        </w:rPr>
        <w:t>收益分配方案</w:t>
      </w:r>
    </w:p>
    <w:p w:rsidR="00F0328E" w:rsidRDefault="00441AB8">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rsidR="00F0328E" w:rsidRDefault="00441AB8">
      <w:pPr>
        <w:pStyle w:val="21"/>
        <w:rPr>
          <w:rFonts w:ascii="宋体" w:hAnsi="宋体"/>
          <w:szCs w:val="24"/>
        </w:rPr>
      </w:pPr>
      <w:r>
        <w:rPr>
          <w:rFonts w:ascii="宋体" w:hAnsi="宋体" w:hint="eastAsia"/>
          <w:szCs w:val="24"/>
        </w:rPr>
        <w:t>（</w:t>
      </w:r>
      <w:r>
        <w:rPr>
          <w:rFonts w:ascii="宋体" w:hAnsi="宋体"/>
          <w:szCs w:val="24"/>
        </w:rPr>
        <w:t>五</w:t>
      </w:r>
      <w:r>
        <w:rPr>
          <w:rFonts w:ascii="宋体" w:hAnsi="宋体" w:hint="eastAsia"/>
          <w:szCs w:val="24"/>
        </w:rPr>
        <w:t>）</w:t>
      </w:r>
      <w:r>
        <w:rPr>
          <w:rFonts w:ascii="宋体" w:hAnsi="宋体"/>
          <w:szCs w:val="24"/>
        </w:rPr>
        <w:t>收益分配方案的确定、公告与实施</w:t>
      </w:r>
    </w:p>
    <w:p w:rsidR="00F0328E" w:rsidRDefault="00441AB8">
      <w:pPr>
        <w:spacing w:line="360" w:lineRule="auto"/>
        <w:ind w:firstLineChars="225" w:firstLine="540"/>
        <w:rPr>
          <w:bCs/>
          <w:sz w:val="24"/>
        </w:rPr>
      </w:pPr>
      <w:r>
        <w:rPr>
          <w:bCs/>
          <w:sz w:val="24"/>
        </w:rPr>
        <w:t>本基金收益分配方案由基金管理人拟定，并由基金托管人复核，</w:t>
      </w:r>
      <w:r>
        <w:rPr>
          <w:rFonts w:hint="eastAsia"/>
          <w:bCs/>
          <w:sz w:val="24"/>
        </w:rPr>
        <w:t>按规定</w:t>
      </w:r>
      <w:r>
        <w:rPr>
          <w:bCs/>
          <w:sz w:val="24"/>
        </w:rPr>
        <w:t>在</w:t>
      </w:r>
      <w:r>
        <w:rPr>
          <w:bCs/>
          <w:sz w:val="24"/>
        </w:rPr>
        <w:lastRenderedPageBreak/>
        <w:t>规定媒介公告。</w:t>
      </w:r>
    </w:p>
    <w:p w:rsidR="00F0328E" w:rsidRDefault="00441AB8">
      <w:pPr>
        <w:pStyle w:val="21"/>
        <w:rPr>
          <w:rFonts w:ascii="宋体" w:hAnsi="宋体"/>
          <w:szCs w:val="24"/>
        </w:rPr>
      </w:pPr>
      <w:r>
        <w:rPr>
          <w:rFonts w:ascii="宋体" w:hAnsi="宋体" w:hint="eastAsia"/>
          <w:szCs w:val="24"/>
        </w:rPr>
        <w:t>（</w:t>
      </w:r>
      <w:r>
        <w:rPr>
          <w:rFonts w:ascii="宋体" w:hAnsi="宋体"/>
          <w:szCs w:val="24"/>
        </w:rPr>
        <w:t>六</w:t>
      </w:r>
      <w:r>
        <w:rPr>
          <w:rFonts w:ascii="宋体" w:hAnsi="宋体" w:hint="eastAsia"/>
          <w:szCs w:val="24"/>
        </w:rPr>
        <w:t>）</w:t>
      </w:r>
      <w:r>
        <w:rPr>
          <w:rFonts w:ascii="宋体" w:hAnsi="宋体"/>
          <w:szCs w:val="24"/>
        </w:rPr>
        <w:t>基金收益分配中发生的费用</w:t>
      </w:r>
    </w:p>
    <w:bookmarkEnd w:id="182"/>
    <w:bookmarkEnd w:id="183"/>
    <w:p w:rsidR="00F0328E" w:rsidRDefault="00441AB8">
      <w:pPr>
        <w:spacing w:line="360" w:lineRule="auto"/>
        <w:ind w:firstLineChars="225" w:firstLine="540"/>
        <w:rPr>
          <w:bCs/>
          <w:sz w:val="24"/>
        </w:rPr>
      </w:pPr>
      <w:r>
        <w:rPr>
          <w:bCs/>
          <w:sz w:val="24"/>
        </w:rPr>
        <w:t>基金收益分配时所发生的银行转账或其他手续费用由投资者自行承担。当投资者</w:t>
      </w:r>
      <w:r>
        <w:rPr>
          <w:rFonts w:hint="eastAsia"/>
          <w:bCs/>
          <w:sz w:val="24"/>
        </w:rPr>
        <w:t>相应类别</w:t>
      </w:r>
      <w:r>
        <w:rPr>
          <w:bCs/>
          <w:sz w:val="24"/>
        </w:rPr>
        <w:t>的现金红利小于一定金额，不足</w:t>
      </w:r>
      <w:r>
        <w:rPr>
          <w:rFonts w:hint="eastAsia"/>
          <w:bCs/>
          <w:sz w:val="24"/>
        </w:rPr>
        <w:t>以</w:t>
      </w:r>
      <w:r>
        <w:rPr>
          <w:bCs/>
          <w:sz w:val="24"/>
        </w:rPr>
        <w:t>支付银行转账或其他手续费用时，</w:t>
      </w:r>
      <w:r w:rsidR="0036216A" w:rsidRPr="0036216A">
        <w:rPr>
          <w:rFonts w:hint="eastAsia"/>
          <w:bCs/>
          <w:sz w:val="24"/>
        </w:rPr>
        <w:t>基金登记机构可将基金份额持有人的现金红利自动转为相应类别的基金份额</w:t>
      </w:r>
      <w:r>
        <w:rPr>
          <w:bCs/>
          <w:sz w:val="24"/>
        </w:rPr>
        <w:t>。红利再投资的计算方法，依照《业务规则》执行。</w:t>
      </w:r>
    </w:p>
    <w:p w:rsidR="00F0328E" w:rsidRDefault="00441AB8">
      <w:pPr>
        <w:spacing w:line="360" w:lineRule="auto"/>
        <w:ind w:firstLineChars="225" w:firstLine="540"/>
        <w:rPr>
          <w:bCs/>
          <w:sz w:val="24"/>
        </w:rPr>
      </w:pPr>
      <w:r>
        <w:rPr>
          <w:rFonts w:hint="eastAsia"/>
          <w:bCs/>
          <w:sz w:val="24"/>
        </w:rPr>
        <w:t>（七）实施侧袋机制期间的收益分配</w:t>
      </w:r>
    </w:p>
    <w:p w:rsidR="00F0328E" w:rsidRDefault="00441AB8">
      <w:pPr>
        <w:spacing w:line="360" w:lineRule="auto"/>
        <w:ind w:firstLineChars="225" w:firstLine="540"/>
        <w:rPr>
          <w:bCs/>
          <w:sz w:val="24"/>
        </w:rPr>
      </w:pPr>
      <w:r>
        <w:rPr>
          <w:rFonts w:hint="eastAsia"/>
          <w:bCs/>
          <w:sz w:val="24"/>
        </w:rPr>
        <w:t>本基金实施侧袋机制的，侧袋账户不进行收益分配，详见招募说明书的规定。</w:t>
      </w:r>
    </w:p>
    <w:p w:rsidR="00F0328E" w:rsidRDefault="00F0328E">
      <w:pPr>
        <w:spacing w:line="360" w:lineRule="auto"/>
        <w:ind w:firstLineChars="225" w:firstLine="540"/>
        <w:rPr>
          <w:bCs/>
          <w:sz w:val="24"/>
        </w:rPr>
      </w:pPr>
    </w:p>
    <w:bookmarkEnd w:id="168"/>
    <w:p w:rsidR="00F0328E" w:rsidRDefault="00441AB8" w:rsidP="00CF65B5">
      <w:pPr>
        <w:pStyle w:val="1"/>
        <w:numPr>
          <w:ilvl w:val="0"/>
          <w:numId w:val="1"/>
        </w:numPr>
        <w:spacing w:before="0" w:afterLines="50" w:after="156" w:line="360" w:lineRule="auto"/>
        <w:rPr>
          <w:rFonts w:ascii="宋体" w:hAnsi="宋体"/>
          <w:sz w:val="24"/>
          <w:szCs w:val="24"/>
        </w:rPr>
      </w:pPr>
      <w:r>
        <w:rPr>
          <w:b w:val="0"/>
          <w:bCs w:val="0"/>
          <w:sz w:val="21"/>
        </w:rPr>
        <w:br w:type="page"/>
      </w:r>
      <w:bookmarkStart w:id="186" w:name="_Toc295832650"/>
      <w:bookmarkStart w:id="187" w:name="_Toc295833017"/>
      <w:bookmarkStart w:id="188" w:name="_Toc295833688"/>
      <w:bookmarkStart w:id="189" w:name="_Toc295832957"/>
      <w:bookmarkStart w:id="190" w:name="_Toc124325894"/>
      <w:bookmarkStart w:id="191" w:name="_Toc270669861"/>
      <w:bookmarkStart w:id="192" w:name="_Toc76720689"/>
      <w:bookmarkEnd w:id="184"/>
      <w:bookmarkEnd w:id="185"/>
      <w:bookmarkEnd w:id="186"/>
      <w:bookmarkEnd w:id="187"/>
      <w:bookmarkEnd w:id="188"/>
      <w:bookmarkEnd w:id="189"/>
      <w:r>
        <w:rPr>
          <w:rFonts w:ascii="宋体" w:hAnsi="宋体" w:hint="eastAsia"/>
          <w:sz w:val="24"/>
          <w:szCs w:val="24"/>
        </w:rPr>
        <w:lastRenderedPageBreak/>
        <w:t>基金信息披露</w:t>
      </w:r>
      <w:bookmarkEnd w:id="190"/>
      <w:bookmarkEnd w:id="191"/>
      <w:bookmarkEnd w:id="192"/>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（一）保密义务</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基金托管人和基金管理人应按法律法规、基金合同的有关规定进行信息披露，拟公开披露的信息在公开披露之前应予保密。除按《基金法》、《信息披露办法》、《流动性风险管理规定》、基金合同及其他有关规定进行信息披露外，基金管理人和基金托管人对基金运作中产生的信息以及从对方获得的业务信息应予保密。但是，如下情况不应视为基金管理人或基金托管人违反保密义务：</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1、非因基金管理人和基金托管人的原因导致保密信息被披露、泄露或公开；</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sz w:val="24"/>
        </w:rPr>
        <w:t>2</w:t>
      </w:r>
      <w:r>
        <w:rPr>
          <w:rFonts w:ascii="宋体" w:hAnsi="宋体" w:cs="Arial" w:hint="eastAsia"/>
          <w:sz w:val="24"/>
        </w:rPr>
        <w:t>、基金管理人和基金托管人为遵守和服从法院判决或裁定、仲裁裁决或中国证监会等监管机构的命令、决定所做出的信息披露或公开。</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（二）信息披露的内容</w:t>
      </w:r>
    </w:p>
    <w:p w:rsidR="00F0328E" w:rsidRDefault="00441AB8" w:rsidP="00250F10">
      <w:pPr>
        <w:adjustRightInd w:val="0"/>
        <w:snapToGrid w:val="0"/>
        <w:spacing w:line="360" w:lineRule="auto"/>
        <w:ind w:firstLineChars="200" w:firstLine="480"/>
        <w:rPr>
          <w:rFonts w:ascii="宋体" w:hAnsi="宋体"/>
          <w:bCs/>
          <w:sz w:val="24"/>
        </w:rPr>
      </w:pPr>
      <w:r>
        <w:rPr>
          <w:rFonts w:ascii="宋体" w:hAnsi="宋体" w:hint="eastAsia"/>
          <w:bCs/>
          <w:sz w:val="24"/>
        </w:rPr>
        <w:t>基金的信息披露内容主要包括基金招募说明书、基金合同、托管协议、基金产品资料概要、基金份额发售公告、基金合同生效公告、基金净值信息、基金份额申购、赎回价格、基金定期报告（包括基金年度报告、基金中期报告和基金季度报告）、临时报告、澄清公告、基金份额持有人大会决议、清算报告、</w:t>
      </w:r>
      <w:r>
        <w:rPr>
          <w:rFonts w:hint="eastAsia"/>
          <w:bCs/>
          <w:sz w:val="24"/>
        </w:rPr>
        <w:t>投资股指期货的信息披露、</w:t>
      </w:r>
      <w:r>
        <w:rPr>
          <w:rFonts w:ascii="宋体" w:hAnsi="宋体" w:hint="eastAsia"/>
          <w:bCs/>
          <w:sz w:val="24"/>
        </w:rPr>
        <w:t>实施侧袋机制期间的信息披露、投资资产支持证券的信息披露、</w:t>
      </w:r>
      <w:r>
        <w:rPr>
          <w:rFonts w:hint="eastAsia"/>
          <w:bCs/>
          <w:sz w:val="24"/>
        </w:rPr>
        <w:t>投资港股通标的股票的信息披露</w:t>
      </w:r>
      <w:r>
        <w:rPr>
          <w:rFonts w:ascii="宋体" w:hAnsi="宋体" w:hint="eastAsia"/>
          <w:bCs/>
          <w:sz w:val="24"/>
        </w:rPr>
        <w:t>、</w:t>
      </w:r>
      <w:r>
        <w:rPr>
          <w:rFonts w:hint="eastAsia"/>
          <w:bCs/>
          <w:sz w:val="24"/>
        </w:rPr>
        <w:t>投资存托凭证</w:t>
      </w:r>
      <w:r>
        <w:rPr>
          <w:rFonts w:ascii="宋体" w:hAnsi="宋体" w:hint="eastAsia"/>
          <w:bCs/>
          <w:sz w:val="24"/>
        </w:rPr>
        <w:t>的信息披露以及中国证监会规定的其他信息。基金年度报告中的财务会计报告需经符合《证券法》规定的会计师事务所审计后，方可披露。</w:t>
      </w:r>
    </w:p>
    <w:p w:rsidR="00F0328E" w:rsidRDefault="00441AB8">
      <w:pPr>
        <w:pStyle w:val="ae"/>
        <w:adjustRightInd w:val="0"/>
        <w:snapToGrid w:val="0"/>
        <w:spacing w:line="360" w:lineRule="auto"/>
        <w:ind w:left="480" w:firstLineChars="0" w:firstLine="0"/>
        <w:rPr>
          <w:rFonts w:ascii="宋体" w:hAnsi="宋体"/>
          <w:bCs/>
          <w:sz w:val="24"/>
        </w:rPr>
      </w:pPr>
      <w:r>
        <w:rPr>
          <w:rFonts w:ascii="宋体" w:hAnsi="宋体" w:hint="eastAsia"/>
          <w:bCs/>
          <w:sz w:val="24"/>
        </w:rPr>
        <w:t>（三）基金托管人和基金管理人在信息披露中的职责和信息披露程序</w:t>
      </w:r>
    </w:p>
    <w:p w:rsidR="00F0328E" w:rsidRDefault="00441AB8">
      <w:pPr>
        <w:adjustRightInd w:val="0"/>
        <w:snapToGrid w:val="0"/>
        <w:spacing w:line="360" w:lineRule="auto"/>
        <w:ind w:firstLineChars="200" w:firstLine="480"/>
        <w:rPr>
          <w:rStyle w:val="read"/>
          <w:rFonts w:ascii="宋体" w:hAnsi="宋体"/>
          <w:sz w:val="24"/>
        </w:rPr>
      </w:pPr>
      <w:r>
        <w:rPr>
          <w:rStyle w:val="read"/>
          <w:rFonts w:ascii="宋体" w:hAnsi="宋体"/>
          <w:sz w:val="24"/>
        </w:rPr>
        <w:t>1</w:t>
      </w:r>
      <w:r>
        <w:rPr>
          <w:rStyle w:val="read"/>
          <w:rFonts w:ascii="宋体" w:hAnsi="宋体" w:hint="eastAsia"/>
          <w:sz w:val="24"/>
        </w:rPr>
        <w:t>、职责</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基金托管人和基金管理人在信息披露过程中应以保护基金份额持有人利益为宗旨，诚实信用，严守秘密。基金管理人负责办理与基金有关的信息披露事宜，基金托管人应当按照相关法律法规和基金合同的约定，对于本章第（二）条规定的事项进行复核，基金托管人复核无误后，由基金管理人予以公布。</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基金管理人和基金托管人应积极配合、互相监督，保证按照法定的方式和时限履行信息披露义务。</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sz w:val="24"/>
        </w:rPr>
        <w:t>本基金信息披露义务人</w:t>
      </w:r>
      <w:r>
        <w:rPr>
          <w:rFonts w:ascii="宋体" w:hAnsi="宋体" w:cs="Arial" w:hint="eastAsia"/>
          <w:sz w:val="24"/>
        </w:rPr>
        <w:t>应当在中国证监会规定的时间内，将应予披露的基金信息通过</w:t>
      </w:r>
      <w:r>
        <w:rPr>
          <w:rFonts w:ascii="宋体" w:hAnsi="宋体" w:hint="eastAsia"/>
          <w:sz w:val="24"/>
        </w:rPr>
        <w:t>中国证监会规定</w:t>
      </w:r>
      <w:r>
        <w:rPr>
          <w:rFonts w:ascii="宋体" w:hAnsi="宋体" w:cs="Arial" w:hint="eastAsia"/>
          <w:sz w:val="24"/>
        </w:rPr>
        <w:t>媒介披露。根据法律法规应由基金托管人公开披露的信</w:t>
      </w:r>
      <w:r>
        <w:rPr>
          <w:rFonts w:ascii="宋体" w:hAnsi="宋体" w:cs="Arial" w:hint="eastAsia"/>
          <w:sz w:val="24"/>
        </w:rPr>
        <w:lastRenderedPageBreak/>
        <w:t>息，基金托管人将通过规定媒介公开披露。</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当出现下述情况时，基金管理人和基金托管人可暂停或延迟披露基金相关信息：</w:t>
      </w:r>
    </w:p>
    <w:p w:rsidR="00F0328E" w:rsidRDefault="00441AB8">
      <w:pPr>
        <w:adjustRightInd w:val="0"/>
        <w:snapToGrid w:val="0"/>
        <w:spacing w:line="360" w:lineRule="auto"/>
        <w:ind w:firstLineChars="200" w:firstLine="480"/>
        <w:rPr>
          <w:rFonts w:ascii="宋体" w:hAnsi="宋体"/>
          <w:bCs/>
          <w:sz w:val="24"/>
        </w:rPr>
      </w:pPr>
      <w:r>
        <w:rPr>
          <w:rFonts w:ascii="宋体" w:hAnsi="宋体" w:hint="eastAsia"/>
          <w:bCs/>
          <w:sz w:val="24"/>
        </w:rPr>
        <w:t>（1）不可抗力或其他情形致使基金管理人、基金托管人无法准确评估基金资产价值时；</w:t>
      </w:r>
    </w:p>
    <w:p w:rsidR="00F0328E" w:rsidRDefault="00441AB8">
      <w:pPr>
        <w:adjustRightInd w:val="0"/>
        <w:snapToGrid w:val="0"/>
        <w:spacing w:line="360" w:lineRule="auto"/>
        <w:ind w:firstLineChars="200" w:firstLine="480"/>
        <w:rPr>
          <w:rFonts w:ascii="宋体" w:hAnsi="宋体"/>
          <w:bCs/>
          <w:sz w:val="24"/>
        </w:rPr>
      </w:pPr>
      <w:r>
        <w:rPr>
          <w:rFonts w:ascii="宋体" w:hAnsi="宋体" w:hint="eastAsia"/>
          <w:bCs/>
          <w:sz w:val="24"/>
        </w:rPr>
        <w:t>（2）基金投资所涉及的证券、期货交易市场遇法定节假日或因其他原因暂停营业或港股通临时停市时；</w:t>
      </w:r>
    </w:p>
    <w:p w:rsidR="00F0328E" w:rsidRDefault="00441AB8">
      <w:pPr>
        <w:adjustRightInd w:val="0"/>
        <w:snapToGrid w:val="0"/>
        <w:spacing w:line="360" w:lineRule="auto"/>
        <w:ind w:firstLineChars="200" w:firstLine="480"/>
        <w:rPr>
          <w:rFonts w:ascii="宋体" w:hAnsi="宋体"/>
          <w:bCs/>
          <w:sz w:val="24"/>
        </w:rPr>
      </w:pPr>
      <w:r>
        <w:rPr>
          <w:rFonts w:ascii="宋体" w:hAnsi="宋体" w:hint="eastAsia"/>
          <w:bCs/>
          <w:sz w:val="24"/>
        </w:rPr>
        <w:t>（3）出现基金管理人认为属于会导致基金管理人不能出售或评估基金资产的紧急事故的任何情况；</w:t>
      </w:r>
    </w:p>
    <w:p w:rsidR="00F0328E" w:rsidRDefault="00441AB8">
      <w:pPr>
        <w:adjustRightInd w:val="0"/>
        <w:snapToGrid w:val="0"/>
        <w:spacing w:line="360" w:lineRule="auto"/>
        <w:ind w:firstLineChars="200" w:firstLine="480"/>
        <w:rPr>
          <w:rFonts w:ascii="宋体" w:hAnsi="宋体"/>
          <w:bCs/>
          <w:sz w:val="24"/>
        </w:rPr>
      </w:pPr>
      <w:r>
        <w:rPr>
          <w:rFonts w:ascii="宋体" w:hAnsi="宋体" w:hint="eastAsia"/>
          <w:bCs/>
          <w:sz w:val="24"/>
        </w:rPr>
        <w:t>（4）出现法律法规、中国证监会规定或基金合同约定的暂停估值的情形。</w:t>
      </w:r>
    </w:p>
    <w:p w:rsidR="00F0328E" w:rsidRDefault="00F0328E">
      <w:pPr>
        <w:adjustRightInd w:val="0"/>
        <w:snapToGrid w:val="0"/>
        <w:spacing w:line="360" w:lineRule="auto"/>
        <w:ind w:firstLineChars="200" w:firstLine="480"/>
        <w:rPr>
          <w:rFonts w:ascii="宋体" w:hAnsi="宋体"/>
          <w:bCs/>
          <w:sz w:val="24"/>
        </w:rPr>
      </w:pP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2、程序</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按有关规定须经基金托管人复核的信息披露文件，由基金管理人起草、并经基金托管人复核后由基金管理人公告。发生基金合同中规定需要披露的事项时，按基金合同规定公布。</w:t>
      </w:r>
    </w:p>
    <w:p w:rsidR="00F0328E" w:rsidRDefault="00441AB8">
      <w:pPr>
        <w:adjustRightInd w:val="0"/>
        <w:snapToGrid w:val="0"/>
        <w:spacing w:line="360" w:lineRule="auto"/>
        <w:ind w:firstLineChars="200" w:firstLine="480"/>
        <w:rPr>
          <w:rStyle w:val="read"/>
          <w:rFonts w:ascii="宋体" w:hAnsi="宋体"/>
          <w:sz w:val="24"/>
        </w:rPr>
      </w:pPr>
      <w:r>
        <w:rPr>
          <w:rStyle w:val="read"/>
          <w:rFonts w:ascii="宋体" w:hAnsi="宋体"/>
          <w:sz w:val="24"/>
        </w:rPr>
        <w:t>3</w:t>
      </w:r>
      <w:r>
        <w:rPr>
          <w:rStyle w:val="read"/>
          <w:rFonts w:ascii="宋体" w:hAnsi="宋体" w:hint="eastAsia"/>
          <w:sz w:val="24"/>
        </w:rPr>
        <w:t>、信息文本的存放</w:t>
      </w:r>
    </w:p>
    <w:p w:rsidR="00F0328E" w:rsidRDefault="00441AB8">
      <w:pPr>
        <w:pStyle w:val="a3"/>
        <w:adjustRightInd w:val="0"/>
        <w:snapToGrid w:val="0"/>
        <w:spacing w:line="360" w:lineRule="auto"/>
        <w:ind w:firstLineChars="200" w:firstLine="480"/>
        <w:rPr>
          <w:rFonts w:ascii="宋体" w:hAnsi="宋体" w:cs="Arial"/>
          <w:sz w:val="24"/>
          <w:szCs w:val="24"/>
        </w:rPr>
      </w:pPr>
      <w:r>
        <w:rPr>
          <w:rFonts w:ascii="宋体" w:hAnsi="宋体" w:cs="Arial" w:hint="eastAsia"/>
          <w:sz w:val="24"/>
          <w:szCs w:val="24"/>
        </w:rPr>
        <w:t>依法必须披露的信息发布后，基金管理人、基金托管人应当按照相关法律法规规定将信息置备于各自住所，供社会公众查阅、复制。投资者在支付工本费后可在合理时间获得上述文件的复制件或复印件。基金管理人和基金托管人应保证文本的内容与所公告的内容完全一致。</w:t>
      </w:r>
    </w:p>
    <w:p w:rsidR="00F0328E" w:rsidRDefault="00441AB8">
      <w:pPr>
        <w:pStyle w:val="a3"/>
        <w:adjustRightInd w:val="0"/>
        <w:snapToGrid w:val="0"/>
        <w:spacing w:line="360" w:lineRule="auto"/>
        <w:ind w:firstLineChars="200" w:firstLine="480"/>
        <w:rPr>
          <w:rFonts w:ascii="宋体" w:hAnsi="宋体"/>
        </w:rPr>
      </w:pPr>
      <w:r>
        <w:rPr>
          <w:rFonts w:ascii="宋体" w:hAnsi="宋体" w:cs="Arial"/>
          <w:sz w:val="24"/>
          <w:szCs w:val="24"/>
        </w:rPr>
        <w:t>4</w:t>
      </w:r>
      <w:r>
        <w:rPr>
          <w:rFonts w:ascii="宋体" w:hAnsi="宋体" w:cs="Arial" w:hint="eastAsia"/>
          <w:sz w:val="24"/>
          <w:szCs w:val="24"/>
        </w:rPr>
        <w:t>、基金托管人应按《基金法》、《运作办法》、《信息披露办法》和其他有关法律法规的规定于每个上半年度结束后两个月内、每年结束后三个月内在基金中期报告及年度报告中分别出具基金托管人报告。</w:t>
      </w:r>
    </w:p>
    <w:p w:rsidR="00F0328E" w:rsidRDefault="00441AB8" w:rsidP="00CF65B5">
      <w:pPr>
        <w:pStyle w:val="1"/>
        <w:numPr>
          <w:ilvl w:val="0"/>
          <w:numId w:val="1"/>
        </w:numPr>
        <w:spacing w:before="0" w:afterLines="50" w:after="156" w:line="360" w:lineRule="auto"/>
        <w:rPr>
          <w:rFonts w:ascii="宋体" w:hAnsi="宋体"/>
          <w:sz w:val="24"/>
          <w:szCs w:val="24"/>
        </w:rPr>
      </w:pPr>
      <w:r>
        <w:rPr>
          <w:rFonts w:ascii="宋体" w:hAnsi="宋体" w:cs="Arial"/>
          <w:sz w:val="24"/>
          <w:szCs w:val="24"/>
        </w:rPr>
        <w:br w:type="page"/>
      </w:r>
      <w:bookmarkStart w:id="193" w:name="_Toc295832959"/>
      <w:bookmarkStart w:id="194" w:name="_Toc295833690"/>
      <w:bookmarkStart w:id="195" w:name="_Toc295832652"/>
      <w:bookmarkStart w:id="196" w:name="_Toc295833019"/>
      <w:bookmarkStart w:id="197" w:name="_Toc270669862"/>
      <w:bookmarkStart w:id="198" w:name="_Toc124325895"/>
      <w:bookmarkStart w:id="199" w:name="_Toc76720690"/>
      <w:bookmarkStart w:id="200" w:name="_Hlk33619223"/>
      <w:bookmarkEnd w:id="193"/>
      <w:bookmarkEnd w:id="194"/>
      <w:bookmarkEnd w:id="195"/>
      <w:bookmarkEnd w:id="196"/>
      <w:r>
        <w:rPr>
          <w:rFonts w:ascii="宋体" w:hAnsi="宋体" w:hint="eastAsia"/>
          <w:sz w:val="24"/>
          <w:szCs w:val="24"/>
        </w:rPr>
        <w:lastRenderedPageBreak/>
        <w:t>基金费用</w:t>
      </w:r>
      <w:bookmarkEnd w:id="197"/>
      <w:bookmarkEnd w:id="198"/>
      <w:bookmarkEnd w:id="199"/>
    </w:p>
    <w:p w:rsidR="00F0328E" w:rsidRDefault="00441AB8">
      <w:pPr>
        <w:spacing w:line="360" w:lineRule="auto"/>
        <w:ind w:firstLineChars="200" w:firstLine="480"/>
        <w:rPr>
          <w:rFonts w:ascii="宋体" w:hAnsi="宋体"/>
          <w:bCs/>
          <w:sz w:val="24"/>
        </w:rPr>
      </w:pPr>
      <w:bookmarkStart w:id="201" w:name="OLE_LINK12"/>
      <w:r>
        <w:rPr>
          <w:rFonts w:ascii="宋体" w:hAnsi="宋体" w:hint="eastAsia"/>
          <w:bCs/>
          <w:sz w:val="24"/>
        </w:rPr>
        <w:t>（一）基金管理费的计提比例和计提方法</w:t>
      </w:r>
    </w:p>
    <w:p w:rsidR="00F0328E" w:rsidRDefault="00441AB8">
      <w:pPr>
        <w:spacing w:line="360" w:lineRule="auto"/>
        <w:ind w:firstLineChars="200" w:firstLine="480"/>
        <w:rPr>
          <w:rFonts w:ascii="宋体" w:hAnsi="宋体"/>
          <w:bCs/>
          <w:sz w:val="24"/>
        </w:rPr>
      </w:pPr>
      <w:r>
        <w:rPr>
          <w:rFonts w:ascii="宋体" w:hAnsi="宋体"/>
          <w:bCs/>
          <w:sz w:val="24"/>
        </w:rPr>
        <w:t>本基金的管理费按前一日基金资产净值的1.50%年费率计提。管理费的计算方法如下：</w:t>
      </w:r>
    </w:p>
    <w:p w:rsidR="00F0328E" w:rsidRDefault="00441AB8">
      <w:pPr>
        <w:spacing w:line="360" w:lineRule="auto"/>
        <w:ind w:firstLineChars="200" w:firstLine="480"/>
        <w:rPr>
          <w:rFonts w:ascii="宋体" w:hAnsi="宋体"/>
          <w:bCs/>
          <w:sz w:val="24"/>
        </w:rPr>
      </w:pPr>
      <w:r>
        <w:rPr>
          <w:rFonts w:ascii="宋体" w:hAnsi="宋体"/>
          <w:bCs/>
          <w:sz w:val="24"/>
        </w:rPr>
        <w:t>H＝E×1.50%÷当年天数</w:t>
      </w:r>
    </w:p>
    <w:p w:rsidR="00F0328E" w:rsidRDefault="00441AB8">
      <w:pPr>
        <w:spacing w:line="360" w:lineRule="auto"/>
        <w:ind w:firstLineChars="200" w:firstLine="480"/>
        <w:rPr>
          <w:rFonts w:ascii="宋体" w:hAnsi="宋体"/>
          <w:bCs/>
          <w:sz w:val="24"/>
        </w:rPr>
      </w:pPr>
      <w:r>
        <w:rPr>
          <w:rFonts w:ascii="宋体" w:hAnsi="宋体"/>
          <w:bCs/>
          <w:sz w:val="24"/>
        </w:rPr>
        <w:t>H为每日应计提的基金管理费</w:t>
      </w:r>
    </w:p>
    <w:p w:rsidR="00F0328E" w:rsidRDefault="00441AB8">
      <w:pPr>
        <w:spacing w:line="360" w:lineRule="auto"/>
        <w:ind w:firstLineChars="200" w:firstLine="480"/>
        <w:rPr>
          <w:rFonts w:ascii="宋体" w:hAnsi="宋体"/>
          <w:bCs/>
          <w:sz w:val="24"/>
        </w:rPr>
      </w:pPr>
      <w:r>
        <w:rPr>
          <w:rFonts w:ascii="宋体" w:hAnsi="宋体"/>
          <w:bCs/>
          <w:sz w:val="24"/>
        </w:rPr>
        <w:t>E为前一日的基金资产净值</w:t>
      </w:r>
    </w:p>
    <w:p w:rsidR="00F0328E" w:rsidRDefault="00441AB8">
      <w:pPr>
        <w:spacing w:line="360" w:lineRule="auto"/>
        <w:ind w:firstLineChars="200" w:firstLine="480"/>
        <w:rPr>
          <w:rFonts w:ascii="宋体" w:hAnsi="宋体"/>
          <w:bCs/>
          <w:sz w:val="24"/>
        </w:rPr>
      </w:pPr>
      <w:r>
        <w:rPr>
          <w:rFonts w:ascii="宋体" w:hAnsi="宋体" w:hint="eastAsia"/>
          <w:bCs/>
          <w:sz w:val="24"/>
        </w:rPr>
        <w:t>（二）基金托管费的计提比例和计提方法</w:t>
      </w:r>
    </w:p>
    <w:p w:rsidR="00F0328E" w:rsidRDefault="00441AB8">
      <w:pPr>
        <w:spacing w:line="360" w:lineRule="auto"/>
        <w:ind w:firstLineChars="200" w:firstLine="480"/>
        <w:rPr>
          <w:rFonts w:ascii="宋体" w:hAnsi="宋体"/>
          <w:bCs/>
          <w:sz w:val="24"/>
        </w:rPr>
      </w:pPr>
      <w:r>
        <w:rPr>
          <w:rFonts w:ascii="宋体" w:hAnsi="宋体"/>
          <w:bCs/>
          <w:sz w:val="24"/>
        </w:rPr>
        <w:t>本基金的托管费按前一日基金资产净值的0.25%的年费率计提。托管费的计算方法如下：</w:t>
      </w:r>
    </w:p>
    <w:p w:rsidR="00F0328E" w:rsidRDefault="00441AB8">
      <w:pPr>
        <w:spacing w:line="360" w:lineRule="auto"/>
        <w:ind w:firstLineChars="200" w:firstLine="480"/>
        <w:rPr>
          <w:rFonts w:ascii="宋体" w:hAnsi="宋体"/>
          <w:bCs/>
          <w:sz w:val="24"/>
        </w:rPr>
      </w:pPr>
      <w:r>
        <w:rPr>
          <w:rFonts w:ascii="宋体" w:hAnsi="宋体"/>
          <w:bCs/>
          <w:sz w:val="24"/>
        </w:rPr>
        <w:t>H＝E×0.25%÷当年天数</w:t>
      </w:r>
    </w:p>
    <w:p w:rsidR="00F0328E" w:rsidRDefault="00441AB8">
      <w:pPr>
        <w:spacing w:line="360" w:lineRule="auto"/>
        <w:ind w:firstLineChars="200" w:firstLine="480"/>
        <w:rPr>
          <w:rFonts w:ascii="宋体" w:hAnsi="宋体"/>
          <w:bCs/>
          <w:sz w:val="24"/>
        </w:rPr>
      </w:pPr>
      <w:r>
        <w:rPr>
          <w:rFonts w:ascii="宋体" w:hAnsi="宋体"/>
          <w:bCs/>
          <w:sz w:val="24"/>
        </w:rPr>
        <w:t>H为每日应计提的基金托管费</w:t>
      </w:r>
    </w:p>
    <w:p w:rsidR="00F0328E" w:rsidRDefault="00441AB8">
      <w:pPr>
        <w:spacing w:line="360" w:lineRule="auto"/>
        <w:ind w:firstLineChars="200" w:firstLine="480"/>
        <w:rPr>
          <w:rFonts w:ascii="宋体" w:hAnsi="宋体"/>
          <w:bCs/>
          <w:sz w:val="24"/>
        </w:rPr>
      </w:pPr>
      <w:r>
        <w:rPr>
          <w:rFonts w:ascii="宋体" w:hAnsi="宋体"/>
          <w:bCs/>
          <w:sz w:val="24"/>
        </w:rPr>
        <w:t>E为前一日的基金资产净值</w:t>
      </w:r>
    </w:p>
    <w:p w:rsidR="00F0328E" w:rsidRDefault="00441AB8">
      <w:pPr>
        <w:spacing w:line="360" w:lineRule="auto"/>
        <w:ind w:firstLineChars="200" w:firstLine="480"/>
        <w:rPr>
          <w:rFonts w:ascii="宋体" w:hAnsi="宋体"/>
          <w:bCs/>
          <w:sz w:val="24"/>
        </w:rPr>
      </w:pPr>
      <w:r>
        <w:rPr>
          <w:rFonts w:ascii="宋体" w:hAnsi="宋体" w:hint="eastAsia"/>
          <w:bCs/>
          <w:sz w:val="24"/>
        </w:rPr>
        <w:t>（三）基金</w:t>
      </w:r>
      <w:r>
        <w:rPr>
          <w:rFonts w:ascii="宋体" w:hAnsi="宋体"/>
          <w:bCs/>
          <w:sz w:val="24"/>
        </w:rPr>
        <w:t>销售服务费的计提比例和计提方式</w:t>
      </w:r>
    </w:p>
    <w:p w:rsidR="00F0328E" w:rsidRDefault="00441AB8">
      <w:pPr>
        <w:spacing w:line="360" w:lineRule="auto"/>
        <w:ind w:firstLineChars="200" w:firstLine="480"/>
        <w:rPr>
          <w:rFonts w:ascii="宋体" w:hAnsi="宋体"/>
          <w:bCs/>
          <w:sz w:val="24"/>
        </w:rPr>
      </w:pPr>
      <w:r>
        <w:rPr>
          <w:rFonts w:ascii="宋体" w:hAnsi="宋体" w:hint="eastAsia"/>
          <w:bCs/>
          <w:sz w:val="24"/>
        </w:rPr>
        <w:t>本基金A类基金份额不收取销售服务费，C类基金份额收取销售服务费</w:t>
      </w:r>
      <w:r>
        <w:rPr>
          <w:rFonts w:hint="eastAsia"/>
          <w:bCs/>
          <w:sz w:val="24"/>
        </w:rPr>
        <w:t>为</w:t>
      </w:r>
      <w:r>
        <w:rPr>
          <w:rFonts w:hint="eastAsia"/>
          <w:bCs/>
          <w:sz w:val="24"/>
        </w:rPr>
        <w:t>0.40%</w:t>
      </w:r>
      <w:r>
        <w:rPr>
          <w:rFonts w:ascii="宋体" w:hAnsi="宋体" w:hint="eastAsia"/>
          <w:bCs/>
          <w:sz w:val="24"/>
        </w:rPr>
        <w:t>。</w:t>
      </w:r>
    </w:p>
    <w:p w:rsidR="00F0328E" w:rsidRDefault="00441AB8">
      <w:pPr>
        <w:autoSpaceDE w:val="0"/>
        <w:autoSpaceDN w:val="0"/>
        <w:spacing w:line="360" w:lineRule="auto"/>
        <w:ind w:firstLineChars="200" w:firstLine="480"/>
        <w:textAlignment w:val="bottom"/>
        <w:rPr>
          <w:rFonts w:ascii="宋体" w:hAnsi="宋体"/>
          <w:bCs/>
          <w:sz w:val="24"/>
        </w:rPr>
      </w:pPr>
      <w:r>
        <w:rPr>
          <w:rFonts w:ascii="宋体" w:hAnsi="宋体" w:hint="eastAsia"/>
          <w:bCs/>
          <w:sz w:val="24"/>
        </w:rPr>
        <w:t>本基金销售服务费将专门用于本基金的销售与基金份额持有人服务。销售服务费按前一日C类基金份额的基金资产净值的0.40%的年费率计提。销售服务费的计算方法如下：</w:t>
      </w:r>
    </w:p>
    <w:p w:rsidR="00F0328E" w:rsidRDefault="00441AB8">
      <w:pPr>
        <w:autoSpaceDE w:val="0"/>
        <w:autoSpaceDN w:val="0"/>
        <w:spacing w:line="360" w:lineRule="auto"/>
        <w:ind w:firstLineChars="200" w:firstLine="480"/>
        <w:textAlignment w:val="bottom"/>
        <w:rPr>
          <w:rFonts w:ascii="宋体" w:hAnsi="宋体"/>
          <w:bCs/>
          <w:sz w:val="24"/>
        </w:rPr>
      </w:pPr>
      <w:r>
        <w:rPr>
          <w:rFonts w:ascii="宋体" w:hAnsi="宋体"/>
          <w:bCs/>
          <w:sz w:val="24"/>
        </w:rPr>
        <w:t>H</w:t>
      </w:r>
      <w:r>
        <w:rPr>
          <w:rFonts w:ascii="宋体" w:hAnsi="宋体" w:hint="eastAsia"/>
          <w:bCs/>
          <w:sz w:val="24"/>
        </w:rPr>
        <w:t>＝</w:t>
      </w:r>
      <w:r>
        <w:rPr>
          <w:bCs/>
          <w:sz w:val="24"/>
        </w:rPr>
        <w:t>E</w:t>
      </w:r>
      <w:r>
        <w:rPr>
          <w:rFonts w:ascii="宋体" w:hAnsi="宋体" w:hint="eastAsia"/>
          <w:bCs/>
          <w:sz w:val="24"/>
        </w:rPr>
        <w:t>×0</w:t>
      </w:r>
      <w:r>
        <w:rPr>
          <w:rFonts w:ascii="宋体" w:hAnsi="宋体"/>
          <w:bCs/>
          <w:sz w:val="24"/>
        </w:rPr>
        <w:t>.40%</w:t>
      </w:r>
      <w:r>
        <w:rPr>
          <w:rFonts w:ascii="宋体" w:hAnsi="宋体" w:hint="eastAsia"/>
          <w:bCs/>
          <w:sz w:val="24"/>
        </w:rPr>
        <w:t>÷当年天数</w:t>
      </w:r>
    </w:p>
    <w:p w:rsidR="00F0328E" w:rsidRDefault="00441AB8">
      <w:pPr>
        <w:autoSpaceDE w:val="0"/>
        <w:autoSpaceDN w:val="0"/>
        <w:spacing w:line="360" w:lineRule="auto"/>
        <w:ind w:firstLineChars="200" w:firstLine="480"/>
        <w:textAlignment w:val="bottom"/>
        <w:rPr>
          <w:rFonts w:ascii="宋体" w:hAnsi="宋体"/>
          <w:bCs/>
          <w:sz w:val="24"/>
        </w:rPr>
      </w:pPr>
      <w:r>
        <w:rPr>
          <w:rFonts w:ascii="宋体" w:hAnsi="宋体"/>
          <w:bCs/>
          <w:sz w:val="24"/>
        </w:rPr>
        <w:t>H</w:t>
      </w:r>
      <w:r>
        <w:rPr>
          <w:rFonts w:ascii="宋体" w:hAnsi="宋体" w:hint="eastAsia"/>
          <w:bCs/>
          <w:sz w:val="24"/>
        </w:rPr>
        <w:t>为C类基金</w:t>
      </w:r>
      <w:r>
        <w:rPr>
          <w:rFonts w:ascii="宋体" w:hAnsi="宋体"/>
          <w:bCs/>
          <w:sz w:val="24"/>
        </w:rPr>
        <w:t>份额</w:t>
      </w:r>
      <w:r>
        <w:rPr>
          <w:rFonts w:ascii="宋体" w:hAnsi="宋体" w:hint="eastAsia"/>
          <w:bCs/>
          <w:sz w:val="24"/>
        </w:rPr>
        <w:t>每日应计提的销售服务费</w:t>
      </w:r>
    </w:p>
    <w:p w:rsidR="00F0328E" w:rsidRDefault="00441AB8">
      <w:pPr>
        <w:autoSpaceDE w:val="0"/>
        <w:autoSpaceDN w:val="0"/>
        <w:spacing w:line="360" w:lineRule="auto"/>
        <w:ind w:firstLineChars="200" w:firstLine="480"/>
        <w:textAlignment w:val="bottom"/>
        <w:rPr>
          <w:rFonts w:ascii="宋体" w:hAnsi="宋体"/>
          <w:bCs/>
          <w:sz w:val="24"/>
        </w:rPr>
      </w:pPr>
      <w:r>
        <w:rPr>
          <w:rFonts w:ascii="宋体" w:hAnsi="宋体"/>
          <w:bCs/>
          <w:sz w:val="24"/>
        </w:rPr>
        <w:t>E</w:t>
      </w:r>
      <w:r>
        <w:rPr>
          <w:rFonts w:ascii="宋体" w:hAnsi="宋体" w:hint="eastAsia"/>
          <w:bCs/>
          <w:sz w:val="24"/>
        </w:rPr>
        <w:t>为C类基金</w:t>
      </w:r>
      <w:r>
        <w:rPr>
          <w:rFonts w:ascii="宋体" w:hAnsi="宋体"/>
          <w:bCs/>
          <w:sz w:val="24"/>
        </w:rPr>
        <w:t>份额</w:t>
      </w:r>
      <w:r>
        <w:rPr>
          <w:rFonts w:ascii="宋体" w:hAnsi="宋体" w:hint="eastAsia"/>
          <w:bCs/>
          <w:sz w:val="24"/>
        </w:rPr>
        <w:t>前一日基金资产净值</w:t>
      </w:r>
    </w:p>
    <w:p w:rsidR="00F0328E" w:rsidRDefault="00441AB8">
      <w:pPr>
        <w:spacing w:line="360" w:lineRule="auto"/>
        <w:ind w:firstLineChars="200" w:firstLine="480"/>
        <w:rPr>
          <w:rFonts w:ascii="宋体" w:hAnsi="宋体"/>
          <w:bCs/>
          <w:sz w:val="24"/>
        </w:rPr>
      </w:pPr>
      <w:r>
        <w:rPr>
          <w:rFonts w:ascii="宋体" w:hAnsi="宋体" w:hint="eastAsia"/>
          <w:bCs/>
          <w:sz w:val="24"/>
        </w:rPr>
        <w:t>（四）基金相关账户开户及维护费用、证券/期货交易费用、基金财产划拨支付的银行费用、基金合同生效后与基金相关的信息披露费用、基金份额持有人大会费用、基金合同生效后与基金有关的会计师费、律师费、仲裁费和诉讼费等根据有关法律法规、基金合同及相应协议的规定，列入当期基金费用。</w:t>
      </w:r>
    </w:p>
    <w:p w:rsidR="00F0328E" w:rsidRDefault="00441AB8">
      <w:pPr>
        <w:spacing w:line="360" w:lineRule="auto"/>
        <w:ind w:firstLineChars="200" w:firstLine="480"/>
        <w:rPr>
          <w:rFonts w:ascii="宋体" w:hAnsi="宋体"/>
          <w:bCs/>
          <w:sz w:val="24"/>
        </w:rPr>
      </w:pPr>
      <w:r>
        <w:rPr>
          <w:rFonts w:ascii="宋体" w:hAnsi="宋体" w:hint="eastAsia"/>
          <w:bCs/>
          <w:sz w:val="24"/>
        </w:rPr>
        <w:t>（五）不列入基金费用的项目</w:t>
      </w:r>
    </w:p>
    <w:p w:rsidR="00F0328E" w:rsidRDefault="00441AB8">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rsidR="00F0328E" w:rsidRDefault="00441AB8">
      <w:pPr>
        <w:spacing w:line="360" w:lineRule="auto"/>
        <w:ind w:firstLineChars="200" w:firstLine="480"/>
        <w:rPr>
          <w:bCs/>
          <w:sz w:val="24"/>
        </w:rPr>
      </w:pPr>
      <w:r>
        <w:rPr>
          <w:bCs/>
          <w:sz w:val="24"/>
        </w:rPr>
        <w:lastRenderedPageBreak/>
        <w:t>2</w:t>
      </w:r>
      <w:r>
        <w:rPr>
          <w:bCs/>
          <w:sz w:val="24"/>
        </w:rPr>
        <w:t>、基金管理人和基金托管人处理与基金运作无关的事项发生的费用；</w:t>
      </w:r>
    </w:p>
    <w:p w:rsidR="00F0328E" w:rsidRDefault="00441AB8">
      <w:pPr>
        <w:spacing w:line="360" w:lineRule="auto"/>
        <w:ind w:firstLineChars="200" w:firstLine="480"/>
        <w:rPr>
          <w:bCs/>
          <w:sz w:val="24"/>
        </w:rPr>
      </w:pPr>
      <w:r>
        <w:rPr>
          <w:bCs/>
          <w:sz w:val="24"/>
        </w:rPr>
        <w:t>3</w:t>
      </w:r>
      <w:r>
        <w:rPr>
          <w:bCs/>
          <w:sz w:val="24"/>
        </w:rPr>
        <w:t>、基金合同生效前的相关费用；</w:t>
      </w:r>
    </w:p>
    <w:p w:rsidR="00F0328E" w:rsidRDefault="00441AB8">
      <w:pPr>
        <w:spacing w:line="360" w:lineRule="auto"/>
        <w:ind w:firstLineChars="200" w:firstLine="480"/>
        <w:rPr>
          <w:bCs/>
          <w:sz w:val="24"/>
        </w:rPr>
      </w:pPr>
      <w:r>
        <w:rPr>
          <w:bCs/>
          <w:sz w:val="24"/>
        </w:rPr>
        <w:t>4</w:t>
      </w:r>
      <w:r>
        <w:rPr>
          <w:bCs/>
          <w:sz w:val="24"/>
        </w:rPr>
        <w:t>、其他根据相关法律法规及中国证监会的有关规定不得列入基金费用的项目。</w:t>
      </w:r>
      <w:bookmarkStart w:id="202" w:name="_Hlt88827255"/>
      <w:bookmarkEnd w:id="202"/>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（六）本基金运作前产生的可以从基金财产中列支的相关费用由基金管理人垫付，运作后由基金管理人向基金托管人发送划付指令，经基金托管人复核后从基金资产中一次性支付给基金管理人。</w:t>
      </w:r>
    </w:p>
    <w:p w:rsidR="00F0328E" w:rsidRDefault="00441AB8">
      <w:pPr>
        <w:adjustRightInd w:val="0"/>
        <w:snapToGrid w:val="0"/>
        <w:spacing w:line="360" w:lineRule="auto"/>
        <w:ind w:left="480"/>
        <w:rPr>
          <w:rFonts w:ascii="宋体" w:hAnsi="宋体" w:cs="Arial"/>
          <w:sz w:val="24"/>
        </w:rPr>
      </w:pPr>
      <w:r>
        <w:rPr>
          <w:rFonts w:ascii="宋体" w:hAnsi="宋体" w:cs="Arial" w:hint="eastAsia"/>
          <w:sz w:val="24"/>
        </w:rPr>
        <w:t>（七）基金管理费、基金托管费、销售服务费的复核程序、支付方式和时间</w:t>
      </w:r>
    </w:p>
    <w:p w:rsidR="00F0328E" w:rsidRDefault="00441AB8">
      <w:pPr>
        <w:adjustRightInd w:val="0"/>
        <w:snapToGrid w:val="0"/>
        <w:spacing w:line="360" w:lineRule="auto"/>
        <w:ind w:left="480"/>
        <w:rPr>
          <w:rStyle w:val="read"/>
          <w:rFonts w:ascii="宋体" w:hAnsi="宋体"/>
          <w:sz w:val="24"/>
        </w:rPr>
      </w:pPr>
      <w:r>
        <w:rPr>
          <w:rStyle w:val="read"/>
          <w:rFonts w:ascii="宋体" w:hAnsi="宋体" w:hint="eastAsia"/>
          <w:sz w:val="24"/>
        </w:rPr>
        <w:t>1、复核程序</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基金托管人对基金管理人计提的基金管理费、基金托管费、销售服务费等，根据本托管协议和基金合同的有关规定进行复核。</w:t>
      </w:r>
    </w:p>
    <w:p w:rsidR="00F0328E" w:rsidRDefault="00441AB8">
      <w:pPr>
        <w:pStyle w:val="ae"/>
        <w:numPr>
          <w:ilvl w:val="0"/>
          <w:numId w:val="6"/>
        </w:numPr>
        <w:adjustRightInd w:val="0"/>
        <w:snapToGrid w:val="0"/>
        <w:spacing w:line="360" w:lineRule="auto"/>
        <w:ind w:firstLineChars="0"/>
        <w:rPr>
          <w:rStyle w:val="read"/>
          <w:rFonts w:ascii="宋体" w:hAnsi="宋体"/>
          <w:sz w:val="24"/>
        </w:rPr>
      </w:pPr>
      <w:r>
        <w:rPr>
          <w:rStyle w:val="read"/>
          <w:rFonts w:ascii="宋体" w:hAnsi="宋体" w:hint="eastAsia"/>
          <w:sz w:val="24"/>
        </w:rPr>
        <w:t>支付方式和时间</w:t>
      </w:r>
    </w:p>
    <w:p w:rsidR="00F0328E" w:rsidRDefault="00441AB8">
      <w:pPr>
        <w:pStyle w:val="a4"/>
        <w:spacing w:line="360" w:lineRule="auto"/>
        <w:ind w:firstLineChars="200" w:firstLine="480"/>
        <w:jc w:val="both"/>
        <w:rPr>
          <w:bCs/>
          <w:sz w:val="24"/>
        </w:rPr>
      </w:pPr>
      <w:r>
        <w:rPr>
          <w:rFonts w:hint="eastAsia"/>
          <w:bCs/>
          <w:sz w:val="24"/>
        </w:rPr>
        <w:t>基金管理费每日计算，逐日累计至每月月末，按月支付，经基金管理人与基金托管人双方核对无误后，基金托管人按照与基金管理人协商一致的方式于次月前</w:t>
      </w:r>
      <w:r>
        <w:rPr>
          <w:rFonts w:hint="eastAsia"/>
          <w:bCs/>
          <w:sz w:val="24"/>
        </w:rPr>
        <w:t>5</w:t>
      </w:r>
      <w:r>
        <w:rPr>
          <w:rFonts w:hint="eastAsia"/>
          <w:bCs/>
          <w:sz w:val="24"/>
        </w:rPr>
        <w:t>个工作日内从基金财产中一次性支付给基金管理人。若遇法定节假日、公休假等，支付日期顺延。</w:t>
      </w:r>
    </w:p>
    <w:p w:rsidR="00F0328E" w:rsidRDefault="00441AB8">
      <w:pPr>
        <w:pStyle w:val="a4"/>
        <w:spacing w:line="360" w:lineRule="auto"/>
        <w:ind w:firstLineChars="200" w:firstLine="480"/>
        <w:jc w:val="both"/>
        <w:rPr>
          <w:bCs/>
          <w:sz w:val="24"/>
        </w:rPr>
      </w:pPr>
      <w:r>
        <w:rPr>
          <w:rFonts w:hint="eastAsia"/>
          <w:bCs/>
          <w:sz w:val="24"/>
        </w:rPr>
        <w:t>基金托管费每日计算，逐日累计至每月月末，按月支付，经基金管理人与基金托管人双方核对无误后，基金托管人按照与基金管理人协商一致的方式于次月前</w:t>
      </w:r>
      <w:r>
        <w:rPr>
          <w:rFonts w:hint="eastAsia"/>
          <w:bCs/>
          <w:sz w:val="24"/>
        </w:rPr>
        <w:t>5</w:t>
      </w:r>
      <w:r>
        <w:rPr>
          <w:rFonts w:hint="eastAsia"/>
          <w:bCs/>
          <w:sz w:val="24"/>
        </w:rPr>
        <w:t>个工作日内从基金财产中一次性支取。若遇法定节假日、公休假等，支付日期顺延。</w:t>
      </w:r>
    </w:p>
    <w:p w:rsidR="00F0328E" w:rsidRDefault="00441AB8">
      <w:pPr>
        <w:pStyle w:val="a4"/>
        <w:spacing w:line="360" w:lineRule="auto"/>
        <w:ind w:firstLineChars="200" w:firstLine="480"/>
        <w:jc w:val="both"/>
        <w:rPr>
          <w:bCs/>
          <w:sz w:val="24"/>
        </w:rPr>
      </w:pPr>
      <w:r>
        <w:rPr>
          <w:rFonts w:hint="eastAsia"/>
          <w:bCs/>
          <w:sz w:val="24"/>
        </w:rPr>
        <w:t>基金销售服务费每日计算，逐日累计至每月月末，按月支付，经基金管理人与基金托管人双方核对无误后，基金托管人按照与基金管理人协商一致的方式于次月前</w:t>
      </w:r>
      <w:r>
        <w:rPr>
          <w:rFonts w:hint="eastAsia"/>
          <w:bCs/>
          <w:sz w:val="24"/>
        </w:rPr>
        <w:t>5</w:t>
      </w:r>
      <w:r>
        <w:rPr>
          <w:rFonts w:hint="eastAsia"/>
          <w:bCs/>
          <w:sz w:val="24"/>
        </w:rPr>
        <w:t>个工作日内从基金财产中一次性支付给登记机构，由登记机构代收后支付给销售机构。若遇法定节假日、公休假等，支付日期顺延。</w:t>
      </w:r>
    </w:p>
    <w:p w:rsidR="00F0328E" w:rsidRDefault="00441AB8">
      <w:pPr>
        <w:pStyle w:val="a4"/>
        <w:spacing w:line="360" w:lineRule="auto"/>
        <w:ind w:firstLineChars="200" w:firstLine="480"/>
        <w:jc w:val="both"/>
        <w:rPr>
          <w:bCs/>
          <w:sz w:val="24"/>
        </w:rPr>
      </w:pPr>
      <w:r>
        <w:rPr>
          <w:rFonts w:hint="eastAsia"/>
          <w:bCs/>
          <w:sz w:val="24"/>
        </w:rPr>
        <w:t>费用扣划后，基金管理人应进行核对，如发现数据不符，及时联系基金托管人协商解决。</w:t>
      </w:r>
    </w:p>
    <w:p w:rsidR="00F0328E" w:rsidRDefault="00441AB8" w:rsidP="00F91B3C">
      <w:pPr>
        <w:numPr>
          <w:ilvl w:val="0"/>
          <w:numId w:val="4"/>
        </w:numPr>
        <w:adjustRightInd w:val="0"/>
        <w:snapToGrid w:val="0"/>
        <w:spacing w:line="360" w:lineRule="auto"/>
        <w:rPr>
          <w:rFonts w:ascii="宋体" w:hAnsi="宋体" w:cs="Arial"/>
          <w:sz w:val="24"/>
        </w:rPr>
      </w:pPr>
      <w:r>
        <w:rPr>
          <w:rFonts w:ascii="宋体" w:hAnsi="宋体" w:cs="Arial" w:hint="eastAsia"/>
          <w:sz w:val="24"/>
        </w:rPr>
        <w:t>违规处理方式</w:t>
      </w:r>
    </w:p>
    <w:p w:rsidR="00F91B3C" w:rsidRDefault="00441AB8" w:rsidP="00F91B3C">
      <w:pPr>
        <w:adjustRightInd w:val="0"/>
        <w:snapToGrid w:val="0"/>
        <w:spacing w:line="360" w:lineRule="auto"/>
        <w:ind w:firstLineChars="200" w:firstLine="480"/>
        <w:rPr>
          <w:rFonts w:ascii="宋体" w:hAnsi="宋体" w:cs="Arial"/>
          <w:sz w:val="24"/>
        </w:rPr>
      </w:pPr>
      <w:r>
        <w:rPr>
          <w:rFonts w:ascii="宋体" w:hAnsi="宋体" w:cs="Arial" w:hint="eastAsia"/>
          <w:sz w:val="24"/>
        </w:rPr>
        <w:t>基金托管人发现基金管理人违反《基金法》、基金合同、《运作办法》及其他有关规定从基金财产中列支费用时，基金托管人可要求基金管理人予以说明解释，如基金管理人无正当理由，基金托管人可拒绝支付</w:t>
      </w:r>
      <w:bookmarkEnd w:id="200"/>
      <w:r>
        <w:rPr>
          <w:rFonts w:ascii="宋体" w:hAnsi="宋体" w:cs="Arial" w:hint="eastAsia"/>
          <w:sz w:val="24"/>
        </w:rPr>
        <w:t>。</w:t>
      </w:r>
    </w:p>
    <w:p w:rsidR="00EC7B7C" w:rsidRDefault="00F91B3C" w:rsidP="00CF65B5">
      <w:pPr>
        <w:pStyle w:val="1"/>
        <w:numPr>
          <w:ilvl w:val="0"/>
          <w:numId w:val="1"/>
        </w:numPr>
        <w:spacing w:before="0" w:afterLines="50" w:after="156" w:line="360" w:lineRule="auto"/>
        <w:rPr>
          <w:rFonts w:ascii="宋体" w:hAnsi="宋体"/>
          <w:sz w:val="24"/>
          <w:szCs w:val="24"/>
        </w:rPr>
      </w:pPr>
      <w:bookmarkStart w:id="203" w:name="_Toc295833693"/>
      <w:bookmarkStart w:id="204" w:name="_Toc295833023"/>
      <w:bookmarkStart w:id="205" w:name="_Toc295832962"/>
      <w:bookmarkStart w:id="206" w:name="_Toc295832961"/>
      <w:bookmarkStart w:id="207" w:name="_Toc295833694"/>
      <w:bookmarkStart w:id="208" w:name="_Toc295833022"/>
      <w:bookmarkStart w:id="209" w:name="_Toc295833021"/>
      <w:bookmarkStart w:id="210" w:name="_Toc295832963"/>
      <w:bookmarkStart w:id="211" w:name="_Toc295833692"/>
      <w:bookmarkEnd w:id="201"/>
      <w:bookmarkEnd w:id="203"/>
      <w:bookmarkEnd w:id="204"/>
      <w:bookmarkEnd w:id="205"/>
      <w:bookmarkEnd w:id="206"/>
      <w:bookmarkEnd w:id="207"/>
      <w:bookmarkEnd w:id="208"/>
      <w:bookmarkEnd w:id="209"/>
      <w:bookmarkEnd w:id="210"/>
      <w:bookmarkEnd w:id="211"/>
      <w:r>
        <w:rPr>
          <w:rFonts w:ascii="宋体" w:hAnsi="宋体" w:hint="eastAsia"/>
          <w:sz w:val="24"/>
          <w:szCs w:val="24"/>
        </w:rPr>
        <w:lastRenderedPageBreak/>
        <w:t xml:space="preserve"> </w:t>
      </w:r>
      <w:bookmarkStart w:id="212" w:name="_Toc124325896"/>
      <w:bookmarkStart w:id="213" w:name="_Toc270669863"/>
      <w:bookmarkStart w:id="214" w:name="_Toc76720691"/>
      <w:r>
        <w:rPr>
          <w:rFonts w:ascii="宋体" w:hAnsi="宋体" w:hint="eastAsia"/>
          <w:sz w:val="24"/>
          <w:szCs w:val="24"/>
        </w:rPr>
        <w:t>基金</w:t>
      </w:r>
      <w:r w:rsidR="00441AB8" w:rsidRPr="00F91B3C">
        <w:rPr>
          <w:rFonts w:ascii="宋体" w:hAnsi="宋体" w:hint="eastAsia"/>
          <w:sz w:val="24"/>
          <w:szCs w:val="24"/>
        </w:rPr>
        <w:t>份额持有人名册的保管</w:t>
      </w:r>
      <w:bookmarkEnd w:id="212"/>
      <w:bookmarkEnd w:id="213"/>
      <w:bookmarkEnd w:id="214"/>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基金份额持有人名册至少应包括基金份额持有人的名称和持有的基金份额。基金份额持有人名册由基金登记机构根据基金管理人的指令编制和保管，登记机构对持有人名册的保存期自基金账户销户之日起不少于20年，基金管理人和基金托管人应分别保管基金份额持有人名册，保存期不少于20年，保管期限</w:t>
      </w:r>
      <w:r w:rsidR="001B4D94" w:rsidRPr="001B4D94">
        <w:rPr>
          <w:rFonts w:ascii="宋体" w:hAnsi="宋体" w:cs="Arial" w:hint="eastAsia"/>
          <w:sz w:val="24"/>
        </w:rPr>
        <w:t>不少于法定最低期限</w:t>
      </w:r>
      <w:r>
        <w:rPr>
          <w:rFonts w:ascii="宋体" w:hAnsi="宋体" w:cs="Arial" w:hint="eastAsia"/>
          <w:sz w:val="24"/>
        </w:rPr>
        <w:t>。如不能妥善保管，则按相关法规承担责任。</w:t>
      </w:r>
    </w:p>
    <w:p w:rsidR="00F0328E" w:rsidRDefault="00441AB8">
      <w:pPr>
        <w:adjustRightInd w:val="0"/>
        <w:snapToGrid w:val="0"/>
        <w:spacing w:line="360" w:lineRule="auto"/>
        <w:ind w:firstLineChars="200" w:firstLine="480"/>
        <w:rPr>
          <w:rFonts w:ascii="宋体" w:hAnsi="宋体"/>
          <w:kern w:val="0"/>
          <w:sz w:val="24"/>
        </w:rPr>
      </w:pPr>
      <w:r>
        <w:rPr>
          <w:rFonts w:ascii="宋体" w:hAnsi="宋体" w:cs="Arial" w:hint="eastAsia"/>
          <w:sz w:val="24"/>
        </w:rPr>
        <w:t>在基金托管人要求或编制中期报告和年度报告前，基金管理人应将有关资料送交基金托管人，不得无故拒绝或延误提供，并保证其的真实性、准确性和完整性。</w:t>
      </w:r>
      <w:r>
        <w:rPr>
          <w:rFonts w:ascii="宋体" w:hAnsi="宋体" w:hint="eastAsia"/>
          <w:kern w:val="0"/>
          <w:sz w:val="24"/>
        </w:rPr>
        <w:t>基金托管人不得将所保管的基金份额持有人名册用于基金托管业务以外的其他用途，并应遵守保密义务。</w:t>
      </w:r>
    </w:p>
    <w:p w:rsidR="00F0328E" w:rsidRDefault="00441AB8" w:rsidP="00CF65B5">
      <w:pPr>
        <w:pStyle w:val="1"/>
        <w:numPr>
          <w:ilvl w:val="0"/>
          <w:numId w:val="1"/>
        </w:numPr>
        <w:spacing w:before="0" w:afterLines="50" w:after="156" w:line="360" w:lineRule="auto"/>
        <w:rPr>
          <w:rFonts w:ascii="宋体" w:hAnsi="宋体"/>
          <w:sz w:val="24"/>
          <w:szCs w:val="24"/>
        </w:rPr>
      </w:pPr>
      <w:bookmarkStart w:id="215" w:name="_Toc295832966"/>
      <w:bookmarkStart w:id="216" w:name="_Toc295833026"/>
      <w:bookmarkStart w:id="217" w:name="_Toc295832965"/>
      <w:bookmarkStart w:id="218" w:name="_Toc295833697"/>
      <w:bookmarkStart w:id="219" w:name="_Toc295833696"/>
      <w:bookmarkStart w:id="220" w:name="_Toc295833025"/>
      <w:bookmarkEnd w:id="215"/>
      <w:bookmarkEnd w:id="216"/>
      <w:bookmarkEnd w:id="217"/>
      <w:bookmarkEnd w:id="218"/>
      <w:bookmarkEnd w:id="219"/>
      <w:bookmarkEnd w:id="220"/>
      <w:r>
        <w:rPr>
          <w:rFonts w:ascii="宋体" w:hAnsi="宋体" w:cs="Arial"/>
          <w:sz w:val="24"/>
          <w:szCs w:val="24"/>
        </w:rPr>
        <w:br w:type="page"/>
      </w:r>
      <w:bookmarkStart w:id="221" w:name="_Toc295832967"/>
      <w:bookmarkStart w:id="222" w:name="_Toc295833698"/>
      <w:bookmarkStart w:id="223" w:name="_Toc295833027"/>
      <w:bookmarkStart w:id="224" w:name="_Toc124325897"/>
      <w:bookmarkStart w:id="225" w:name="_Toc270669864"/>
      <w:bookmarkStart w:id="226" w:name="_Toc76720692"/>
      <w:bookmarkEnd w:id="221"/>
      <w:bookmarkEnd w:id="222"/>
      <w:bookmarkEnd w:id="223"/>
      <w:r>
        <w:rPr>
          <w:rFonts w:ascii="宋体" w:hAnsi="宋体" w:hint="eastAsia"/>
          <w:sz w:val="24"/>
          <w:szCs w:val="24"/>
        </w:rPr>
        <w:lastRenderedPageBreak/>
        <w:t>基金有关文件档案的保存</w:t>
      </w:r>
      <w:bookmarkEnd w:id="224"/>
      <w:bookmarkEnd w:id="225"/>
      <w:bookmarkEnd w:id="226"/>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（一）档案保存</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20年，保管期限不少于法定最低期限。</w:t>
      </w:r>
    </w:p>
    <w:p w:rsidR="00F0328E" w:rsidRDefault="00441AB8">
      <w:pPr>
        <w:pStyle w:val="ae"/>
        <w:numPr>
          <w:ilvl w:val="0"/>
          <w:numId w:val="2"/>
        </w:numPr>
        <w:adjustRightInd w:val="0"/>
        <w:snapToGrid w:val="0"/>
        <w:spacing w:line="360" w:lineRule="auto"/>
        <w:ind w:firstLineChars="0"/>
        <w:rPr>
          <w:rFonts w:ascii="宋体" w:hAnsi="宋体" w:cs="Arial"/>
          <w:sz w:val="24"/>
        </w:rPr>
      </w:pPr>
      <w:r>
        <w:rPr>
          <w:rFonts w:ascii="宋体" w:hAnsi="宋体" w:cs="Arial" w:hint="eastAsia"/>
          <w:sz w:val="24"/>
        </w:rPr>
        <w:t>合同档案的建立</w:t>
      </w:r>
    </w:p>
    <w:p w:rsidR="00F0328E" w:rsidRDefault="00441AB8">
      <w:pPr>
        <w:adjustRightInd w:val="0"/>
        <w:snapToGrid w:val="0"/>
        <w:spacing w:line="360" w:lineRule="auto"/>
        <w:ind w:firstLineChars="250" w:firstLine="600"/>
        <w:rPr>
          <w:rStyle w:val="read"/>
          <w:rFonts w:ascii="宋体" w:hAnsi="宋体" w:cs="Arial"/>
          <w:sz w:val="24"/>
        </w:rPr>
      </w:pPr>
      <w:r>
        <w:rPr>
          <w:rStyle w:val="read"/>
          <w:rFonts w:ascii="宋体" w:hAnsi="宋体"/>
          <w:sz w:val="24"/>
        </w:rPr>
        <w:t>1</w:t>
      </w:r>
      <w:r>
        <w:rPr>
          <w:rStyle w:val="read"/>
          <w:rFonts w:ascii="宋体" w:hAnsi="宋体" w:hint="eastAsia"/>
          <w:sz w:val="24"/>
        </w:rPr>
        <w:t>、基金管理人签署重大合同文本后，应及时将合同文本正本送达基金托管人处，本协议另有约定的情形除外。</w:t>
      </w:r>
    </w:p>
    <w:p w:rsidR="00F0328E" w:rsidRDefault="00441AB8">
      <w:pPr>
        <w:adjustRightInd w:val="0"/>
        <w:snapToGrid w:val="0"/>
        <w:spacing w:line="360" w:lineRule="auto"/>
        <w:ind w:firstLineChars="250" w:firstLine="600"/>
        <w:rPr>
          <w:rStyle w:val="read"/>
          <w:rFonts w:ascii="宋体" w:hAnsi="宋体"/>
          <w:sz w:val="24"/>
        </w:rPr>
      </w:pPr>
      <w:r>
        <w:rPr>
          <w:rStyle w:val="read"/>
          <w:rFonts w:ascii="宋体" w:hAnsi="宋体" w:hint="eastAsia"/>
          <w:sz w:val="24"/>
        </w:rPr>
        <w:t>2、基金管理人应及时将与本基金账务处理、资金划拨等有关的合同、协议传真基金托管人。</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（三）变更与协助</w:t>
      </w:r>
    </w:p>
    <w:p w:rsidR="00F0328E" w:rsidRDefault="00441AB8">
      <w:pPr>
        <w:adjustRightInd w:val="0"/>
        <w:snapToGrid w:val="0"/>
        <w:spacing w:line="360" w:lineRule="auto"/>
        <w:ind w:firstLineChars="200" w:firstLine="480"/>
        <w:rPr>
          <w:rFonts w:ascii="宋体" w:hAnsi="宋体"/>
          <w:b/>
          <w:bCs/>
          <w:sz w:val="24"/>
        </w:rPr>
      </w:pPr>
      <w:r>
        <w:rPr>
          <w:rFonts w:ascii="宋体" w:hAnsi="宋体" w:cs="Arial" w:hint="eastAsia"/>
          <w:sz w:val="24"/>
        </w:rPr>
        <w:t>若基金管理人/基金托管人发生变更，未变更的一方有义务协助变更后的接任人接收相应文件。</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（四）基金管理人和基金托管人应按各自职责完整保存原始凭证、记账凭证、基金账册、交易记录和重要合同等，承担保密义务并保存至少20年以上，保管期限不少于法定最低期限。</w:t>
      </w:r>
    </w:p>
    <w:p w:rsidR="00F0328E" w:rsidRDefault="00441AB8" w:rsidP="00CF65B5">
      <w:pPr>
        <w:pStyle w:val="1"/>
        <w:numPr>
          <w:ilvl w:val="0"/>
          <w:numId w:val="1"/>
        </w:numPr>
        <w:spacing w:before="0" w:afterLines="50" w:after="156" w:line="360" w:lineRule="auto"/>
        <w:rPr>
          <w:rFonts w:ascii="宋体" w:hAnsi="宋体"/>
          <w:sz w:val="24"/>
          <w:szCs w:val="24"/>
        </w:rPr>
      </w:pPr>
      <w:r>
        <w:rPr>
          <w:rFonts w:ascii="宋体" w:hAnsi="宋体"/>
          <w:sz w:val="24"/>
          <w:szCs w:val="24"/>
        </w:rPr>
        <w:br w:type="page"/>
      </w:r>
      <w:bookmarkStart w:id="227" w:name="_Toc295833029"/>
      <w:bookmarkStart w:id="228" w:name="_Toc295833700"/>
      <w:bookmarkStart w:id="229" w:name="_Toc295832969"/>
      <w:bookmarkStart w:id="230" w:name="_Toc270669865"/>
      <w:bookmarkStart w:id="231" w:name="_Toc124325898"/>
      <w:bookmarkStart w:id="232" w:name="_Toc295833701"/>
      <w:bookmarkStart w:id="233" w:name="_Toc76720693"/>
      <w:bookmarkEnd w:id="227"/>
      <w:bookmarkEnd w:id="228"/>
      <w:bookmarkEnd w:id="229"/>
      <w:r>
        <w:rPr>
          <w:rFonts w:ascii="宋体" w:hAnsi="宋体" w:hint="eastAsia"/>
          <w:sz w:val="24"/>
          <w:szCs w:val="24"/>
        </w:rPr>
        <w:lastRenderedPageBreak/>
        <w:t>基金管理人和基金托管人的更换</w:t>
      </w:r>
      <w:bookmarkEnd w:id="230"/>
      <w:bookmarkEnd w:id="231"/>
      <w:bookmarkEnd w:id="232"/>
      <w:bookmarkEnd w:id="233"/>
    </w:p>
    <w:p w:rsidR="00F0328E" w:rsidRDefault="00441AB8">
      <w:pPr>
        <w:pStyle w:val="ae"/>
        <w:numPr>
          <w:ilvl w:val="0"/>
          <w:numId w:val="7"/>
        </w:numPr>
        <w:adjustRightInd w:val="0"/>
        <w:snapToGrid w:val="0"/>
        <w:spacing w:line="360" w:lineRule="auto"/>
        <w:ind w:firstLineChars="0"/>
        <w:rPr>
          <w:rFonts w:ascii="宋体" w:hAnsi="宋体" w:cs="Arial"/>
          <w:sz w:val="24"/>
        </w:rPr>
      </w:pPr>
      <w:r>
        <w:rPr>
          <w:rFonts w:ascii="宋体" w:hAnsi="宋体" w:cs="Arial" w:hint="eastAsia"/>
          <w:sz w:val="24"/>
        </w:rPr>
        <w:t>基金管理人的更换</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1、基金管理人的更换条件</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有下列情形之一的，基金管理人职责终止：</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sz w:val="24"/>
        </w:rPr>
        <w:t>1</w:t>
      </w:r>
      <w:r>
        <w:rPr>
          <w:rFonts w:ascii="宋体" w:hAnsi="宋体" w:cs="Arial" w:hint="eastAsia"/>
          <w:sz w:val="24"/>
        </w:rPr>
        <w:t>）</w:t>
      </w:r>
      <w:r>
        <w:rPr>
          <w:rFonts w:ascii="宋体" w:hAnsi="宋体" w:cs="Arial"/>
          <w:sz w:val="24"/>
        </w:rPr>
        <w:t>被依法取消基金管理资格；</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sz w:val="24"/>
        </w:rPr>
        <w:t>2</w:t>
      </w:r>
      <w:r>
        <w:rPr>
          <w:rFonts w:ascii="宋体" w:hAnsi="宋体" w:cs="Arial" w:hint="eastAsia"/>
          <w:sz w:val="24"/>
        </w:rPr>
        <w:t>）</w:t>
      </w:r>
      <w:r>
        <w:rPr>
          <w:rFonts w:ascii="宋体" w:hAnsi="宋体" w:cs="Arial"/>
          <w:sz w:val="24"/>
        </w:rPr>
        <w:t>被基金份额持有人大会解任；</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sz w:val="24"/>
        </w:rPr>
        <w:t>3</w:t>
      </w:r>
      <w:r>
        <w:rPr>
          <w:rFonts w:ascii="宋体" w:hAnsi="宋体" w:cs="Arial" w:hint="eastAsia"/>
          <w:sz w:val="24"/>
        </w:rPr>
        <w:t>）</w:t>
      </w:r>
      <w:r>
        <w:rPr>
          <w:rFonts w:ascii="宋体" w:hAnsi="宋体" w:cs="Arial"/>
          <w:sz w:val="24"/>
        </w:rPr>
        <w:t>依法解散、被依法撤销或被依法宣告破产；</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4）法律法规及中国证监会规定的和基金合同约定的其他</w:t>
      </w:r>
      <w:r>
        <w:rPr>
          <w:rFonts w:ascii="宋体" w:hAnsi="宋体" w:cs="Arial"/>
          <w:sz w:val="24"/>
        </w:rPr>
        <w:t>情形。</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2、基金管理人的更换程序</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更换基金管理人必须依照如下程序进行：</w:t>
      </w:r>
    </w:p>
    <w:p w:rsidR="00F0328E" w:rsidRDefault="00441AB8">
      <w:pPr>
        <w:adjustRightInd w:val="0"/>
        <w:snapToGrid w:val="0"/>
        <w:spacing w:line="360" w:lineRule="auto"/>
        <w:ind w:firstLineChars="250" w:firstLine="600"/>
        <w:rPr>
          <w:rFonts w:ascii="宋体" w:hAnsi="宋体"/>
          <w:sz w:val="24"/>
        </w:rPr>
      </w:pPr>
      <w:r>
        <w:rPr>
          <w:rFonts w:ascii="宋体" w:hAnsi="宋体" w:cs="Arial" w:hint="eastAsia"/>
          <w:sz w:val="24"/>
        </w:rPr>
        <w:t>1）提名：新任基金管理人由基</w:t>
      </w:r>
      <w:r>
        <w:rPr>
          <w:rFonts w:ascii="宋体" w:hAnsi="宋体" w:hint="eastAsia"/>
          <w:sz w:val="24"/>
        </w:rPr>
        <w:t>金托管人或由单独或合计持有10%以上(含10%)基金份额的基金份额持有人提名；</w:t>
      </w:r>
    </w:p>
    <w:p w:rsidR="00F0328E" w:rsidRDefault="00441AB8">
      <w:pPr>
        <w:adjustRightInd w:val="0"/>
        <w:snapToGrid w:val="0"/>
        <w:spacing w:line="360" w:lineRule="auto"/>
        <w:ind w:firstLineChars="250" w:firstLine="600"/>
        <w:rPr>
          <w:rFonts w:ascii="宋体" w:hAnsi="宋体" w:cs="Arial"/>
          <w:sz w:val="24"/>
        </w:rPr>
      </w:pPr>
      <w:r>
        <w:rPr>
          <w:rFonts w:ascii="宋体" w:hAnsi="宋体" w:cs="Arial" w:hint="eastAsia"/>
          <w:sz w:val="24"/>
        </w:rPr>
        <w:t>2）决议：</w:t>
      </w:r>
      <w:r>
        <w:rPr>
          <w:rFonts w:ascii="宋体" w:hAnsi="宋体" w:cs="Arial"/>
          <w:sz w:val="24"/>
        </w:rPr>
        <w:t>基金份额持有人大会在基金管理人职责终止后</w:t>
      </w:r>
      <w:r>
        <w:rPr>
          <w:rFonts w:ascii="宋体" w:hAnsi="宋体" w:cs="Arial" w:hint="eastAsia"/>
          <w:sz w:val="24"/>
        </w:rPr>
        <w:t>6</w:t>
      </w:r>
      <w:r>
        <w:rPr>
          <w:rFonts w:ascii="宋体" w:hAnsi="宋体" w:cs="Arial"/>
          <w:sz w:val="24"/>
        </w:rPr>
        <w:t>个月内对被提名的基金管理人形成决议，该决议需经参加大会的基金份额持有人所持表决权的</w:t>
      </w:r>
      <w:r>
        <w:rPr>
          <w:rFonts w:ascii="宋体" w:hAnsi="宋体" w:cs="Arial" w:hint="eastAsia"/>
          <w:sz w:val="24"/>
        </w:rPr>
        <w:t>三分之二</w:t>
      </w:r>
      <w:r>
        <w:rPr>
          <w:rFonts w:ascii="宋体" w:hAnsi="宋体" w:cs="Arial"/>
          <w:sz w:val="24"/>
        </w:rPr>
        <w:t>以上（含</w:t>
      </w:r>
      <w:r>
        <w:rPr>
          <w:rFonts w:ascii="宋体" w:hAnsi="宋体" w:cs="Arial" w:hint="eastAsia"/>
          <w:sz w:val="24"/>
        </w:rPr>
        <w:t>三分之二</w:t>
      </w:r>
      <w:r>
        <w:rPr>
          <w:rFonts w:ascii="宋体" w:hAnsi="宋体" w:cs="Arial"/>
          <w:sz w:val="24"/>
        </w:rPr>
        <w:t>）表决通过</w:t>
      </w:r>
      <w:r>
        <w:rPr>
          <w:rFonts w:ascii="宋体" w:hAnsi="宋体" w:cs="Arial" w:hint="eastAsia"/>
          <w:sz w:val="24"/>
        </w:rPr>
        <w:t>，并自表决通过之日起生效；</w:t>
      </w:r>
    </w:p>
    <w:p w:rsidR="00F0328E" w:rsidRDefault="00441AB8">
      <w:pPr>
        <w:adjustRightInd w:val="0"/>
        <w:snapToGrid w:val="0"/>
        <w:spacing w:line="360" w:lineRule="auto"/>
        <w:ind w:firstLineChars="250" w:firstLine="600"/>
        <w:rPr>
          <w:rFonts w:ascii="宋体" w:hAnsi="宋体" w:cs="Arial"/>
          <w:sz w:val="24"/>
        </w:rPr>
      </w:pPr>
      <w:r>
        <w:rPr>
          <w:rFonts w:ascii="宋体" w:hAnsi="宋体" w:cs="Arial"/>
          <w:sz w:val="24"/>
        </w:rPr>
        <w:t>3</w:t>
      </w:r>
      <w:r>
        <w:rPr>
          <w:rFonts w:ascii="宋体" w:hAnsi="宋体" w:cs="Arial" w:hint="eastAsia"/>
          <w:sz w:val="24"/>
        </w:rPr>
        <w:t>）临时基金管理人：新任基金管理人产生之前，由中国证监会指定临时基金管理人；</w:t>
      </w:r>
    </w:p>
    <w:p w:rsidR="00F0328E" w:rsidRDefault="00441AB8">
      <w:pPr>
        <w:adjustRightInd w:val="0"/>
        <w:snapToGrid w:val="0"/>
        <w:spacing w:line="360" w:lineRule="auto"/>
        <w:ind w:firstLineChars="250" w:firstLine="600"/>
        <w:rPr>
          <w:rFonts w:ascii="宋体" w:hAnsi="宋体" w:cs="Arial"/>
          <w:sz w:val="24"/>
        </w:rPr>
      </w:pPr>
      <w:r>
        <w:rPr>
          <w:rFonts w:ascii="宋体" w:hAnsi="宋体" w:cs="Arial" w:hint="eastAsia"/>
          <w:sz w:val="24"/>
        </w:rPr>
        <w:t>4）备案：基金份额持有人大会</w:t>
      </w:r>
      <w:r>
        <w:rPr>
          <w:rFonts w:hint="eastAsia"/>
          <w:bCs/>
          <w:sz w:val="24"/>
        </w:rPr>
        <w:t>更换</w:t>
      </w:r>
      <w:r>
        <w:rPr>
          <w:rFonts w:ascii="宋体" w:hAnsi="宋体" w:cs="Arial" w:hint="eastAsia"/>
          <w:sz w:val="24"/>
        </w:rPr>
        <w:t>基金管理人的决议须报中国证监会备案；</w:t>
      </w:r>
    </w:p>
    <w:p w:rsidR="00F0328E" w:rsidRDefault="00441AB8">
      <w:pPr>
        <w:adjustRightInd w:val="0"/>
        <w:snapToGrid w:val="0"/>
        <w:spacing w:line="360" w:lineRule="auto"/>
        <w:ind w:firstLineChars="250" w:firstLine="600"/>
        <w:rPr>
          <w:rFonts w:ascii="宋体" w:hAnsi="宋体" w:cs="Arial"/>
          <w:sz w:val="24"/>
        </w:rPr>
      </w:pPr>
      <w:r>
        <w:rPr>
          <w:rFonts w:ascii="宋体" w:hAnsi="宋体" w:cs="Arial" w:hint="eastAsia"/>
          <w:sz w:val="24"/>
        </w:rPr>
        <w:t>5）公告：</w:t>
      </w:r>
      <w:r>
        <w:rPr>
          <w:rFonts w:ascii="宋体" w:hAnsi="宋体" w:cs="Arial"/>
          <w:sz w:val="24"/>
        </w:rPr>
        <w:t>基金管理人更换后，由基金托管人在</w:t>
      </w:r>
      <w:r>
        <w:rPr>
          <w:rFonts w:ascii="宋体" w:hAnsi="宋体" w:cs="Arial" w:hint="eastAsia"/>
          <w:sz w:val="24"/>
        </w:rPr>
        <w:t>更换基金管理人的基金份额持有人大会决议生效后按规定</w:t>
      </w:r>
      <w:r>
        <w:rPr>
          <w:rFonts w:ascii="宋体" w:hAnsi="宋体" w:cs="Arial"/>
          <w:sz w:val="24"/>
        </w:rPr>
        <w:t>在</w:t>
      </w:r>
      <w:r>
        <w:rPr>
          <w:rFonts w:ascii="宋体" w:hAnsi="宋体" w:cs="Arial" w:hint="eastAsia"/>
          <w:sz w:val="24"/>
        </w:rPr>
        <w:t>规定媒介</w:t>
      </w:r>
      <w:r>
        <w:rPr>
          <w:rFonts w:ascii="宋体" w:hAnsi="宋体" w:cs="Arial"/>
          <w:sz w:val="24"/>
        </w:rPr>
        <w:t>公告</w:t>
      </w:r>
      <w:r>
        <w:rPr>
          <w:rFonts w:ascii="宋体" w:hAnsi="宋体" w:cs="Arial" w:hint="eastAsia"/>
          <w:sz w:val="24"/>
        </w:rPr>
        <w:t>；</w:t>
      </w:r>
    </w:p>
    <w:p w:rsidR="00F0328E" w:rsidRDefault="00441AB8">
      <w:pPr>
        <w:spacing w:line="360" w:lineRule="auto"/>
        <w:ind w:firstLineChars="200" w:firstLine="480"/>
        <w:rPr>
          <w:bCs/>
          <w:sz w:val="24"/>
        </w:rPr>
      </w:pPr>
      <w:r>
        <w:rPr>
          <w:bCs/>
          <w:sz w:val="24"/>
        </w:rPr>
        <w:t>6</w:t>
      </w:r>
      <w:r>
        <w:rPr>
          <w:rFonts w:ascii="宋体" w:hAnsi="宋体" w:cs="Arial" w:hint="eastAsia"/>
          <w:sz w:val="24"/>
        </w:rPr>
        <w:t>）</w:t>
      </w:r>
      <w:r>
        <w:rPr>
          <w:bCs/>
          <w:sz w:val="24"/>
        </w:rPr>
        <w:t>交接：基金管理人职责终止的，基金管理人应妥善保管基金管理业务资料，及时向临时基金管理人或新任基金管理人办理基金管理业务的移交手续，临时基金管理人或新任基金管理人应及时接收。临时基金管理人或新任基金管理人应与基金托管人核对基金资产总值</w:t>
      </w:r>
      <w:r>
        <w:rPr>
          <w:rFonts w:hint="eastAsia"/>
          <w:bCs/>
          <w:sz w:val="24"/>
        </w:rPr>
        <w:t>和净值</w:t>
      </w:r>
      <w:r>
        <w:rPr>
          <w:bCs/>
          <w:sz w:val="24"/>
        </w:rPr>
        <w:t>；</w:t>
      </w:r>
    </w:p>
    <w:p w:rsidR="00F0328E" w:rsidRDefault="00441AB8">
      <w:pPr>
        <w:spacing w:line="360" w:lineRule="auto"/>
        <w:ind w:firstLineChars="200" w:firstLine="480"/>
        <w:rPr>
          <w:bCs/>
          <w:sz w:val="24"/>
        </w:rPr>
      </w:pPr>
      <w:r>
        <w:rPr>
          <w:bCs/>
          <w:sz w:val="24"/>
        </w:rPr>
        <w:t>7</w:t>
      </w:r>
      <w:r>
        <w:rPr>
          <w:rFonts w:ascii="宋体" w:hAnsi="宋体" w:cs="Arial" w:hint="eastAsia"/>
          <w:sz w:val="24"/>
        </w:rPr>
        <w:t>）</w:t>
      </w:r>
      <w:r>
        <w:rPr>
          <w:bCs/>
          <w:sz w:val="24"/>
        </w:rPr>
        <w:t>审计：基金管理人职责终止的，应当按照法律法规规定聘请</w:t>
      </w:r>
      <w:r>
        <w:rPr>
          <w:rFonts w:hint="eastAsia"/>
          <w:bCs/>
          <w:sz w:val="24"/>
        </w:rPr>
        <w:t>符合《证券法》规定的</w:t>
      </w:r>
      <w:r>
        <w:rPr>
          <w:bCs/>
          <w:sz w:val="24"/>
        </w:rPr>
        <w:t>会计师事务所对基金财产进行审计，并将审计结果予以公告，同时报中国证监会备案</w:t>
      </w:r>
      <w:r>
        <w:rPr>
          <w:rFonts w:hint="eastAsia"/>
          <w:bCs/>
          <w:sz w:val="24"/>
        </w:rPr>
        <w:t>，审计费</w:t>
      </w:r>
      <w:r>
        <w:rPr>
          <w:bCs/>
          <w:sz w:val="24"/>
        </w:rPr>
        <w:t>用</w:t>
      </w:r>
      <w:r>
        <w:rPr>
          <w:rFonts w:hint="eastAsia"/>
          <w:bCs/>
          <w:sz w:val="24"/>
        </w:rPr>
        <w:t>从基金财产</w:t>
      </w:r>
      <w:r>
        <w:rPr>
          <w:bCs/>
          <w:sz w:val="24"/>
        </w:rPr>
        <w:t>中列支；</w:t>
      </w:r>
    </w:p>
    <w:p w:rsidR="00F0328E" w:rsidRDefault="00441AB8">
      <w:pPr>
        <w:spacing w:line="360" w:lineRule="auto"/>
        <w:ind w:firstLineChars="200" w:firstLine="480"/>
        <w:rPr>
          <w:bCs/>
          <w:sz w:val="24"/>
        </w:rPr>
      </w:pPr>
      <w:r>
        <w:rPr>
          <w:bCs/>
          <w:sz w:val="24"/>
        </w:rPr>
        <w:t>8</w:t>
      </w:r>
      <w:r>
        <w:rPr>
          <w:rFonts w:ascii="宋体" w:hAnsi="宋体" w:cs="Arial" w:hint="eastAsia"/>
          <w:sz w:val="24"/>
        </w:rPr>
        <w:t>）</w:t>
      </w:r>
      <w:r>
        <w:rPr>
          <w:bCs/>
          <w:sz w:val="24"/>
        </w:rPr>
        <w:t>基金名称变更：基金管理人更换后，如果原任或新任基金管理人要求，应按其要求替换或删除基金名称中与原基金管理人有关的名称字样。</w:t>
      </w:r>
    </w:p>
    <w:p w:rsidR="00F0328E" w:rsidRDefault="00441AB8">
      <w:pPr>
        <w:pStyle w:val="ae"/>
        <w:numPr>
          <w:ilvl w:val="0"/>
          <w:numId w:val="7"/>
        </w:numPr>
        <w:adjustRightInd w:val="0"/>
        <w:snapToGrid w:val="0"/>
        <w:spacing w:line="360" w:lineRule="auto"/>
        <w:ind w:firstLineChars="0"/>
        <w:rPr>
          <w:rFonts w:ascii="宋体" w:hAnsi="宋体" w:cs="Arial"/>
          <w:sz w:val="24"/>
        </w:rPr>
      </w:pPr>
      <w:r>
        <w:rPr>
          <w:rFonts w:ascii="宋体" w:hAnsi="宋体" w:cs="Arial" w:hint="eastAsia"/>
          <w:sz w:val="24"/>
        </w:rPr>
        <w:lastRenderedPageBreak/>
        <w:t>基金托管人的更换</w:t>
      </w:r>
    </w:p>
    <w:p w:rsidR="00F0328E" w:rsidRDefault="00441AB8">
      <w:pPr>
        <w:adjustRightInd w:val="0"/>
        <w:snapToGrid w:val="0"/>
        <w:spacing w:line="360" w:lineRule="auto"/>
        <w:ind w:left="480"/>
        <w:rPr>
          <w:rStyle w:val="read"/>
          <w:rFonts w:ascii="宋体" w:hAnsi="宋体"/>
          <w:sz w:val="24"/>
        </w:rPr>
      </w:pPr>
      <w:r>
        <w:rPr>
          <w:rStyle w:val="read"/>
          <w:rFonts w:ascii="宋体" w:hAnsi="宋体" w:hint="eastAsia"/>
          <w:sz w:val="24"/>
        </w:rPr>
        <w:t>1、基金托管人的更换条件</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有下列情形之一的，基金托管人职责终止：</w:t>
      </w:r>
    </w:p>
    <w:p w:rsidR="00F0328E" w:rsidRDefault="00441AB8">
      <w:pPr>
        <w:numPr>
          <w:ilvl w:val="0"/>
          <w:numId w:val="8"/>
        </w:numPr>
        <w:adjustRightInd w:val="0"/>
        <w:snapToGrid w:val="0"/>
        <w:spacing w:line="360" w:lineRule="auto"/>
        <w:ind w:left="0" w:firstLine="480"/>
        <w:rPr>
          <w:rFonts w:ascii="宋体" w:hAnsi="宋体" w:cs="Arial"/>
          <w:sz w:val="24"/>
        </w:rPr>
      </w:pPr>
      <w:r>
        <w:rPr>
          <w:rFonts w:ascii="宋体" w:hAnsi="宋体" w:cs="Arial"/>
          <w:sz w:val="24"/>
        </w:rPr>
        <w:t>被依法取消基金托管资格</w:t>
      </w:r>
      <w:r>
        <w:rPr>
          <w:rFonts w:ascii="宋体" w:hAnsi="宋体" w:cs="Arial" w:hint="eastAsia"/>
          <w:sz w:val="24"/>
        </w:rPr>
        <w:t>；</w:t>
      </w:r>
    </w:p>
    <w:p w:rsidR="00F0328E" w:rsidRDefault="00441AB8">
      <w:pPr>
        <w:numPr>
          <w:ilvl w:val="0"/>
          <w:numId w:val="8"/>
        </w:numPr>
        <w:adjustRightInd w:val="0"/>
        <w:snapToGrid w:val="0"/>
        <w:spacing w:line="360" w:lineRule="auto"/>
        <w:ind w:left="0" w:firstLine="480"/>
        <w:rPr>
          <w:rFonts w:ascii="宋体" w:hAnsi="宋体" w:cs="Arial"/>
          <w:sz w:val="24"/>
        </w:rPr>
      </w:pPr>
      <w:r>
        <w:rPr>
          <w:rFonts w:ascii="宋体" w:hAnsi="宋体" w:cs="Arial" w:hint="eastAsia"/>
          <w:sz w:val="24"/>
        </w:rPr>
        <w:t>被基金份额持有人大会解任；</w:t>
      </w:r>
    </w:p>
    <w:p w:rsidR="00F0328E" w:rsidRDefault="00441AB8">
      <w:pPr>
        <w:numPr>
          <w:ilvl w:val="0"/>
          <w:numId w:val="8"/>
        </w:numPr>
        <w:adjustRightInd w:val="0"/>
        <w:snapToGrid w:val="0"/>
        <w:spacing w:line="360" w:lineRule="auto"/>
        <w:ind w:left="0" w:firstLine="480"/>
        <w:rPr>
          <w:rFonts w:ascii="宋体" w:hAnsi="宋体" w:cs="Arial"/>
          <w:sz w:val="24"/>
        </w:rPr>
      </w:pPr>
      <w:r>
        <w:rPr>
          <w:rFonts w:ascii="宋体" w:hAnsi="宋体" w:cs="Arial" w:hint="eastAsia"/>
          <w:sz w:val="24"/>
        </w:rPr>
        <w:t xml:space="preserve">依法解散、被依法撤销或被依法宣告破产； </w:t>
      </w:r>
    </w:p>
    <w:p w:rsidR="00F0328E" w:rsidRDefault="00441AB8">
      <w:pPr>
        <w:numPr>
          <w:ilvl w:val="0"/>
          <w:numId w:val="8"/>
        </w:numPr>
        <w:adjustRightInd w:val="0"/>
        <w:snapToGrid w:val="0"/>
        <w:spacing w:line="360" w:lineRule="auto"/>
        <w:ind w:left="0" w:firstLine="480"/>
        <w:rPr>
          <w:rFonts w:ascii="宋体" w:hAnsi="宋体" w:cs="Arial"/>
          <w:sz w:val="24"/>
        </w:rPr>
      </w:pPr>
      <w:r>
        <w:rPr>
          <w:rFonts w:ascii="宋体" w:hAnsi="宋体" w:cs="Arial"/>
          <w:sz w:val="24"/>
        </w:rPr>
        <w:t>法律法规</w:t>
      </w:r>
      <w:r>
        <w:rPr>
          <w:rFonts w:ascii="宋体" w:hAnsi="宋体" w:hint="eastAsia"/>
          <w:bCs/>
          <w:sz w:val="24"/>
        </w:rPr>
        <w:t>及中国证监会</w:t>
      </w:r>
      <w:r>
        <w:rPr>
          <w:rFonts w:ascii="宋体" w:hAnsi="宋体" w:hint="eastAsia"/>
          <w:sz w:val="24"/>
        </w:rPr>
        <w:t>规定的</w:t>
      </w:r>
      <w:r>
        <w:rPr>
          <w:rFonts w:ascii="宋体" w:hAnsi="宋体" w:cs="Arial"/>
          <w:sz w:val="24"/>
        </w:rPr>
        <w:t>和基金合同</w:t>
      </w:r>
      <w:r>
        <w:rPr>
          <w:rFonts w:ascii="宋体" w:hAnsi="宋体" w:cs="Arial" w:hint="eastAsia"/>
          <w:sz w:val="24"/>
        </w:rPr>
        <w:t>约定</w:t>
      </w:r>
      <w:r>
        <w:rPr>
          <w:rFonts w:ascii="宋体" w:hAnsi="宋体" w:cs="Arial"/>
          <w:sz w:val="24"/>
        </w:rPr>
        <w:t>的其他情形</w:t>
      </w:r>
      <w:r>
        <w:rPr>
          <w:rFonts w:ascii="宋体" w:hAnsi="宋体" w:cs="Arial" w:hint="eastAsia"/>
          <w:sz w:val="24"/>
        </w:rPr>
        <w:t>。</w:t>
      </w:r>
    </w:p>
    <w:p w:rsidR="00F0328E" w:rsidRDefault="00441AB8">
      <w:pPr>
        <w:pStyle w:val="ae"/>
        <w:numPr>
          <w:ilvl w:val="0"/>
          <w:numId w:val="9"/>
        </w:numPr>
        <w:adjustRightInd w:val="0"/>
        <w:snapToGrid w:val="0"/>
        <w:spacing w:line="360" w:lineRule="auto"/>
        <w:ind w:firstLineChars="0"/>
        <w:rPr>
          <w:rStyle w:val="read"/>
          <w:rFonts w:ascii="宋体" w:hAnsi="宋体"/>
          <w:sz w:val="24"/>
        </w:rPr>
      </w:pPr>
      <w:r>
        <w:rPr>
          <w:rStyle w:val="read"/>
          <w:rFonts w:ascii="宋体" w:hAnsi="宋体" w:hint="eastAsia"/>
          <w:sz w:val="24"/>
        </w:rPr>
        <w:t>基金托管人的更换程序</w:t>
      </w:r>
    </w:p>
    <w:p w:rsidR="00F0328E" w:rsidRDefault="00441AB8">
      <w:pPr>
        <w:spacing w:line="360" w:lineRule="auto"/>
        <w:ind w:firstLineChars="200" w:firstLine="480"/>
        <w:rPr>
          <w:bCs/>
          <w:sz w:val="24"/>
        </w:rPr>
      </w:pPr>
      <w:r>
        <w:rPr>
          <w:bCs/>
          <w:sz w:val="24"/>
        </w:rPr>
        <w:t>1</w:t>
      </w:r>
      <w:r>
        <w:rPr>
          <w:rFonts w:ascii="宋体" w:hAnsi="宋体" w:cs="Arial" w:hint="eastAsia"/>
          <w:sz w:val="24"/>
        </w:rPr>
        <w:t>）</w:t>
      </w:r>
      <w:r>
        <w:rPr>
          <w:bCs/>
          <w:sz w:val="24"/>
        </w:rPr>
        <w:t>提名：新任基金托管人由基金管理人或由单独或合计持有</w:t>
      </w:r>
      <w:r>
        <w:rPr>
          <w:rFonts w:hint="eastAsia"/>
          <w:bCs/>
          <w:sz w:val="24"/>
        </w:rPr>
        <w:t>10%</w:t>
      </w:r>
      <w:r>
        <w:rPr>
          <w:bCs/>
          <w:sz w:val="24"/>
        </w:rPr>
        <w:t>以上（含</w:t>
      </w:r>
      <w:r>
        <w:rPr>
          <w:rFonts w:hint="eastAsia"/>
          <w:bCs/>
          <w:sz w:val="24"/>
        </w:rPr>
        <w:t>10%</w:t>
      </w:r>
      <w:r>
        <w:rPr>
          <w:bCs/>
          <w:sz w:val="24"/>
        </w:rPr>
        <w:t>）基金份额的基金</w:t>
      </w:r>
      <w:r>
        <w:rPr>
          <w:rFonts w:hint="eastAsia"/>
          <w:bCs/>
          <w:sz w:val="24"/>
        </w:rPr>
        <w:t>份额</w:t>
      </w:r>
      <w:r>
        <w:rPr>
          <w:bCs/>
          <w:sz w:val="24"/>
        </w:rPr>
        <w:t>持有人提名；</w:t>
      </w:r>
    </w:p>
    <w:p w:rsidR="00F0328E" w:rsidRDefault="00441AB8">
      <w:pPr>
        <w:spacing w:line="360" w:lineRule="auto"/>
        <w:ind w:firstLineChars="200" w:firstLine="480"/>
        <w:rPr>
          <w:bCs/>
          <w:sz w:val="24"/>
        </w:rPr>
      </w:pPr>
      <w:r>
        <w:rPr>
          <w:bCs/>
          <w:sz w:val="24"/>
        </w:rPr>
        <w:t>2</w:t>
      </w:r>
      <w:r>
        <w:rPr>
          <w:rFonts w:ascii="宋体" w:hAnsi="宋体" w:cs="Arial" w:hint="eastAsia"/>
          <w:sz w:val="24"/>
        </w:rPr>
        <w:t>）</w:t>
      </w:r>
      <w:r>
        <w:rPr>
          <w:bCs/>
          <w:sz w:val="24"/>
        </w:rPr>
        <w:t>决议：基金份额持有人大会在基金托管人职责终止后</w:t>
      </w:r>
      <w:r>
        <w:rPr>
          <w:rFonts w:hint="eastAsia"/>
          <w:bCs/>
          <w:sz w:val="24"/>
        </w:rPr>
        <w:t>6</w:t>
      </w:r>
      <w:r>
        <w:rPr>
          <w:bCs/>
          <w:sz w:val="24"/>
        </w:rPr>
        <w:t>个月内对被提名的基金托管人形成决议，该决议需经参加大会的基金份额持有人所持表决权的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，并自表决通过之日起生效</w:t>
      </w:r>
      <w:r>
        <w:rPr>
          <w:bCs/>
          <w:sz w:val="24"/>
        </w:rPr>
        <w:t>；</w:t>
      </w:r>
    </w:p>
    <w:p w:rsidR="00F0328E" w:rsidRDefault="00441AB8">
      <w:pPr>
        <w:spacing w:line="360" w:lineRule="auto"/>
        <w:ind w:firstLineChars="200" w:firstLine="480"/>
        <w:rPr>
          <w:bCs/>
          <w:sz w:val="24"/>
        </w:rPr>
      </w:pPr>
      <w:r>
        <w:rPr>
          <w:bCs/>
          <w:sz w:val="24"/>
        </w:rPr>
        <w:t>3</w:t>
      </w:r>
      <w:r>
        <w:rPr>
          <w:rFonts w:ascii="宋体" w:hAnsi="宋体" w:cs="Arial" w:hint="eastAsia"/>
          <w:sz w:val="24"/>
        </w:rPr>
        <w:t>）</w:t>
      </w:r>
      <w:r>
        <w:rPr>
          <w:bCs/>
          <w:sz w:val="24"/>
        </w:rPr>
        <w:t>临时基金托管人：新任基金托管人产生之前，由中国证监会指定临时基金托管人；</w:t>
      </w:r>
    </w:p>
    <w:p w:rsidR="00F0328E" w:rsidRDefault="00441AB8">
      <w:pPr>
        <w:spacing w:line="360" w:lineRule="auto"/>
        <w:ind w:firstLineChars="200" w:firstLine="480"/>
        <w:rPr>
          <w:bCs/>
          <w:sz w:val="24"/>
        </w:rPr>
      </w:pPr>
      <w:r>
        <w:rPr>
          <w:bCs/>
          <w:sz w:val="24"/>
        </w:rPr>
        <w:t>4</w:t>
      </w:r>
      <w:r>
        <w:rPr>
          <w:rFonts w:ascii="宋体" w:hAnsi="宋体" w:cs="Arial" w:hint="eastAsia"/>
          <w:sz w:val="24"/>
        </w:rPr>
        <w:t>）</w:t>
      </w:r>
      <w:r>
        <w:rPr>
          <w:rFonts w:hint="eastAsia"/>
          <w:bCs/>
          <w:sz w:val="24"/>
        </w:rPr>
        <w:t>备案</w:t>
      </w:r>
      <w:r>
        <w:rPr>
          <w:bCs/>
          <w:sz w:val="24"/>
        </w:rPr>
        <w:t>：基金份额持有人大会更换基金托管人的决议须</w:t>
      </w:r>
      <w:r>
        <w:rPr>
          <w:rFonts w:hint="eastAsia"/>
          <w:bCs/>
          <w:sz w:val="24"/>
        </w:rPr>
        <w:t>报</w:t>
      </w:r>
      <w:r>
        <w:rPr>
          <w:bCs/>
          <w:sz w:val="24"/>
        </w:rPr>
        <w:t>中国证监会</w:t>
      </w:r>
      <w:r>
        <w:rPr>
          <w:rFonts w:hint="eastAsia"/>
          <w:bCs/>
          <w:sz w:val="24"/>
        </w:rPr>
        <w:t>备案</w:t>
      </w:r>
      <w:r>
        <w:rPr>
          <w:bCs/>
          <w:sz w:val="24"/>
        </w:rPr>
        <w:t>；</w:t>
      </w:r>
    </w:p>
    <w:p w:rsidR="00F0328E" w:rsidRDefault="00441AB8">
      <w:pPr>
        <w:spacing w:line="360" w:lineRule="auto"/>
        <w:ind w:firstLineChars="200" w:firstLine="480"/>
        <w:rPr>
          <w:bCs/>
          <w:sz w:val="24"/>
        </w:rPr>
      </w:pPr>
      <w:r>
        <w:rPr>
          <w:bCs/>
          <w:sz w:val="24"/>
        </w:rPr>
        <w:t>5</w:t>
      </w:r>
      <w:r>
        <w:rPr>
          <w:rFonts w:ascii="宋体" w:hAnsi="宋体" w:cs="Arial" w:hint="eastAsia"/>
          <w:sz w:val="24"/>
        </w:rPr>
        <w:t>）</w:t>
      </w:r>
      <w:r>
        <w:rPr>
          <w:bCs/>
          <w:sz w:val="24"/>
        </w:rPr>
        <w:t>公告：基金托管人更换后，由基金管理人在</w:t>
      </w:r>
      <w:r>
        <w:rPr>
          <w:rFonts w:hint="eastAsia"/>
          <w:bCs/>
          <w:sz w:val="24"/>
        </w:rPr>
        <w:t>更换基金托管人的基金份额持有人大会决议生效</w:t>
      </w:r>
      <w:r>
        <w:rPr>
          <w:bCs/>
          <w:sz w:val="24"/>
        </w:rPr>
        <w:t>后</w:t>
      </w:r>
      <w:r>
        <w:rPr>
          <w:rFonts w:hint="eastAsia"/>
          <w:bCs/>
          <w:sz w:val="24"/>
        </w:rPr>
        <w:t>按规定</w:t>
      </w:r>
      <w:r>
        <w:rPr>
          <w:bCs/>
          <w:sz w:val="24"/>
        </w:rPr>
        <w:t>在</w:t>
      </w:r>
      <w:r>
        <w:rPr>
          <w:rFonts w:hint="eastAsia"/>
          <w:bCs/>
          <w:sz w:val="24"/>
        </w:rPr>
        <w:t>规定媒介</w:t>
      </w:r>
      <w:r>
        <w:rPr>
          <w:bCs/>
          <w:sz w:val="24"/>
        </w:rPr>
        <w:t>公告。</w:t>
      </w:r>
    </w:p>
    <w:p w:rsidR="00F0328E" w:rsidRDefault="00441AB8">
      <w:pPr>
        <w:spacing w:line="360" w:lineRule="auto"/>
        <w:ind w:firstLineChars="200" w:firstLine="480"/>
        <w:rPr>
          <w:bCs/>
          <w:sz w:val="24"/>
        </w:rPr>
      </w:pPr>
      <w:r>
        <w:rPr>
          <w:bCs/>
          <w:sz w:val="24"/>
        </w:rPr>
        <w:t>6</w:t>
      </w:r>
      <w:r>
        <w:rPr>
          <w:rFonts w:ascii="宋体" w:hAnsi="宋体" w:cs="Arial" w:hint="eastAsia"/>
          <w:sz w:val="24"/>
        </w:rPr>
        <w:t>）</w:t>
      </w:r>
      <w:r>
        <w:rPr>
          <w:bCs/>
          <w:sz w:val="24"/>
        </w:rPr>
        <w:t>交接：基金托管人职责终止的，应当妥善保管基金财产和基金托管业务资料，及时办理基金财产和基金托管业务的移交手续，新任基金托管人或者临时基金托管人应当及时接收。新任基金托管人或者临时基金托管人与基金管理人核对基金资产总值</w:t>
      </w:r>
      <w:r>
        <w:rPr>
          <w:rFonts w:hint="eastAsia"/>
          <w:bCs/>
          <w:sz w:val="24"/>
        </w:rPr>
        <w:t>和净值</w:t>
      </w:r>
      <w:r>
        <w:rPr>
          <w:bCs/>
          <w:sz w:val="24"/>
        </w:rPr>
        <w:t>；</w:t>
      </w:r>
      <w:r>
        <w:rPr>
          <w:bCs/>
          <w:sz w:val="24"/>
        </w:rPr>
        <w:t xml:space="preserve"> </w:t>
      </w:r>
    </w:p>
    <w:p w:rsidR="00F0328E" w:rsidRDefault="00441AB8">
      <w:pPr>
        <w:spacing w:line="360" w:lineRule="auto"/>
        <w:ind w:firstLineChars="200" w:firstLine="480"/>
        <w:rPr>
          <w:bCs/>
          <w:sz w:val="24"/>
        </w:rPr>
      </w:pPr>
      <w:r>
        <w:rPr>
          <w:bCs/>
          <w:sz w:val="24"/>
        </w:rPr>
        <w:t>7</w:t>
      </w:r>
      <w:r>
        <w:rPr>
          <w:rFonts w:ascii="宋体" w:hAnsi="宋体" w:cs="Arial" w:hint="eastAsia"/>
          <w:sz w:val="24"/>
        </w:rPr>
        <w:t>）</w:t>
      </w:r>
      <w:r>
        <w:rPr>
          <w:bCs/>
          <w:sz w:val="24"/>
        </w:rPr>
        <w:t>审计：基金托管人职责终止的，应当按照法律法规规定聘请</w:t>
      </w:r>
      <w:r>
        <w:rPr>
          <w:rFonts w:hint="eastAsia"/>
          <w:bCs/>
          <w:sz w:val="24"/>
        </w:rPr>
        <w:t>符合《证券法》规定的</w:t>
      </w:r>
      <w:r>
        <w:rPr>
          <w:bCs/>
          <w:sz w:val="24"/>
        </w:rPr>
        <w:t>会计师事务所对基金财产进行审计，并将审计结果予以公告，同时报中国证监会备案</w:t>
      </w:r>
      <w:r>
        <w:rPr>
          <w:rFonts w:hint="eastAsia"/>
          <w:bCs/>
          <w:sz w:val="24"/>
        </w:rPr>
        <w:t>，审计费用从基金财产中列支</w:t>
      </w:r>
      <w:r>
        <w:rPr>
          <w:bCs/>
          <w:sz w:val="24"/>
        </w:rPr>
        <w:t>。</w:t>
      </w:r>
    </w:p>
    <w:p w:rsidR="00F0328E" w:rsidRDefault="00441AB8">
      <w:pPr>
        <w:pStyle w:val="15"/>
        <w:spacing w:line="360" w:lineRule="auto"/>
        <w:ind w:firstLine="480"/>
        <w:rPr>
          <w:rFonts w:ascii="宋体" w:hAnsi="宋体"/>
          <w:bCs/>
          <w:sz w:val="24"/>
        </w:rPr>
      </w:pPr>
      <w:r>
        <w:rPr>
          <w:rFonts w:ascii="宋体" w:hAnsi="宋体" w:hint="eastAsia"/>
          <w:bCs/>
          <w:sz w:val="24"/>
        </w:rPr>
        <w:t>（三）基金管理人与基金托管人同时更换</w:t>
      </w:r>
    </w:p>
    <w:p w:rsidR="00F0328E" w:rsidRDefault="00441AB8">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提名：如果基金管理人和基金托管人同时更换，由单独或合计持有基金总份额</w:t>
      </w:r>
      <w:r>
        <w:rPr>
          <w:rFonts w:hint="eastAsia"/>
          <w:bCs/>
          <w:sz w:val="24"/>
        </w:rPr>
        <w:t>10%</w:t>
      </w:r>
      <w:r>
        <w:rPr>
          <w:bCs/>
          <w:sz w:val="24"/>
        </w:rPr>
        <w:t>以上（含</w:t>
      </w:r>
      <w:r>
        <w:rPr>
          <w:rFonts w:hint="eastAsia"/>
          <w:bCs/>
          <w:sz w:val="24"/>
        </w:rPr>
        <w:t>10%</w:t>
      </w:r>
      <w:r>
        <w:rPr>
          <w:bCs/>
          <w:sz w:val="24"/>
        </w:rPr>
        <w:t>）的基金份额持有人提名新的基金管理人和基金托管人；</w:t>
      </w:r>
    </w:p>
    <w:p w:rsidR="00F0328E" w:rsidRDefault="00441AB8">
      <w:pPr>
        <w:spacing w:line="360" w:lineRule="auto"/>
        <w:ind w:firstLineChars="200" w:firstLine="480"/>
        <w:rPr>
          <w:bCs/>
          <w:sz w:val="24"/>
        </w:rPr>
      </w:pPr>
      <w:r>
        <w:rPr>
          <w:bCs/>
          <w:sz w:val="24"/>
        </w:rPr>
        <w:t>2</w:t>
      </w:r>
      <w:r>
        <w:rPr>
          <w:rFonts w:hint="eastAsia"/>
          <w:bCs/>
          <w:sz w:val="24"/>
        </w:rPr>
        <w:t>、</w:t>
      </w:r>
      <w:r>
        <w:rPr>
          <w:bCs/>
          <w:sz w:val="24"/>
        </w:rPr>
        <w:t>基金管理人和基金托管人的更换分别按上述程序进行；</w:t>
      </w:r>
    </w:p>
    <w:p w:rsidR="00F0328E" w:rsidRDefault="00441AB8">
      <w:pPr>
        <w:spacing w:line="360" w:lineRule="auto"/>
        <w:ind w:firstLineChars="200" w:firstLine="480"/>
        <w:rPr>
          <w:bCs/>
          <w:sz w:val="24"/>
        </w:rPr>
      </w:pPr>
      <w:r>
        <w:rPr>
          <w:bCs/>
          <w:sz w:val="24"/>
        </w:rPr>
        <w:lastRenderedPageBreak/>
        <w:t>3</w:t>
      </w:r>
      <w:r>
        <w:rPr>
          <w:rFonts w:hint="eastAsia"/>
          <w:bCs/>
          <w:sz w:val="24"/>
        </w:rPr>
        <w:t>、</w:t>
      </w:r>
      <w:r>
        <w:rPr>
          <w:bCs/>
          <w:sz w:val="24"/>
        </w:rPr>
        <w:t>公告：新任基金管理人和新任基金托管人应在更换基金管理人和基金托管人的基金份额持有人大会决议</w:t>
      </w:r>
      <w:r>
        <w:rPr>
          <w:rFonts w:hint="eastAsia"/>
          <w:bCs/>
          <w:sz w:val="24"/>
        </w:rPr>
        <w:t>生效</w:t>
      </w:r>
      <w:r>
        <w:rPr>
          <w:bCs/>
          <w:sz w:val="24"/>
        </w:rPr>
        <w:t>后</w:t>
      </w:r>
      <w:r>
        <w:rPr>
          <w:rFonts w:hint="eastAsia"/>
          <w:bCs/>
          <w:sz w:val="24"/>
        </w:rPr>
        <w:t>按规定</w:t>
      </w:r>
      <w:r>
        <w:rPr>
          <w:bCs/>
          <w:sz w:val="24"/>
        </w:rPr>
        <w:t>在规定媒介上联合公告。</w:t>
      </w:r>
    </w:p>
    <w:p w:rsidR="00F0328E" w:rsidRDefault="00441AB8">
      <w:pPr>
        <w:pStyle w:val="15"/>
        <w:spacing w:line="360" w:lineRule="auto"/>
        <w:ind w:firstLine="480"/>
        <w:rPr>
          <w:rFonts w:ascii="宋体" w:hAnsi="宋体"/>
          <w:bCs/>
          <w:sz w:val="24"/>
        </w:rPr>
      </w:pPr>
      <w:r>
        <w:rPr>
          <w:rFonts w:ascii="宋体" w:hAnsi="宋体" w:hint="eastAsia"/>
          <w:bCs/>
          <w:sz w:val="24"/>
        </w:rPr>
        <w:t>（四）新任或临时基金管理人接收基金管理业务或新任基金托管人或临时基金托管人接收基金财产和基金托管业务前，原基金管理人或原基金托管人应依据法律法规和基金合同的规定继续履行相关职责，并保证不做出对基金份额持有人的利益造成损害的行为，并有义务协助新任基金托管人或临时基金托管人尽快交接基金资产。原基金管理人或原基金托管人在继续履行相关职责期间，仍有权按照基金合同的规定收取基金管理费或基金托管费。</w:t>
      </w:r>
    </w:p>
    <w:p w:rsidR="00F0328E" w:rsidRDefault="00441AB8">
      <w:pPr>
        <w:spacing w:line="360" w:lineRule="auto"/>
        <w:ind w:firstLineChars="200" w:firstLine="480"/>
        <w:rPr>
          <w:rFonts w:ascii="宋体" w:hAnsi="宋体"/>
          <w:bCs/>
          <w:sz w:val="24"/>
        </w:rPr>
      </w:pPr>
      <w:r>
        <w:rPr>
          <w:rFonts w:ascii="宋体" w:hAnsi="宋体" w:hint="eastAsia"/>
          <w:bCs/>
          <w:sz w:val="24"/>
        </w:rPr>
        <w:t>（五）本部分关于基金管理人、基金托管人更换条件和程序的约定，凡是直接引用法律法规或监管规则的部分，如法律法规或监管规则修改导致相关内容被取消或变更的，基金管理人经与基金托管人协商一致并提前公告后，可直接对相应内容进行修改和调整，无需召开基金份额持有人大会审议。</w:t>
      </w:r>
    </w:p>
    <w:p w:rsidR="00F0328E" w:rsidRDefault="00F0328E">
      <w:pPr>
        <w:adjustRightInd w:val="0"/>
        <w:snapToGrid w:val="0"/>
        <w:spacing w:line="360" w:lineRule="auto"/>
        <w:ind w:firstLineChars="200" w:firstLine="480"/>
        <w:rPr>
          <w:rFonts w:ascii="宋体" w:hAnsi="宋体" w:cs="Arial"/>
          <w:sz w:val="24"/>
        </w:rPr>
      </w:pPr>
    </w:p>
    <w:p w:rsidR="00F0328E" w:rsidRDefault="00441AB8" w:rsidP="00CF65B5">
      <w:pPr>
        <w:pStyle w:val="1"/>
        <w:numPr>
          <w:ilvl w:val="0"/>
          <w:numId w:val="1"/>
        </w:numPr>
        <w:spacing w:before="0" w:afterLines="50" w:after="156" w:line="360" w:lineRule="auto"/>
        <w:rPr>
          <w:rFonts w:ascii="宋体" w:hAnsi="宋体"/>
          <w:sz w:val="24"/>
          <w:szCs w:val="24"/>
        </w:rPr>
      </w:pPr>
      <w:r>
        <w:rPr>
          <w:rFonts w:ascii="宋体" w:hAnsi="宋体" w:cs="Arial"/>
          <w:sz w:val="24"/>
        </w:rPr>
        <w:br w:type="page"/>
      </w:r>
      <w:bookmarkStart w:id="234" w:name="_Toc295833703"/>
      <w:bookmarkStart w:id="235" w:name="_Toc295832972"/>
      <w:bookmarkStart w:id="236" w:name="_Toc295833032"/>
      <w:bookmarkStart w:id="237" w:name="_Toc270669866"/>
      <w:bookmarkStart w:id="238" w:name="_Toc124325899"/>
      <w:bookmarkStart w:id="239" w:name="_Toc76720694"/>
      <w:bookmarkEnd w:id="234"/>
      <w:bookmarkEnd w:id="235"/>
      <w:bookmarkEnd w:id="236"/>
      <w:r>
        <w:rPr>
          <w:rFonts w:ascii="宋体" w:hAnsi="宋体" w:hint="eastAsia"/>
          <w:sz w:val="24"/>
          <w:szCs w:val="24"/>
        </w:rPr>
        <w:lastRenderedPageBreak/>
        <w:t>禁止行为</w:t>
      </w:r>
      <w:bookmarkEnd w:id="237"/>
      <w:bookmarkEnd w:id="238"/>
      <w:bookmarkEnd w:id="239"/>
    </w:p>
    <w:p w:rsidR="00F0328E" w:rsidRDefault="00441AB8">
      <w:pPr>
        <w:adjustRightInd w:val="0"/>
        <w:snapToGrid w:val="0"/>
        <w:spacing w:line="360" w:lineRule="auto"/>
        <w:ind w:firstLineChars="200" w:firstLine="480"/>
        <w:rPr>
          <w:rFonts w:ascii="宋体" w:hAnsi="宋体"/>
          <w:sz w:val="24"/>
        </w:rPr>
      </w:pPr>
      <w:r>
        <w:rPr>
          <w:rFonts w:ascii="宋体" w:hAnsi="宋体" w:hint="eastAsia"/>
          <w:sz w:val="24"/>
        </w:rPr>
        <w:t>本协议当事人禁止从事的行为，包括但不限于：</w:t>
      </w:r>
    </w:p>
    <w:p w:rsidR="00F0328E" w:rsidRDefault="00441AB8">
      <w:pPr>
        <w:adjustRightInd w:val="0"/>
        <w:snapToGrid w:val="0"/>
        <w:spacing w:line="360" w:lineRule="auto"/>
        <w:ind w:firstLineChars="200" w:firstLine="480"/>
        <w:rPr>
          <w:rFonts w:ascii="宋体" w:hAnsi="宋体"/>
          <w:sz w:val="24"/>
        </w:rPr>
      </w:pPr>
      <w:r>
        <w:rPr>
          <w:rFonts w:ascii="宋体" w:hAnsi="宋体" w:hint="eastAsia"/>
          <w:sz w:val="24"/>
        </w:rPr>
        <w:t>（一）基金管理人、基金托管人将其固有财产或者他人财产混同于基金财产从事证券投资。</w:t>
      </w:r>
    </w:p>
    <w:p w:rsidR="00F0328E" w:rsidRDefault="00441AB8">
      <w:pPr>
        <w:adjustRightInd w:val="0"/>
        <w:snapToGrid w:val="0"/>
        <w:spacing w:line="360" w:lineRule="auto"/>
        <w:ind w:firstLineChars="200" w:firstLine="480"/>
        <w:rPr>
          <w:rFonts w:ascii="宋体" w:hAnsi="宋体"/>
          <w:sz w:val="24"/>
        </w:rPr>
      </w:pPr>
      <w:r>
        <w:rPr>
          <w:rFonts w:ascii="宋体" w:hAnsi="宋体" w:hint="eastAsia"/>
          <w:sz w:val="24"/>
        </w:rPr>
        <w:t>（二）基金管理人不公平地对待其管理的不同基金财产，基金托管人不公平地对待其托管的不同基金财产。</w:t>
      </w:r>
    </w:p>
    <w:p w:rsidR="00F0328E" w:rsidRDefault="00441AB8">
      <w:pPr>
        <w:adjustRightInd w:val="0"/>
        <w:snapToGrid w:val="0"/>
        <w:spacing w:line="360" w:lineRule="auto"/>
        <w:ind w:firstLineChars="200" w:firstLine="480"/>
        <w:rPr>
          <w:rFonts w:ascii="宋体" w:hAnsi="宋体"/>
          <w:sz w:val="24"/>
        </w:rPr>
      </w:pPr>
      <w:r>
        <w:rPr>
          <w:rFonts w:ascii="宋体" w:hAnsi="宋体" w:hint="eastAsia"/>
          <w:sz w:val="24"/>
        </w:rPr>
        <w:t>（三）基金管理人、基金托管人利用基金财产为基金份额持有人以外的第三人牟取利益。</w:t>
      </w:r>
    </w:p>
    <w:p w:rsidR="00F0328E" w:rsidRDefault="00441AB8">
      <w:pPr>
        <w:adjustRightInd w:val="0"/>
        <w:snapToGrid w:val="0"/>
        <w:spacing w:line="360" w:lineRule="auto"/>
        <w:ind w:firstLineChars="200" w:firstLine="480"/>
        <w:rPr>
          <w:rFonts w:ascii="宋体" w:hAnsi="宋体"/>
          <w:sz w:val="24"/>
        </w:rPr>
      </w:pPr>
      <w:r>
        <w:rPr>
          <w:rFonts w:ascii="宋体" w:hAnsi="宋体" w:hint="eastAsia"/>
          <w:sz w:val="24"/>
        </w:rPr>
        <w:t>（四）基金管理人、基金托管人向基金份额持有人违规承诺收益或者承担损失。</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（五）基金管理人、基金托管人对他人泄露基金运作和管理过程中任何尚未按法律法规规定的方式公开披露的信息。</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sz w:val="24"/>
        </w:rPr>
        <w:t>（六）基金管理人在没有充足资金的情况下向基金托管人发出投资指令和赎回、分红资金的划拨指令，或违规向基金托管人发出指令。</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（七）基金管理人、基金托管人在行政上、财务上不独立，其高级管理人员和其他从业人员相互兼职。</w:t>
      </w:r>
    </w:p>
    <w:p w:rsidR="00F0328E" w:rsidRDefault="00441AB8">
      <w:pPr>
        <w:adjustRightInd w:val="0"/>
        <w:spacing w:line="360" w:lineRule="auto"/>
        <w:ind w:firstLineChars="200" w:firstLine="480"/>
        <w:rPr>
          <w:rFonts w:ascii="宋体" w:hAnsi="宋体" w:cs="Arial"/>
          <w:sz w:val="24"/>
        </w:rPr>
      </w:pPr>
      <w:r>
        <w:rPr>
          <w:rFonts w:ascii="宋体" w:hAnsi="宋体" w:cs="Arial" w:hint="eastAsia"/>
          <w:sz w:val="24"/>
        </w:rPr>
        <w:t>（八）基金托管人私自动用或处分基金财产，根据基金管理人的合法指令、基金合同或托管协议的规定进行处分的除外。</w:t>
      </w:r>
    </w:p>
    <w:p w:rsidR="00F0328E" w:rsidRDefault="00441AB8">
      <w:pPr>
        <w:adjustRightInd w:val="0"/>
        <w:spacing w:line="360" w:lineRule="auto"/>
        <w:ind w:firstLineChars="200" w:firstLine="480"/>
        <w:rPr>
          <w:rFonts w:ascii="宋体" w:hAnsi="宋体" w:cs="Arial"/>
          <w:sz w:val="24"/>
        </w:rPr>
      </w:pPr>
      <w:r>
        <w:rPr>
          <w:rFonts w:ascii="宋体" w:hAnsi="宋体" w:cs="Arial" w:hint="eastAsia"/>
          <w:sz w:val="24"/>
        </w:rPr>
        <w:t>（九）基金财产用于下列投资或者活动：</w:t>
      </w:r>
    </w:p>
    <w:p w:rsidR="00F0328E" w:rsidRDefault="00441AB8">
      <w:pPr>
        <w:adjustRightInd w:val="0"/>
        <w:spacing w:line="360" w:lineRule="auto"/>
        <w:ind w:firstLineChars="200" w:firstLine="480"/>
        <w:rPr>
          <w:bCs/>
          <w:sz w:val="24"/>
          <w:szCs w:val="20"/>
        </w:rPr>
      </w:pPr>
      <w:r>
        <w:rPr>
          <w:bCs/>
          <w:sz w:val="24"/>
          <w:szCs w:val="20"/>
        </w:rPr>
        <w:t>1</w:t>
      </w:r>
      <w:r>
        <w:rPr>
          <w:rFonts w:hint="eastAsia"/>
          <w:bCs/>
          <w:sz w:val="24"/>
          <w:szCs w:val="20"/>
        </w:rPr>
        <w:t>、</w:t>
      </w:r>
      <w:r>
        <w:rPr>
          <w:bCs/>
          <w:sz w:val="24"/>
          <w:szCs w:val="20"/>
        </w:rPr>
        <w:t>承销证券；</w:t>
      </w:r>
    </w:p>
    <w:p w:rsidR="00F0328E" w:rsidRDefault="00441AB8">
      <w:pPr>
        <w:adjustRightInd w:val="0"/>
        <w:spacing w:line="360" w:lineRule="auto"/>
        <w:ind w:firstLineChars="200" w:firstLine="480"/>
        <w:rPr>
          <w:bCs/>
          <w:sz w:val="24"/>
          <w:szCs w:val="20"/>
        </w:rPr>
      </w:pPr>
      <w:r>
        <w:rPr>
          <w:rFonts w:hint="eastAsia"/>
          <w:bCs/>
          <w:sz w:val="24"/>
          <w:szCs w:val="20"/>
        </w:rPr>
        <w:t>2</w:t>
      </w:r>
      <w:r>
        <w:rPr>
          <w:rFonts w:hint="eastAsia"/>
          <w:bCs/>
          <w:sz w:val="24"/>
          <w:szCs w:val="20"/>
        </w:rPr>
        <w:t>、违反规定</w:t>
      </w:r>
      <w:r>
        <w:rPr>
          <w:bCs/>
          <w:sz w:val="24"/>
          <w:szCs w:val="20"/>
        </w:rPr>
        <w:t>向他人贷款或者提供担保；</w:t>
      </w:r>
    </w:p>
    <w:p w:rsidR="00F0328E" w:rsidRDefault="00441AB8">
      <w:pPr>
        <w:adjustRightInd w:val="0"/>
        <w:spacing w:line="360" w:lineRule="auto"/>
        <w:ind w:firstLineChars="200" w:firstLine="480"/>
        <w:rPr>
          <w:bCs/>
          <w:sz w:val="24"/>
          <w:szCs w:val="20"/>
        </w:rPr>
      </w:pPr>
      <w:r>
        <w:rPr>
          <w:rFonts w:hint="eastAsia"/>
          <w:bCs/>
          <w:sz w:val="24"/>
          <w:szCs w:val="20"/>
        </w:rPr>
        <w:t>3</w:t>
      </w:r>
      <w:r>
        <w:rPr>
          <w:rFonts w:hint="eastAsia"/>
          <w:bCs/>
          <w:sz w:val="24"/>
          <w:szCs w:val="20"/>
        </w:rPr>
        <w:t>、</w:t>
      </w:r>
      <w:r>
        <w:rPr>
          <w:bCs/>
          <w:sz w:val="24"/>
          <w:szCs w:val="20"/>
        </w:rPr>
        <w:t>从事承担无限责任的投资；</w:t>
      </w:r>
    </w:p>
    <w:p w:rsidR="00F0328E" w:rsidRDefault="00441AB8">
      <w:pPr>
        <w:adjustRightInd w:val="0"/>
        <w:spacing w:line="360" w:lineRule="auto"/>
        <w:ind w:firstLineChars="200" w:firstLine="480"/>
        <w:rPr>
          <w:bCs/>
          <w:sz w:val="24"/>
          <w:szCs w:val="20"/>
        </w:rPr>
      </w:pPr>
      <w:r>
        <w:rPr>
          <w:rFonts w:hint="eastAsia"/>
          <w:bCs/>
          <w:sz w:val="24"/>
          <w:szCs w:val="20"/>
        </w:rPr>
        <w:t>4</w:t>
      </w:r>
      <w:r>
        <w:rPr>
          <w:rFonts w:hint="eastAsia"/>
          <w:bCs/>
          <w:sz w:val="24"/>
          <w:szCs w:val="20"/>
        </w:rPr>
        <w:t>、</w:t>
      </w:r>
      <w:r>
        <w:rPr>
          <w:bCs/>
          <w:sz w:val="24"/>
          <w:szCs w:val="20"/>
        </w:rPr>
        <w:t>买卖其他基金份额，但是</w:t>
      </w:r>
      <w:r>
        <w:rPr>
          <w:rFonts w:hint="eastAsia"/>
          <w:bCs/>
          <w:sz w:val="24"/>
          <w:szCs w:val="20"/>
        </w:rPr>
        <w:t>中国证监会</w:t>
      </w:r>
      <w:r>
        <w:rPr>
          <w:bCs/>
          <w:sz w:val="24"/>
          <w:szCs w:val="20"/>
        </w:rPr>
        <w:t>另有规定的除外；</w:t>
      </w:r>
    </w:p>
    <w:p w:rsidR="00F0328E" w:rsidRDefault="00441AB8">
      <w:pPr>
        <w:adjustRightInd w:val="0"/>
        <w:spacing w:line="360" w:lineRule="auto"/>
        <w:ind w:firstLineChars="200" w:firstLine="480"/>
        <w:rPr>
          <w:bCs/>
          <w:sz w:val="24"/>
          <w:szCs w:val="20"/>
        </w:rPr>
      </w:pPr>
      <w:r>
        <w:rPr>
          <w:rFonts w:hint="eastAsia"/>
          <w:bCs/>
          <w:sz w:val="24"/>
          <w:szCs w:val="20"/>
        </w:rPr>
        <w:t>5</w:t>
      </w:r>
      <w:r>
        <w:rPr>
          <w:rFonts w:hint="eastAsia"/>
          <w:bCs/>
          <w:sz w:val="24"/>
          <w:szCs w:val="20"/>
        </w:rPr>
        <w:t>、</w:t>
      </w:r>
      <w:r>
        <w:rPr>
          <w:bCs/>
          <w:sz w:val="24"/>
          <w:szCs w:val="20"/>
        </w:rPr>
        <w:t>向</w:t>
      </w:r>
      <w:r>
        <w:rPr>
          <w:rFonts w:hint="eastAsia"/>
          <w:bCs/>
          <w:sz w:val="24"/>
          <w:szCs w:val="20"/>
        </w:rPr>
        <w:t>其</w:t>
      </w:r>
      <w:r>
        <w:rPr>
          <w:bCs/>
          <w:sz w:val="24"/>
          <w:szCs w:val="20"/>
        </w:rPr>
        <w:t>基金管理人、基金托管人出资；</w:t>
      </w:r>
    </w:p>
    <w:p w:rsidR="00F0328E" w:rsidRDefault="00441AB8">
      <w:pPr>
        <w:adjustRightInd w:val="0"/>
        <w:spacing w:line="360" w:lineRule="auto"/>
        <w:ind w:firstLineChars="200" w:firstLine="480"/>
        <w:rPr>
          <w:bCs/>
          <w:sz w:val="24"/>
          <w:szCs w:val="20"/>
        </w:rPr>
      </w:pPr>
      <w:r>
        <w:rPr>
          <w:rFonts w:hint="eastAsia"/>
          <w:bCs/>
          <w:sz w:val="24"/>
          <w:szCs w:val="20"/>
        </w:rPr>
        <w:t>6</w:t>
      </w:r>
      <w:r>
        <w:rPr>
          <w:rFonts w:hint="eastAsia"/>
          <w:bCs/>
          <w:sz w:val="24"/>
          <w:szCs w:val="20"/>
        </w:rPr>
        <w:t>、</w:t>
      </w:r>
      <w:r>
        <w:rPr>
          <w:bCs/>
          <w:sz w:val="24"/>
          <w:szCs w:val="20"/>
        </w:rPr>
        <w:t>从事内幕交易、操纵证券交易价格及其他不正当的证券交易活动；</w:t>
      </w:r>
    </w:p>
    <w:p w:rsidR="00F0328E" w:rsidRDefault="00441AB8">
      <w:pPr>
        <w:adjustRightInd w:val="0"/>
        <w:spacing w:line="360" w:lineRule="auto"/>
        <w:ind w:firstLineChars="200" w:firstLine="480"/>
        <w:rPr>
          <w:bCs/>
          <w:sz w:val="24"/>
          <w:szCs w:val="20"/>
        </w:rPr>
      </w:pPr>
      <w:r>
        <w:rPr>
          <w:rFonts w:hint="eastAsia"/>
          <w:bCs/>
          <w:sz w:val="24"/>
          <w:szCs w:val="20"/>
        </w:rPr>
        <w:t>7</w:t>
      </w:r>
      <w:r>
        <w:rPr>
          <w:rFonts w:hint="eastAsia"/>
          <w:bCs/>
          <w:sz w:val="24"/>
          <w:szCs w:val="20"/>
        </w:rPr>
        <w:t>、</w:t>
      </w:r>
      <w:r>
        <w:rPr>
          <w:bCs/>
          <w:sz w:val="24"/>
          <w:szCs w:val="20"/>
        </w:rPr>
        <w:t>法律</w:t>
      </w:r>
      <w:r>
        <w:rPr>
          <w:rFonts w:hint="eastAsia"/>
          <w:bCs/>
          <w:sz w:val="24"/>
          <w:szCs w:val="20"/>
        </w:rPr>
        <w:t>、行政</w:t>
      </w:r>
      <w:r>
        <w:rPr>
          <w:bCs/>
          <w:sz w:val="24"/>
          <w:szCs w:val="20"/>
        </w:rPr>
        <w:t>法规</w:t>
      </w:r>
      <w:r>
        <w:rPr>
          <w:rFonts w:hint="eastAsia"/>
          <w:bCs/>
          <w:sz w:val="24"/>
          <w:szCs w:val="20"/>
        </w:rPr>
        <w:t>和</w:t>
      </w:r>
      <w:r>
        <w:rPr>
          <w:bCs/>
          <w:sz w:val="24"/>
          <w:szCs w:val="20"/>
        </w:rPr>
        <w:t>中国证监会规定禁止的其他活动</w:t>
      </w:r>
      <w:r>
        <w:rPr>
          <w:rFonts w:hint="eastAsia"/>
          <w:bCs/>
          <w:sz w:val="24"/>
          <w:szCs w:val="20"/>
        </w:rPr>
        <w:t>。</w:t>
      </w:r>
    </w:p>
    <w:p w:rsidR="00F0328E" w:rsidRDefault="00441AB8">
      <w:pPr>
        <w:adjustRightInd w:val="0"/>
        <w:spacing w:line="360" w:lineRule="auto"/>
        <w:ind w:firstLineChars="200" w:firstLine="480"/>
        <w:rPr>
          <w:bCs/>
          <w:sz w:val="24"/>
          <w:szCs w:val="20"/>
        </w:rPr>
      </w:pPr>
      <w:r>
        <w:rPr>
          <w:rFonts w:hint="eastAsia"/>
          <w:bCs/>
          <w:sz w:val="24"/>
          <w:szCs w:val="20"/>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w:t>
      </w:r>
      <w:r>
        <w:rPr>
          <w:rFonts w:hint="eastAsia"/>
          <w:bCs/>
          <w:sz w:val="24"/>
          <w:szCs w:val="20"/>
        </w:rPr>
        <w:lastRenderedPageBreak/>
        <w:t>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F0328E" w:rsidRDefault="00441AB8">
      <w:pPr>
        <w:adjustRightInd w:val="0"/>
        <w:spacing w:line="360" w:lineRule="auto"/>
        <w:ind w:firstLineChars="200" w:firstLine="480"/>
        <w:rPr>
          <w:bCs/>
          <w:sz w:val="24"/>
          <w:szCs w:val="20"/>
        </w:rPr>
      </w:pPr>
      <w:r>
        <w:rPr>
          <w:rFonts w:hint="eastAsia"/>
          <w:bCs/>
          <w:sz w:val="24"/>
          <w:szCs w:val="20"/>
        </w:rPr>
        <w:t>法律、行政法规或监管部门取消或变更上述禁止性规定，如适用于本基金，基金管理人在履行适当程序后，则本基金投资不再受相关限制或按变更后的规定执行。</w:t>
      </w:r>
    </w:p>
    <w:p w:rsidR="00F0328E" w:rsidRDefault="00441AB8">
      <w:pPr>
        <w:adjustRightInd w:val="0"/>
        <w:spacing w:line="360" w:lineRule="auto"/>
        <w:ind w:firstLineChars="200" w:firstLine="480"/>
        <w:rPr>
          <w:rFonts w:ascii="宋体" w:hAnsi="宋体" w:cs="Arial"/>
          <w:sz w:val="24"/>
        </w:rPr>
      </w:pPr>
      <w:r>
        <w:rPr>
          <w:rFonts w:ascii="宋体" w:hAnsi="宋体" w:cs="Arial" w:hint="eastAsia"/>
          <w:sz w:val="24"/>
        </w:rPr>
        <w:t>（十）法律法规和基金合同禁止的其他行为，以及法律、行政法规和</w:t>
      </w:r>
      <w:r>
        <w:rPr>
          <w:rFonts w:ascii="宋体" w:hAnsi="宋体" w:cs="Arial" w:hint="eastAsia"/>
        </w:rPr>
        <w:t>中国证监会</w:t>
      </w:r>
      <w:r>
        <w:rPr>
          <w:rFonts w:ascii="宋体" w:hAnsi="宋体" w:cs="Arial" w:hint="eastAsia"/>
          <w:sz w:val="24"/>
        </w:rPr>
        <w:t>规定禁止基金管理人、基金托管人从事的其他行为。</w:t>
      </w:r>
    </w:p>
    <w:p w:rsidR="00F0328E" w:rsidRDefault="00F0328E">
      <w:pPr>
        <w:spacing w:line="360" w:lineRule="auto"/>
        <w:ind w:firstLineChars="200" w:firstLine="480"/>
        <w:rPr>
          <w:rFonts w:ascii="宋体" w:hAnsi="宋体" w:cs="Arial"/>
          <w:sz w:val="24"/>
        </w:rPr>
      </w:pPr>
    </w:p>
    <w:p w:rsidR="00F0328E" w:rsidRDefault="00441AB8" w:rsidP="00CF65B5">
      <w:pPr>
        <w:pStyle w:val="1"/>
        <w:numPr>
          <w:ilvl w:val="0"/>
          <w:numId w:val="1"/>
        </w:numPr>
        <w:spacing w:before="0" w:afterLines="50" w:after="156" w:line="360" w:lineRule="auto"/>
        <w:rPr>
          <w:rFonts w:ascii="宋体" w:hAnsi="宋体"/>
          <w:sz w:val="24"/>
          <w:szCs w:val="24"/>
        </w:rPr>
      </w:pPr>
      <w:r>
        <w:rPr>
          <w:rFonts w:ascii="宋体" w:hAnsi="宋体"/>
          <w:sz w:val="24"/>
        </w:rPr>
        <w:br w:type="page"/>
      </w:r>
      <w:bookmarkStart w:id="240" w:name="_Toc295833034"/>
      <w:bookmarkStart w:id="241" w:name="_Toc295832974"/>
      <w:bookmarkStart w:id="242" w:name="_Toc295833705"/>
      <w:bookmarkStart w:id="243" w:name="_Toc270669867"/>
      <w:bookmarkStart w:id="244" w:name="_Toc124325900"/>
      <w:bookmarkStart w:id="245" w:name="_Toc76720695"/>
      <w:bookmarkEnd w:id="240"/>
      <w:bookmarkEnd w:id="241"/>
      <w:bookmarkEnd w:id="242"/>
      <w:r>
        <w:rPr>
          <w:rFonts w:ascii="宋体" w:hAnsi="宋体" w:hint="eastAsia"/>
          <w:sz w:val="24"/>
          <w:szCs w:val="24"/>
        </w:rPr>
        <w:lastRenderedPageBreak/>
        <w:t>托管协议的变更、终止与基金财产的清算</w:t>
      </w:r>
      <w:bookmarkEnd w:id="243"/>
      <w:bookmarkEnd w:id="244"/>
      <w:bookmarkEnd w:id="245"/>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（一）托管协议的变更程序</w:t>
      </w:r>
    </w:p>
    <w:p w:rsidR="00F0328E" w:rsidRDefault="00441AB8">
      <w:pPr>
        <w:adjustRightInd w:val="0"/>
        <w:snapToGrid w:val="0"/>
        <w:spacing w:line="360" w:lineRule="auto"/>
        <w:ind w:firstLineChars="200" w:firstLine="480"/>
        <w:rPr>
          <w:rFonts w:ascii="宋体" w:hAnsi="宋体"/>
          <w:sz w:val="24"/>
        </w:rPr>
      </w:pPr>
      <w:r>
        <w:rPr>
          <w:rFonts w:ascii="宋体" w:hAnsi="宋体" w:cs="Arial" w:hint="eastAsia"/>
          <w:sz w:val="24"/>
        </w:rPr>
        <w:t>本协议双方当事人经协商一致，可以对协议进行修改。修改后的新协议，其内容不得与基金合同的规定有任何冲突。基金托管协议的变更报中国证监会备案。</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（二）基金托管协议终止出现的情形</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1、基金合同终止；</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2、基金托管人解散、依法被撤销、破产或由其他基金托管人接管基金资产；</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3、基金管理人解散、依法被撤销、破产或由其他基金管理人接管基金管理权；</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sz w:val="24"/>
        </w:rPr>
        <w:t>4</w:t>
      </w:r>
      <w:r>
        <w:rPr>
          <w:rFonts w:ascii="宋体" w:hAnsi="宋体" w:cs="Arial" w:hint="eastAsia"/>
          <w:sz w:val="24"/>
        </w:rPr>
        <w:t>、发生法律法规或基金合同规定的终止事项。</w:t>
      </w:r>
    </w:p>
    <w:p w:rsidR="00F0328E" w:rsidRDefault="00441AB8">
      <w:pPr>
        <w:adjustRightInd w:val="0"/>
        <w:snapToGrid w:val="0"/>
        <w:spacing w:line="360" w:lineRule="auto"/>
        <w:ind w:firstLineChars="200" w:firstLine="480"/>
        <w:rPr>
          <w:rFonts w:ascii="宋体" w:hAnsi="宋体" w:cs="Arial"/>
          <w:sz w:val="24"/>
        </w:rPr>
      </w:pPr>
      <w:bookmarkStart w:id="246" w:name="_Hlk33619247"/>
      <w:r>
        <w:rPr>
          <w:rFonts w:ascii="宋体" w:hAnsi="宋体" w:cs="Arial" w:hint="eastAsia"/>
          <w:sz w:val="24"/>
        </w:rPr>
        <w:t>（三）基金财产的清算</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1、基金财产清算小组</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（1）</w:t>
      </w:r>
      <w:r>
        <w:rPr>
          <w:rFonts w:ascii="宋体" w:hAnsi="宋体" w:cs="Arial"/>
          <w:sz w:val="24"/>
        </w:rPr>
        <w:t>自出现基金合同终止事由之日起30个工作日内成立</w:t>
      </w:r>
      <w:r>
        <w:rPr>
          <w:rFonts w:ascii="宋体" w:hAnsi="宋体" w:cs="Arial" w:hint="eastAsia"/>
          <w:sz w:val="24"/>
        </w:rPr>
        <w:t>基金财产</w:t>
      </w:r>
      <w:r>
        <w:rPr>
          <w:rFonts w:ascii="宋体" w:hAnsi="宋体" w:cs="Arial"/>
          <w:sz w:val="24"/>
        </w:rPr>
        <w:t>清算小组，基金管理人组织基金财产清算小组并在中国证监会的监督下进行基金清算。</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（2）基金财产清算小组成员由基金管理人、基金托管人、符合《证券法》规定的注册会计师、律师以及中国证监会指定的人员组成。基金财产清算小组可以聘用必要的工作人员。</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（3）基金财产清算小组负责基金财产的保管、清理、估价、变现和分配。基金财产清算小组可以依法进行必要的民事活动。</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2、基金财产清算程序</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基金合同终止，应当按法律法规和基金合同的有关规定对基金财产进行清算。基金财产清算程序主要包括：</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w:t>
      </w:r>
      <w:r>
        <w:rPr>
          <w:rFonts w:ascii="宋体" w:hAnsi="宋体" w:cs="Arial"/>
          <w:sz w:val="24"/>
        </w:rPr>
        <w:t>1）基金合同终止情形出现时，由基金财产清算小组统一接管基金</w:t>
      </w:r>
      <w:r>
        <w:rPr>
          <w:rFonts w:ascii="宋体" w:hAnsi="宋体" w:cs="Arial" w:hint="eastAsia"/>
          <w:sz w:val="24"/>
        </w:rPr>
        <w:t>财产</w:t>
      </w:r>
      <w:r>
        <w:rPr>
          <w:rFonts w:ascii="宋体" w:hAnsi="宋体" w:cs="Arial"/>
          <w:sz w:val="24"/>
        </w:rPr>
        <w:t>；</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w:t>
      </w:r>
      <w:r>
        <w:rPr>
          <w:rFonts w:ascii="宋体" w:hAnsi="宋体" w:cs="Arial"/>
          <w:sz w:val="24"/>
        </w:rPr>
        <w:t>2）对基金财产和债权债务进行清理和确认；</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w:t>
      </w:r>
      <w:r>
        <w:rPr>
          <w:rFonts w:ascii="宋体" w:hAnsi="宋体" w:cs="Arial"/>
          <w:sz w:val="24"/>
        </w:rPr>
        <w:t>3）对基金财产进行估值和变现；</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w:t>
      </w:r>
      <w:r>
        <w:rPr>
          <w:rFonts w:ascii="宋体" w:hAnsi="宋体" w:cs="Arial"/>
          <w:sz w:val="24"/>
        </w:rPr>
        <w:t>4）制作清算报告；</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w:t>
      </w:r>
      <w:r>
        <w:rPr>
          <w:rFonts w:ascii="宋体" w:hAnsi="宋体" w:cs="Arial"/>
          <w:sz w:val="24"/>
        </w:rPr>
        <w:t>5）聘请</w:t>
      </w:r>
      <w:r>
        <w:rPr>
          <w:rFonts w:ascii="宋体" w:hAnsi="宋体" w:cs="Arial" w:hint="eastAsia"/>
          <w:sz w:val="24"/>
        </w:rPr>
        <w:t>符合《证券法》规定的</w:t>
      </w:r>
      <w:r>
        <w:rPr>
          <w:rFonts w:ascii="宋体" w:hAnsi="宋体" w:cs="Arial"/>
          <w:sz w:val="24"/>
        </w:rPr>
        <w:t>会计师事务所对清算报告进行外部审计，聘请律师事务所对清算报告出具法律意见书；</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lastRenderedPageBreak/>
        <w:t>（</w:t>
      </w:r>
      <w:r>
        <w:rPr>
          <w:rFonts w:ascii="宋体" w:hAnsi="宋体" w:cs="Arial"/>
          <w:sz w:val="24"/>
        </w:rPr>
        <w:t>6）将清算报告报中国证监会备案并公告</w:t>
      </w:r>
      <w:r>
        <w:rPr>
          <w:rFonts w:ascii="宋体" w:hAnsi="宋体" w:cs="Arial" w:hint="eastAsia"/>
          <w:sz w:val="24"/>
        </w:rPr>
        <w:t>；</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w:t>
      </w:r>
      <w:r>
        <w:rPr>
          <w:rFonts w:ascii="宋体" w:hAnsi="宋体" w:cs="Arial"/>
          <w:sz w:val="24"/>
        </w:rPr>
        <w:t>7）对基金</w:t>
      </w:r>
      <w:r>
        <w:rPr>
          <w:rFonts w:ascii="宋体" w:hAnsi="宋体" w:cs="Arial" w:hint="eastAsia"/>
          <w:sz w:val="24"/>
        </w:rPr>
        <w:t>剩余</w:t>
      </w:r>
      <w:r>
        <w:rPr>
          <w:rFonts w:ascii="宋体" w:hAnsi="宋体" w:cs="Arial"/>
          <w:sz w:val="24"/>
        </w:rPr>
        <w:t>财产进行分配</w:t>
      </w:r>
      <w:r>
        <w:rPr>
          <w:rFonts w:ascii="宋体" w:hAnsi="宋体" w:cs="Arial" w:hint="eastAsia"/>
          <w:sz w:val="24"/>
        </w:rPr>
        <w:t>。</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sz w:val="24"/>
        </w:rPr>
        <w:t>基金财产清算的期限为</w:t>
      </w:r>
      <w:r>
        <w:rPr>
          <w:rFonts w:ascii="宋体" w:hAnsi="宋体" w:cs="Arial" w:hint="eastAsia"/>
          <w:sz w:val="24"/>
        </w:rPr>
        <w:t>6</w:t>
      </w:r>
      <w:r>
        <w:rPr>
          <w:rFonts w:ascii="宋体" w:hAnsi="宋体" w:cs="Arial"/>
          <w:sz w:val="24"/>
        </w:rPr>
        <w:t>个月，但因本基金所持证券的流动性受到限制而不能及时变现的，清算期限相应顺延。</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3、清算费用</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sz w:val="24"/>
        </w:rPr>
        <w:t>清算费用是指基金财产清算小组在进行基金清算过程中发生的所有合理费用，清算费用由基金财产清算小组</w:t>
      </w:r>
      <w:r>
        <w:rPr>
          <w:rFonts w:ascii="宋体" w:hAnsi="宋体" w:cs="Arial" w:hint="eastAsia"/>
          <w:sz w:val="24"/>
        </w:rPr>
        <w:t>优先</w:t>
      </w:r>
      <w:r>
        <w:rPr>
          <w:rFonts w:ascii="宋体" w:hAnsi="宋体" w:cs="Arial"/>
          <w:sz w:val="24"/>
        </w:rPr>
        <w:t>从基金财产中支付。</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4、</w:t>
      </w:r>
      <w:r>
        <w:rPr>
          <w:rFonts w:ascii="宋体" w:hAnsi="宋体" w:cs="Arial"/>
          <w:sz w:val="24"/>
        </w:rPr>
        <w:t>基金财产清算剩余资产的分配</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依据基金财产清算的分配方案，将基金财产清算后的全部剩余资产扣除基金财产清算费用、交纳所欠税款并清偿基金债务后，按基金份额持有人持有的基金份额比例进行分配。</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5、基金财产清算的公告</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sz w:val="24"/>
        </w:rPr>
        <w:t>清算过程中的有关重大事项须及时公告；基金财产清算报告经</w:t>
      </w:r>
      <w:r>
        <w:rPr>
          <w:rFonts w:ascii="宋体" w:hAnsi="宋体" w:cs="Arial" w:hint="eastAsia"/>
          <w:sz w:val="24"/>
        </w:rPr>
        <w:t>符合《证券法》规定的</w:t>
      </w:r>
      <w:r>
        <w:rPr>
          <w:rFonts w:ascii="宋体" w:hAnsi="宋体" w:cs="Arial"/>
          <w:sz w:val="24"/>
        </w:rPr>
        <w:t>会计师事务所审计并由律师事务所出具法律意见书后报中国证监会备案并公告。基金财产清算公告于基金财产清算报告报中国证监会备案后</w:t>
      </w:r>
      <w:r>
        <w:rPr>
          <w:rFonts w:ascii="宋体" w:hAnsi="宋体" w:cs="Arial" w:hint="eastAsia"/>
          <w:sz w:val="24"/>
        </w:rPr>
        <w:t>5</w:t>
      </w:r>
      <w:r>
        <w:rPr>
          <w:rFonts w:ascii="宋体" w:hAnsi="宋体" w:cs="Arial"/>
          <w:sz w:val="24"/>
        </w:rPr>
        <w:t>个工作日内由基金财产清算小组进行公告。</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6、基金财产清算账册及文件的保存</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基金财产清算账册及有关文件由基金托管人保存20年以上，</w:t>
      </w:r>
      <w:r w:rsidR="001B4D94" w:rsidRPr="001B4D94">
        <w:rPr>
          <w:rFonts w:ascii="宋体" w:hAnsi="宋体" w:cs="Arial" w:hint="eastAsia"/>
          <w:sz w:val="24"/>
        </w:rPr>
        <w:t>保管期限</w:t>
      </w:r>
      <w:r>
        <w:rPr>
          <w:rFonts w:ascii="宋体" w:hAnsi="宋体" w:cs="Arial" w:hint="eastAsia"/>
          <w:sz w:val="24"/>
        </w:rPr>
        <w:t>不少于法定最低期限。</w:t>
      </w:r>
    </w:p>
    <w:p w:rsidR="00F0328E" w:rsidRDefault="00441AB8" w:rsidP="00CF65B5">
      <w:pPr>
        <w:pStyle w:val="1"/>
        <w:numPr>
          <w:ilvl w:val="0"/>
          <w:numId w:val="1"/>
        </w:numPr>
        <w:spacing w:before="0" w:afterLines="50" w:after="156" w:line="360" w:lineRule="auto"/>
        <w:rPr>
          <w:rFonts w:ascii="宋体" w:hAnsi="宋体"/>
          <w:sz w:val="24"/>
          <w:szCs w:val="24"/>
        </w:rPr>
      </w:pPr>
      <w:r>
        <w:rPr>
          <w:rFonts w:ascii="宋体" w:hAnsi="宋体" w:cs="Arial"/>
          <w:sz w:val="24"/>
        </w:rPr>
        <w:br w:type="page"/>
      </w:r>
      <w:bookmarkStart w:id="247" w:name="_Toc295833707"/>
      <w:bookmarkStart w:id="248" w:name="_Toc295833036"/>
      <w:bookmarkStart w:id="249" w:name="_Toc295832976"/>
      <w:bookmarkStart w:id="250" w:name="_Toc124325901"/>
      <w:bookmarkStart w:id="251" w:name="_Toc270669868"/>
      <w:bookmarkStart w:id="252" w:name="_Toc76720696"/>
      <w:bookmarkEnd w:id="246"/>
      <w:bookmarkEnd w:id="247"/>
      <w:bookmarkEnd w:id="248"/>
      <w:bookmarkEnd w:id="249"/>
      <w:r>
        <w:rPr>
          <w:rFonts w:ascii="宋体" w:hAnsi="宋体" w:hint="eastAsia"/>
          <w:sz w:val="24"/>
          <w:szCs w:val="24"/>
        </w:rPr>
        <w:lastRenderedPageBreak/>
        <w:t>违约责任</w:t>
      </w:r>
      <w:bookmarkEnd w:id="250"/>
      <w:bookmarkEnd w:id="251"/>
      <w:bookmarkEnd w:id="252"/>
    </w:p>
    <w:p w:rsidR="00F0328E" w:rsidRDefault="00441AB8">
      <w:pPr>
        <w:spacing w:line="360" w:lineRule="auto"/>
        <w:ind w:firstLineChars="200" w:firstLine="480"/>
        <w:rPr>
          <w:rFonts w:ascii="宋体" w:hAnsi="宋体"/>
          <w:sz w:val="24"/>
        </w:rPr>
      </w:pPr>
      <w:r>
        <w:rPr>
          <w:rFonts w:ascii="宋体" w:hAnsi="宋体" w:hint="eastAsia"/>
          <w:sz w:val="24"/>
        </w:rPr>
        <w:t>（一）</w:t>
      </w:r>
      <w:r>
        <w:rPr>
          <w:rFonts w:ascii="宋体" w:hAnsi="宋体"/>
          <w:sz w:val="24"/>
        </w:rPr>
        <w:t>基金管理人、基金托管人在履行各自职责的过程中，违反《基金法》</w:t>
      </w:r>
      <w:r>
        <w:rPr>
          <w:rFonts w:ascii="宋体" w:hAnsi="宋体"/>
          <w:bCs/>
          <w:sz w:val="24"/>
        </w:rPr>
        <w:t>等法律法规的规定</w:t>
      </w:r>
      <w:r>
        <w:rPr>
          <w:rFonts w:ascii="宋体" w:hAnsi="宋体"/>
          <w:sz w:val="24"/>
        </w:rPr>
        <w:t>或者</w:t>
      </w:r>
      <w:r>
        <w:rPr>
          <w:rFonts w:ascii="宋体" w:hAnsi="宋体"/>
          <w:bCs/>
          <w:sz w:val="24"/>
        </w:rPr>
        <w:t>基金合同</w:t>
      </w:r>
      <w:r>
        <w:rPr>
          <w:rFonts w:ascii="宋体" w:hAnsi="宋体" w:hint="eastAsia"/>
          <w:bCs/>
          <w:sz w:val="24"/>
        </w:rPr>
        <w:t>、托管协议</w:t>
      </w:r>
      <w:r>
        <w:rPr>
          <w:rFonts w:ascii="宋体" w:hAnsi="宋体"/>
          <w:sz w:val="24"/>
        </w:rPr>
        <w:t>约定，给基金财产或者基金份额持有人造成损害的，应当分别对各自的行为依法承担赔偿责任；因共同行为给基金财产或者基金份额持有人造成损害的，应当承担连带赔偿责任</w:t>
      </w:r>
      <w:r>
        <w:rPr>
          <w:rFonts w:ascii="宋体" w:hAnsi="宋体" w:hint="eastAsia"/>
          <w:bCs/>
          <w:sz w:val="24"/>
        </w:rPr>
        <w:t>。</w:t>
      </w:r>
      <w:r>
        <w:rPr>
          <w:rFonts w:ascii="宋体" w:hAnsi="宋体"/>
          <w:bCs/>
          <w:sz w:val="24"/>
        </w:rPr>
        <w:t>对</w:t>
      </w:r>
      <w:r>
        <w:rPr>
          <w:rFonts w:ascii="宋体" w:hAnsi="宋体"/>
          <w:sz w:val="24"/>
        </w:rPr>
        <w:t>损失的</w:t>
      </w:r>
      <w:r>
        <w:rPr>
          <w:rFonts w:ascii="宋体" w:hAnsi="宋体"/>
          <w:bCs/>
          <w:sz w:val="24"/>
        </w:rPr>
        <w:t>赔偿，仅限于</w:t>
      </w:r>
      <w:r>
        <w:rPr>
          <w:rFonts w:ascii="宋体" w:hAnsi="宋体"/>
          <w:sz w:val="24"/>
        </w:rPr>
        <w:t>直接损失。</w:t>
      </w:r>
      <w:r>
        <w:rPr>
          <w:rFonts w:ascii="宋体" w:hAnsi="宋体" w:hint="eastAsia"/>
          <w:sz w:val="24"/>
        </w:rPr>
        <w:t>但是发生下列情况之一的，当事人</w:t>
      </w:r>
      <w:r>
        <w:rPr>
          <w:rFonts w:ascii="宋体" w:hAnsi="宋体" w:hint="eastAsia"/>
          <w:bCs/>
          <w:sz w:val="24"/>
        </w:rPr>
        <w:t>免责</w:t>
      </w:r>
      <w:r>
        <w:rPr>
          <w:rFonts w:ascii="宋体" w:hAnsi="宋体" w:hint="eastAsia"/>
          <w:sz w:val="24"/>
        </w:rPr>
        <w:t>：</w:t>
      </w:r>
    </w:p>
    <w:p w:rsidR="00F0328E" w:rsidRDefault="00441AB8">
      <w:pPr>
        <w:spacing w:line="360" w:lineRule="auto"/>
        <w:ind w:firstLineChars="200" w:firstLine="480"/>
        <w:rPr>
          <w:rFonts w:ascii="宋体" w:hAnsi="宋体"/>
          <w:sz w:val="24"/>
        </w:rPr>
      </w:pPr>
      <w:r>
        <w:rPr>
          <w:rFonts w:ascii="宋体" w:hAnsi="宋体" w:hint="eastAsia"/>
          <w:sz w:val="24"/>
        </w:rPr>
        <w:t>（1）基金管理人及/或基金托管人按照当时有效的法律法规或中国证监会的规定或市场交易规则作为或不作为而造成的损失等；</w:t>
      </w:r>
    </w:p>
    <w:p w:rsidR="00F0328E" w:rsidRDefault="00441AB8">
      <w:pPr>
        <w:spacing w:line="360" w:lineRule="auto"/>
        <w:ind w:firstLineChars="200" w:firstLine="480"/>
        <w:rPr>
          <w:rFonts w:ascii="宋体" w:hAnsi="宋体"/>
          <w:sz w:val="24"/>
        </w:rPr>
      </w:pPr>
      <w:r>
        <w:rPr>
          <w:rFonts w:ascii="宋体" w:hAnsi="宋体" w:hint="eastAsia"/>
          <w:sz w:val="24"/>
        </w:rPr>
        <w:t>（2）基金管理人由于按照基金合同规定的投资原则行使或不行使其投资权</w:t>
      </w:r>
      <w:r>
        <w:rPr>
          <w:rFonts w:ascii="宋体" w:hAnsi="宋体"/>
          <w:sz w:val="24"/>
        </w:rPr>
        <w:t>所</w:t>
      </w:r>
      <w:r>
        <w:rPr>
          <w:rFonts w:ascii="宋体" w:hAnsi="宋体" w:hint="eastAsia"/>
          <w:sz w:val="24"/>
        </w:rPr>
        <w:t>造成的损失等；</w:t>
      </w:r>
    </w:p>
    <w:p w:rsidR="00F0328E" w:rsidRDefault="00441AB8">
      <w:pPr>
        <w:spacing w:line="360" w:lineRule="auto"/>
        <w:ind w:firstLineChars="200" w:firstLine="480"/>
        <w:rPr>
          <w:rFonts w:ascii="宋体" w:hAnsi="宋体"/>
          <w:sz w:val="24"/>
        </w:rPr>
      </w:pPr>
      <w:r>
        <w:rPr>
          <w:rFonts w:ascii="宋体" w:hAnsi="宋体" w:hint="eastAsia"/>
          <w:sz w:val="24"/>
        </w:rPr>
        <w:t>（3）不可抗力；</w:t>
      </w:r>
    </w:p>
    <w:p w:rsidR="00F0328E" w:rsidRDefault="00441AB8">
      <w:pPr>
        <w:spacing w:line="360" w:lineRule="auto"/>
        <w:ind w:firstLineChars="200" w:firstLine="480"/>
        <w:rPr>
          <w:rFonts w:ascii="宋体" w:hAnsi="宋体"/>
          <w:sz w:val="24"/>
        </w:rPr>
      </w:pPr>
      <w:r>
        <w:rPr>
          <w:rFonts w:ascii="宋体" w:hAnsi="宋体" w:hint="eastAsia"/>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rFonts w:ascii="宋体" w:hAnsi="宋体"/>
          <w:sz w:val="24"/>
        </w:rPr>
        <w:t xml:space="preserve">。 </w:t>
      </w:r>
    </w:p>
    <w:p w:rsidR="00F0328E" w:rsidRDefault="00441AB8">
      <w:pPr>
        <w:spacing w:line="360" w:lineRule="auto"/>
        <w:ind w:firstLineChars="200" w:firstLine="480"/>
        <w:rPr>
          <w:rFonts w:ascii="宋体" w:hAnsi="宋体"/>
          <w:sz w:val="24"/>
        </w:rPr>
      </w:pPr>
      <w:r>
        <w:rPr>
          <w:rFonts w:ascii="宋体" w:hAnsi="宋体" w:hint="eastAsia"/>
          <w:sz w:val="24"/>
        </w:rPr>
        <w:t>（三）由于基金管理人、基金托管人不可控制的因素导致业务出现差错，基金管理人和基金托管人虽然已经采取必要、适当、合理的措施进行检查，但是未能发现错误的，由此造成基金财产或投资</w:t>
      </w:r>
      <w:r>
        <w:rPr>
          <w:rFonts w:ascii="宋体" w:hAnsi="宋体"/>
          <w:sz w:val="24"/>
        </w:rPr>
        <w:t>者</w:t>
      </w:r>
      <w:r>
        <w:rPr>
          <w:rFonts w:ascii="宋体" w:hAnsi="宋体" w:hint="eastAsia"/>
          <w:sz w:val="24"/>
        </w:rPr>
        <w:t>损失，基金管理人和基金托管人免除赔偿责任。但是基金管理人和基金托管人应积极采取必要的措施消除或减轻由此造成的影响</w:t>
      </w:r>
      <w:r>
        <w:rPr>
          <w:rFonts w:ascii="宋体" w:hAnsi="宋体"/>
          <w:sz w:val="24"/>
        </w:rPr>
        <w:t>。</w:t>
      </w:r>
    </w:p>
    <w:p w:rsidR="00F0328E" w:rsidRDefault="00F0328E">
      <w:pPr>
        <w:adjustRightInd w:val="0"/>
        <w:snapToGrid w:val="0"/>
        <w:spacing w:line="360" w:lineRule="auto"/>
        <w:ind w:firstLineChars="200" w:firstLine="480"/>
        <w:rPr>
          <w:rFonts w:ascii="宋体" w:hAnsi="宋体" w:cs="Arial"/>
          <w:sz w:val="24"/>
        </w:rPr>
      </w:pPr>
    </w:p>
    <w:p w:rsidR="00F0328E" w:rsidRDefault="00441AB8" w:rsidP="00CF65B5">
      <w:pPr>
        <w:pStyle w:val="1"/>
        <w:numPr>
          <w:ilvl w:val="0"/>
          <w:numId w:val="1"/>
        </w:numPr>
        <w:spacing w:before="0" w:afterLines="50" w:after="156" w:line="360" w:lineRule="auto"/>
        <w:rPr>
          <w:rFonts w:ascii="宋体" w:hAnsi="宋体"/>
          <w:sz w:val="24"/>
          <w:szCs w:val="24"/>
        </w:rPr>
      </w:pPr>
      <w:r>
        <w:rPr>
          <w:rFonts w:ascii="宋体" w:hAnsi="宋体" w:cs="Arial"/>
          <w:sz w:val="24"/>
        </w:rPr>
        <w:br w:type="page"/>
      </w:r>
      <w:bookmarkStart w:id="253" w:name="_Toc295833709"/>
      <w:bookmarkStart w:id="254" w:name="_Toc295833038"/>
      <w:bookmarkStart w:id="255" w:name="_Toc295832978"/>
      <w:bookmarkStart w:id="256" w:name="_Toc124325902"/>
      <w:bookmarkStart w:id="257" w:name="_Toc270669869"/>
      <w:bookmarkStart w:id="258" w:name="_Toc76720697"/>
      <w:bookmarkEnd w:id="253"/>
      <w:bookmarkEnd w:id="254"/>
      <w:bookmarkEnd w:id="255"/>
      <w:r>
        <w:rPr>
          <w:rFonts w:ascii="宋体" w:hAnsi="宋体" w:hint="eastAsia"/>
          <w:sz w:val="24"/>
          <w:szCs w:val="24"/>
        </w:rPr>
        <w:lastRenderedPageBreak/>
        <w:t>争议解决方式</w:t>
      </w:r>
      <w:bookmarkEnd w:id="256"/>
      <w:bookmarkEnd w:id="257"/>
      <w:bookmarkEnd w:id="258"/>
    </w:p>
    <w:p w:rsidR="00F0328E" w:rsidRDefault="00441AB8">
      <w:pPr>
        <w:spacing w:line="360" w:lineRule="auto"/>
        <w:ind w:firstLineChars="200" w:firstLine="480"/>
        <w:rPr>
          <w:rFonts w:ascii="宋体" w:hAnsi="宋体"/>
          <w:sz w:val="24"/>
        </w:rPr>
      </w:pPr>
      <w:r>
        <w:rPr>
          <w:rFonts w:ascii="宋体" w:hAnsi="宋体" w:hint="eastAsia"/>
          <w:sz w:val="24"/>
        </w:rPr>
        <w:t>对于因托管协议的订立、内容、履行和解释或与托管协议有关的争议，托管协议当事人应尽量通过协商、调解途径解决。若自一方书面提出协商解决争议之日起60日内争议未能以协商或调解方式解决的，任何一方均有权将争议提交中国国际经济贸易仲裁委员会，仲裁地点为北京市，按照中国国际经济贸易仲裁委员会届时有效的仲裁规则进行仲裁。仲裁裁决是终局性的，对当事人均有约束力，除非仲裁裁决另有规定，仲裁费用和律师费用由败诉方承担。</w:t>
      </w:r>
    </w:p>
    <w:p w:rsidR="00F0328E" w:rsidRDefault="00441AB8">
      <w:pPr>
        <w:spacing w:line="360" w:lineRule="auto"/>
        <w:ind w:firstLineChars="200" w:firstLine="480"/>
        <w:rPr>
          <w:rFonts w:ascii="宋体" w:hAnsi="宋体"/>
          <w:sz w:val="24"/>
        </w:rPr>
      </w:pPr>
      <w:r>
        <w:rPr>
          <w:rFonts w:ascii="宋体" w:hAnsi="宋体" w:hint="eastAsia"/>
          <w:sz w:val="24"/>
        </w:rPr>
        <w:t>争议处理期间，基金管理人、基金托管人应恪守各自的职责，继续忠实、勤勉、尽责地履行托管协议规定的义务，维护基金份额持有人的合法权益。</w:t>
      </w:r>
    </w:p>
    <w:p w:rsidR="00F0328E" w:rsidRDefault="00441AB8">
      <w:pPr>
        <w:spacing w:line="360" w:lineRule="auto"/>
        <w:ind w:firstLineChars="200" w:firstLine="480"/>
        <w:rPr>
          <w:rFonts w:ascii="宋体" w:hAnsi="宋体"/>
          <w:sz w:val="24"/>
        </w:rPr>
      </w:pPr>
      <w:r>
        <w:rPr>
          <w:rFonts w:ascii="宋体" w:hAnsi="宋体"/>
          <w:sz w:val="24"/>
        </w:rPr>
        <w:t>托管协议受中国法律</w:t>
      </w:r>
      <w:r>
        <w:rPr>
          <w:rFonts w:ascii="宋体" w:hAnsi="宋体" w:hint="eastAsia"/>
          <w:sz w:val="24"/>
        </w:rPr>
        <w:t>（为本托管协议之目的，不包括香港特别行政区、澳门特别行政区和台湾地区法律）</w:t>
      </w:r>
      <w:r>
        <w:rPr>
          <w:rFonts w:ascii="宋体" w:hAnsi="宋体"/>
          <w:sz w:val="24"/>
        </w:rPr>
        <w:t>管辖</w:t>
      </w:r>
      <w:r>
        <w:rPr>
          <w:rFonts w:ascii="宋体" w:hAnsi="宋体" w:hint="eastAsia"/>
          <w:sz w:val="24"/>
        </w:rPr>
        <w:t>，并按其解释</w:t>
      </w:r>
      <w:r>
        <w:rPr>
          <w:rFonts w:ascii="宋体" w:hAnsi="宋体"/>
          <w:sz w:val="24"/>
        </w:rPr>
        <w:t>。</w:t>
      </w:r>
    </w:p>
    <w:p w:rsidR="00F0328E" w:rsidRDefault="00F0328E">
      <w:pPr>
        <w:adjustRightInd w:val="0"/>
        <w:snapToGrid w:val="0"/>
        <w:spacing w:line="360" w:lineRule="auto"/>
        <w:ind w:firstLineChars="200" w:firstLine="480"/>
        <w:rPr>
          <w:rFonts w:ascii="宋体" w:hAnsi="宋体" w:cs="Arial"/>
          <w:sz w:val="24"/>
        </w:rPr>
      </w:pPr>
    </w:p>
    <w:p w:rsidR="00F0328E" w:rsidRDefault="00441AB8" w:rsidP="00CF65B5">
      <w:pPr>
        <w:pStyle w:val="1"/>
        <w:numPr>
          <w:ilvl w:val="0"/>
          <w:numId w:val="1"/>
        </w:numPr>
        <w:spacing w:before="0" w:afterLines="50" w:after="156" w:line="360" w:lineRule="auto"/>
        <w:rPr>
          <w:rFonts w:ascii="宋体" w:hAnsi="宋体"/>
          <w:sz w:val="24"/>
          <w:szCs w:val="24"/>
        </w:rPr>
      </w:pPr>
      <w:r>
        <w:rPr>
          <w:rFonts w:ascii="宋体" w:hAnsi="宋体" w:cs="Arial"/>
          <w:sz w:val="24"/>
        </w:rPr>
        <w:br w:type="page"/>
      </w:r>
      <w:bookmarkStart w:id="259" w:name="_Toc295832980"/>
      <w:bookmarkStart w:id="260" w:name="_Toc295833711"/>
      <w:bookmarkStart w:id="261" w:name="_Toc295833040"/>
      <w:bookmarkStart w:id="262" w:name="_Toc270669870"/>
      <w:bookmarkStart w:id="263" w:name="_Toc124325903"/>
      <w:bookmarkStart w:id="264" w:name="_Toc76720698"/>
      <w:bookmarkEnd w:id="259"/>
      <w:bookmarkEnd w:id="260"/>
      <w:bookmarkEnd w:id="261"/>
      <w:r>
        <w:rPr>
          <w:rFonts w:ascii="宋体" w:hAnsi="宋体" w:hint="eastAsia"/>
          <w:sz w:val="24"/>
          <w:szCs w:val="24"/>
        </w:rPr>
        <w:lastRenderedPageBreak/>
        <w:t>托管协议的效力</w:t>
      </w:r>
      <w:bookmarkEnd w:id="262"/>
      <w:bookmarkEnd w:id="263"/>
      <w:bookmarkEnd w:id="264"/>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双方对托管协议的效力约定如下：</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一）基金管理人在向中国证监会申请基金募集注册时提交的托管协议，应经托管协议当事人双方盖章以及双方法定代表人或授权代表签字或盖章，协议当事人双方根据中国证监会的意见修改托管协议草案。托管协议以中国证监会注册的文本为正式文本。</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（二）托管协议自基金合同成立之日起成立，自基金合同生效之日起生效。托管协议的有效期自其生效之日起至基金财产清算结果报中国证监会备案并公告之日止。</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（三）托管协议自生效之日起对托管协议当事人具有同等的法律约束力。</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（四）本协议一式三份，协议双方各持一份，上报监管部门一份，每份具有同等的法律效力。</w:t>
      </w:r>
    </w:p>
    <w:p w:rsidR="00F0328E" w:rsidRDefault="00F0328E">
      <w:pPr>
        <w:adjustRightInd w:val="0"/>
        <w:snapToGrid w:val="0"/>
        <w:spacing w:line="360" w:lineRule="auto"/>
        <w:ind w:firstLineChars="200" w:firstLine="480"/>
        <w:rPr>
          <w:rFonts w:ascii="宋体" w:hAnsi="宋体"/>
          <w:sz w:val="24"/>
        </w:rPr>
      </w:pPr>
    </w:p>
    <w:p w:rsidR="00F0328E" w:rsidRDefault="00441AB8" w:rsidP="00CF65B5">
      <w:pPr>
        <w:pStyle w:val="1"/>
        <w:numPr>
          <w:ilvl w:val="0"/>
          <w:numId w:val="1"/>
        </w:numPr>
        <w:spacing w:before="0" w:afterLines="50" w:after="156" w:line="360" w:lineRule="auto"/>
        <w:rPr>
          <w:rFonts w:ascii="宋体" w:hAnsi="宋体"/>
          <w:sz w:val="24"/>
          <w:szCs w:val="24"/>
        </w:rPr>
      </w:pPr>
      <w:r>
        <w:rPr>
          <w:rFonts w:ascii="宋体" w:hAnsi="宋体" w:cs="Arial"/>
          <w:sz w:val="24"/>
        </w:rPr>
        <w:br w:type="page"/>
      </w:r>
      <w:bookmarkStart w:id="265" w:name="_Toc295833713"/>
      <w:bookmarkStart w:id="266" w:name="_Toc295832982"/>
      <w:bookmarkStart w:id="267" w:name="_Toc295833042"/>
      <w:bookmarkStart w:id="268" w:name="_Toc270669871"/>
      <w:bookmarkStart w:id="269" w:name="_Toc124325904"/>
      <w:bookmarkStart w:id="270" w:name="_Toc76720699"/>
      <w:bookmarkEnd w:id="265"/>
      <w:bookmarkEnd w:id="266"/>
      <w:bookmarkEnd w:id="267"/>
      <w:r>
        <w:rPr>
          <w:rFonts w:ascii="宋体" w:hAnsi="宋体" w:hint="eastAsia"/>
          <w:sz w:val="24"/>
          <w:szCs w:val="24"/>
        </w:rPr>
        <w:lastRenderedPageBreak/>
        <w:t>其他事项</w:t>
      </w:r>
      <w:bookmarkEnd w:id="268"/>
      <w:bookmarkEnd w:id="269"/>
      <w:bookmarkEnd w:id="270"/>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如发生有权司法机关依法冻结基金份额持有人的基金份额时，基金管理人应予以配合，承担司法协助义务。</w:t>
      </w:r>
    </w:p>
    <w:p w:rsidR="00F0328E" w:rsidRDefault="00441AB8">
      <w:pPr>
        <w:adjustRightInd w:val="0"/>
        <w:snapToGrid w:val="0"/>
        <w:spacing w:line="360" w:lineRule="auto"/>
        <w:ind w:firstLineChars="200" w:firstLine="480"/>
        <w:rPr>
          <w:rFonts w:ascii="宋体" w:hAnsi="宋体" w:cs="Arial"/>
          <w:sz w:val="24"/>
        </w:rPr>
      </w:pPr>
      <w:r>
        <w:rPr>
          <w:rFonts w:ascii="宋体" w:hAnsi="宋体" w:cs="Arial" w:hint="eastAsia"/>
          <w:sz w:val="24"/>
        </w:rPr>
        <w:t>除本协议有明确定义外，本协议的用语定义适用基金合同的约定。本协议未尽事宜，当事人依据基金合同、有关法律法规等规定协商办理。</w:t>
      </w:r>
    </w:p>
    <w:p w:rsidR="00441AB8" w:rsidRDefault="00441AB8" w:rsidP="00CF65B5">
      <w:pPr>
        <w:adjustRightInd w:val="0"/>
        <w:snapToGrid w:val="0"/>
        <w:spacing w:line="360" w:lineRule="auto"/>
        <w:ind w:firstLineChars="200" w:firstLine="480"/>
        <w:rPr>
          <w:rFonts w:ascii="宋体" w:hAnsi="宋体"/>
          <w:sz w:val="24"/>
        </w:rPr>
      </w:pPr>
      <w:r>
        <w:rPr>
          <w:rFonts w:ascii="宋体" w:hAnsi="宋体" w:cs="Arial" w:hint="eastAsia"/>
          <w:sz w:val="24"/>
        </w:rPr>
        <w:t>（以下无正文）</w:t>
      </w:r>
      <w:bookmarkStart w:id="271" w:name="_Toc295832984"/>
      <w:bookmarkStart w:id="272" w:name="_Toc295833045"/>
      <w:bookmarkStart w:id="273" w:name="_Toc295832985"/>
      <w:bookmarkStart w:id="274" w:name="_Toc295833716"/>
      <w:bookmarkStart w:id="275" w:name="_Toc295833715"/>
      <w:bookmarkStart w:id="276" w:name="_Toc295833044"/>
      <w:bookmarkStart w:id="277" w:name="_Toc295832986"/>
      <w:bookmarkStart w:id="278" w:name="_Toc295833717"/>
      <w:bookmarkStart w:id="279" w:name="_Toc295833046"/>
      <w:bookmarkEnd w:id="271"/>
      <w:bookmarkEnd w:id="272"/>
      <w:bookmarkEnd w:id="273"/>
      <w:bookmarkEnd w:id="274"/>
      <w:bookmarkEnd w:id="275"/>
      <w:bookmarkEnd w:id="276"/>
      <w:bookmarkEnd w:id="277"/>
      <w:bookmarkEnd w:id="278"/>
      <w:bookmarkEnd w:id="279"/>
    </w:p>
    <w:sectPr w:rsidR="00441AB8" w:rsidSect="00F0328E">
      <w:headerReference w:type="default" r:id="rId11"/>
      <w:pgSz w:w="11906" w:h="16838"/>
      <w:pgMar w:top="1440" w:right="1800" w:bottom="1440" w:left="1800" w:header="851" w:footer="992"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B2F3E3" w15:done="0"/>
  <w15:commentEx w15:paraId="064324EF" w15:done="0"/>
  <w15:commentEx w15:paraId="58EC93A7" w15:done="0"/>
  <w15:commentEx w15:paraId="06E95BAB" w15:done="0"/>
  <w15:commentEx w15:paraId="416E551C" w15:done="0"/>
  <w15:commentEx w15:paraId="40C3F088" w15:done="0"/>
  <w15:commentEx w15:paraId="78CF4C16" w15:done="0"/>
  <w15:commentEx w15:paraId="43A6EE30" w15:done="0"/>
  <w15:commentEx w15:paraId="5A9FBD41" w15:done="0"/>
  <w15:commentEx w15:paraId="3D2C4ED7" w15:done="0"/>
  <w15:commentEx w15:paraId="67D95AFB" w15:done="0"/>
  <w15:commentEx w15:paraId="188436F6" w15:done="0"/>
  <w15:commentEx w15:paraId="20E39369" w15:done="0"/>
  <w15:commentEx w15:paraId="06DC64DB" w15:done="0"/>
  <w15:commentEx w15:paraId="00852041" w15:done="0"/>
  <w15:commentEx w15:paraId="0E32FE6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753" w:rsidRDefault="007D7753">
      <w:r>
        <w:separator/>
      </w:r>
    </w:p>
  </w:endnote>
  <w:endnote w:type="continuationSeparator" w:id="0">
    <w:p w:rsidR="007D7753" w:rsidRDefault="007D7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8D2" w:rsidRDefault="00487D73">
    <w:pPr>
      <w:pStyle w:val="a7"/>
      <w:jc w:val="center"/>
    </w:pPr>
    <w:r>
      <w:fldChar w:fldCharType="begin"/>
    </w:r>
    <w:r w:rsidR="00AD18D2">
      <w:instrText xml:space="preserve"> PAGE   \* MERGEFORMAT </w:instrText>
    </w:r>
    <w:r>
      <w:fldChar w:fldCharType="separate"/>
    </w:r>
    <w:r w:rsidR="008124C0" w:rsidRPr="008124C0">
      <w:rPr>
        <w:noProof/>
        <w:lang w:val="zh-CN"/>
      </w:rPr>
      <w:t>1</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753" w:rsidRDefault="007D7753">
      <w:r>
        <w:separator/>
      </w:r>
    </w:p>
  </w:footnote>
  <w:footnote w:type="continuationSeparator" w:id="0">
    <w:p w:rsidR="007D7753" w:rsidRDefault="007D7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8D2" w:rsidRDefault="00AD18D2">
    <w:pPr>
      <w:pStyle w:val="a8"/>
      <w:pBdr>
        <w:bottom w:val="none" w:sz="0" w:space="0" w:color="auto"/>
      </w:pBdr>
      <w:tabs>
        <w:tab w:val="clear" w:pos="4153"/>
        <w:tab w:val="clear" w:pos="8306"/>
        <w:tab w:val="center" w:pos="4252"/>
        <w:tab w:val="right" w:pos="8504"/>
      </w:tabs>
      <w:jc w:val="right"/>
      <w:rPr>
        <w:rFonts w:ascii="宋体" w:hAnsi="宋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8D2" w:rsidRDefault="00AD18D2">
    <w:pPr>
      <w:pStyle w:val="a8"/>
      <w:tabs>
        <w:tab w:val="clear" w:pos="4153"/>
        <w:tab w:val="clear" w:pos="8306"/>
        <w:tab w:val="center" w:pos="4252"/>
        <w:tab w:val="right" w:pos="8504"/>
      </w:tabs>
      <w:jc w:val="right"/>
      <w:rPr>
        <w:rFonts w:ascii="宋体" w:hAnsi="宋体"/>
      </w:rPr>
    </w:pPr>
    <w:r>
      <w:rPr>
        <w:rFonts w:ascii="宋体" w:hAnsi="宋体" w:hint="eastAsia"/>
      </w:rPr>
      <w:t>托管协议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lvl w:ilvl="0">
      <w:start w:val="1"/>
      <w:numFmt w:val="chineseCountingThousand"/>
      <w:lvlText w:val="%1、"/>
      <w:lvlJc w:val="left"/>
      <w:pPr>
        <w:ind w:left="420" w:hanging="420"/>
      </w:pPr>
      <w:rPr>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12"/>
    <w:multiLevelType w:val="multilevel"/>
    <w:tmpl w:val="0000001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002B18BC"/>
    <w:multiLevelType w:val="multilevel"/>
    <w:tmpl w:val="002B18BC"/>
    <w:lvl w:ilvl="0">
      <w:start w:val="2"/>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1FE962FA"/>
    <w:multiLevelType w:val="multilevel"/>
    <w:tmpl w:val="1FE962FA"/>
    <w:lvl w:ilvl="0">
      <w:start w:val="7"/>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29AC6F3D"/>
    <w:multiLevelType w:val="multilevel"/>
    <w:tmpl w:val="29AC6F3D"/>
    <w:lvl w:ilvl="0">
      <w:start w:val="2"/>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3CC47B9C"/>
    <w:multiLevelType w:val="multilevel"/>
    <w:tmpl w:val="3CC47B9C"/>
    <w:lvl w:ilvl="0">
      <w:start w:val="7"/>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4CA510AC"/>
    <w:multiLevelType w:val="multilevel"/>
    <w:tmpl w:val="4CA510AC"/>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nsid w:val="6F2814E9"/>
    <w:multiLevelType w:val="multilevel"/>
    <w:tmpl w:val="6F2814E9"/>
    <w:lvl w:ilvl="0">
      <w:start w:val="2"/>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nsid w:val="78A35258"/>
    <w:multiLevelType w:val="multilevel"/>
    <w:tmpl w:val="78A35258"/>
    <w:lvl w:ilvl="0">
      <w:start w:val="1"/>
      <w:numFmt w:val="japaneseCounting"/>
      <w:lvlText w:val="（%1）"/>
      <w:lvlJc w:val="left"/>
      <w:pPr>
        <w:ind w:left="1287"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8"/>
  </w:num>
  <w:num w:numId="3">
    <w:abstractNumId w:val="5"/>
  </w:num>
  <w:num w:numId="4">
    <w:abstractNumId w:val="3"/>
  </w:num>
  <w:num w:numId="5">
    <w:abstractNumId w:val="7"/>
  </w:num>
  <w:num w:numId="6">
    <w:abstractNumId w:val="4"/>
  </w:num>
  <w:num w:numId="7">
    <w:abstractNumId w:val="6"/>
  </w:num>
  <w:num w:numId="8">
    <w:abstractNumId w:val="1"/>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源泰">
    <w15:presenceInfo w15:providerId="None" w15:userId="源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092A"/>
    <w:rsid w:val="00001DB8"/>
    <w:rsid w:val="00003666"/>
    <w:rsid w:val="00005B44"/>
    <w:rsid w:val="00006695"/>
    <w:rsid w:val="000077C9"/>
    <w:rsid w:val="000104C7"/>
    <w:rsid w:val="00014F54"/>
    <w:rsid w:val="000154A5"/>
    <w:rsid w:val="0001606F"/>
    <w:rsid w:val="000172D3"/>
    <w:rsid w:val="00023273"/>
    <w:rsid w:val="00026C7B"/>
    <w:rsid w:val="000279FD"/>
    <w:rsid w:val="00027DDB"/>
    <w:rsid w:val="00033EDB"/>
    <w:rsid w:val="000340C8"/>
    <w:rsid w:val="00040736"/>
    <w:rsid w:val="00041FD2"/>
    <w:rsid w:val="0004500D"/>
    <w:rsid w:val="00055C7C"/>
    <w:rsid w:val="00056BB8"/>
    <w:rsid w:val="0006189E"/>
    <w:rsid w:val="00062EF1"/>
    <w:rsid w:val="00065DAC"/>
    <w:rsid w:val="000670F7"/>
    <w:rsid w:val="00067ED5"/>
    <w:rsid w:val="00070C30"/>
    <w:rsid w:val="000714AA"/>
    <w:rsid w:val="000719E6"/>
    <w:rsid w:val="00072E75"/>
    <w:rsid w:val="000839EC"/>
    <w:rsid w:val="00083A22"/>
    <w:rsid w:val="00087439"/>
    <w:rsid w:val="00090B67"/>
    <w:rsid w:val="00091CC6"/>
    <w:rsid w:val="00097B0F"/>
    <w:rsid w:val="000A0A1A"/>
    <w:rsid w:val="000A2ECC"/>
    <w:rsid w:val="000A5207"/>
    <w:rsid w:val="000A5499"/>
    <w:rsid w:val="000A6EC1"/>
    <w:rsid w:val="000B4F1A"/>
    <w:rsid w:val="000B5A51"/>
    <w:rsid w:val="000B5CDF"/>
    <w:rsid w:val="000B650B"/>
    <w:rsid w:val="000C2CED"/>
    <w:rsid w:val="000C5CE9"/>
    <w:rsid w:val="000C5D23"/>
    <w:rsid w:val="000D4DF7"/>
    <w:rsid w:val="000D5111"/>
    <w:rsid w:val="000D6279"/>
    <w:rsid w:val="000D7DB1"/>
    <w:rsid w:val="000E102C"/>
    <w:rsid w:val="000E3F79"/>
    <w:rsid w:val="000E49BE"/>
    <w:rsid w:val="000E62DF"/>
    <w:rsid w:val="000E66B4"/>
    <w:rsid w:val="000E749B"/>
    <w:rsid w:val="000F0198"/>
    <w:rsid w:val="001030CA"/>
    <w:rsid w:val="0010388A"/>
    <w:rsid w:val="001050BF"/>
    <w:rsid w:val="00105D80"/>
    <w:rsid w:val="00110FCC"/>
    <w:rsid w:val="00112F89"/>
    <w:rsid w:val="00114BFD"/>
    <w:rsid w:val="001321A3"/>
    <w:rsid w:val="00132E07"/>
    <w:rsid w:val="0013393C"/>
    <w:rsid w:val="00133A6B"/>
    <w:rsid w:val="00136AD5"/>
    <w:rsid w:val="00137442"/>
    <w:rsid w:val="001517D5"/>
    <w:rsid w:val="001635D4"/>
    <w:rsid w:val="001653B0"/>
    <w:rsid w:val="001705D1"/>
    <w:rsid w:val="001707A8"/>
    <w:rsid w:val="00172A27"/>
    <w:rsid w:val="00173AC3"/>
    <w:rsid w:val="00174D7F"/>
    <w:rsid w:val="001777C5"/>
    <w:rsid w:val="00177F9E"/>
    <w:rsid w:val="00183B05"/>
    <w:rsid w:val="00193628"/>
    <w:rsid w:val="00196EA9"/>
    <w:rsid w:val="001A30D2"/>
    <w:rsid w:val="001A334A"/>
    <w:rsid w:val="001A7171"/>
    <w:rsid w:val="001B2381"/>
    <w:rsid w:val="001B4D94"/>
    <w:rsid w:val="001B52AC"/>
    <w:rsid w:val="001C1FCC"/>
    <w:rsid w:val="001C27C8"/>
    <w:rsid w:val="001C55F5"/>
    <w:rsid w:val="001D6FE0"/>
    <w:rsid w:val="001D731B"/>
    <w:rsid w:val="001F0218"/>
    <w:rsid w:val="001F0DAD"/>
    <w:rsid w:val="001F2FD1"/>
    <w:rsid w:val="001F4E90"/>
    <w:rsid w:val="001F5DD9"/>
    <w:rsid w:val="00200E86"/>
    <w:rsid w:val="00201316"/>
    <w:rsid w:val="00201324"/>
    <w:rsid w:val="002060AE"/>
    <w:rsid w:val="0020789C"/>
    <w:rsid w:val="00211C59"/>
    <w:rsid w:val="002132CC"/>
    <w:rsid w:val="00215144"/>
    <w:rsid w:val="002202BD"/>
    <w:rsid w:val="002219C2"/>
    <w:rsid w:val="00226E7E"/>
    <w:rsid w:val="0023253D"/>
    <w:rsid w:val="00232825"/>
    <w:rsid w:val="002428F7"/>
    <w:rsid w:val="00244EC5"/>
    <w:rsid w:val="00247D12"/>
    <w:rsid w:val="00250F10"/>
    <w:rsid w:val="0025102B"/>
    <w:rsid w:val="0025348B"/>
    <w:rsid w:val="00255ED6"/>
    <w:rsid w:val="00257FE3"/>
    <w:rsid w:val="002636D8"/>
    <w:rsid w:val="00264A04"/>
    <w:rsid w:val="002718CE"/>
    <w:rsid w:val="002757ED"/>
    <w:rsid w:val="00281354"/>
    <w:rsid w:val="002876E4"/>
    <w:rsid w:val="00287B55"/>
    <w:rsid w:val="00287DCB"/>
    <w:rsid w:val="002906C7"/>
    <w:rsid w:val="00291977"/>
    <w:rsid w:val="002A4211"/>
    <w:rsid w:val="002B5522"/>
    <w:rsid w:val="002C7084"/>
    <w:rsid w:val="002D50AE"/>
    <w:rsid w:val="002D72AB"/>
    <w:rsid w:val="002D797D"/>
    <w:rsid w:val="002E285A"/>
    <w:rsid w:val="002E39E1"/>
    <w:rsid w:val="002E5DE0"/>
    <w:rsid w:val="002F6B53"/>
    <w:rsid w:val="002F7389"/>
    <w:rsid w:val="00307477"/>
    <w:rsid w:val="003112C9"/>
    <w:rsid w:val="0031135C"/>
    <w:rsid w:val="00311894"/>
    <w:rsid w:val="003135D9"/>
    <w:rsid w:val="00317406"/>
    <w:rsid w:val="003179F5"/>
    <w:rsid w:val="00322AEA"/>
    <w:rsid w:val="00333791"/>
    <w:rsid w:val="00334CB2"/>
    <w:rsid w:val="0035052E"/>
    <w:rsid w:val="0035474C"/>
    <w:rsid w:val="0035622E"/>
    <w:rsid w:val="0036216A"/>
    <w:rsid w:val="0036258A"/>
    <w:rsid w:val="0036503A"/>
    <w:rsid w:val="00365E6B"/>
    <w:rsid w:val="0036740E"/>
    <w:rsid w:val="0037089F"/>
    <w:rsid w:val="00370BA5"/>
    <w:rsid w:val="00372F06"/>
    <w:rsid w:val="00374DC8"/>
    <w:rsid w:val="003753F4"/>
    <w:rsid w:val="003762B3"/>
    <w:rsid w:val="003770EA"/>
    <w:rsid w:val="00386DB1"/>
    <w:rsid w:val="00390F04"/>
    <w:rsid w:val="0039127B"/>
    <w:rsid w:val="00392DAE"/>
    <w:rsid w:val="003949E2"/>
    <w:rsid w:val="00396ED1"/>
    <w:rsid w:val="00396F3F"/>
    <w:rsid w:val="003A11F1"/>
    <w:rsid w:val="003A36E3"/>
    <w:rsid w:val="003A3DF4"/>
    <w:rsid w:val="003B3193"/>
    <w:rsid w:val="003B46EF"/>
    <w:rsid w:val="003C294B"/>
    <w:rsid w:val="003C67F8"/>
    <w:rsid w:val="003D3AA2"/>
    <w:rsid w:val="003D422A"/>
    <w:rsid w:val="003D5AC5"/>
    <w:rsid w:val="003D6995"/>
    <w:rsid w:val="003E0932"/>
    <w:rsid w:val="003E1A5D"/>
    <w:rsid w:val="003E5F52"/>
    <w:rsid w:val="004145F3"/>
    <w:rsid w:val="00414C20"/>
    <w:rsid w:val="004166D9"/>
    <w:rsid w:val="00421015"/>
    <w:rsid w:val="00423992"/>
    <w:rsid w:val="00424105"/>
    <w:rsid w:val="0042568B"/>
    <w:rsid w:val="004258B1"/>
    <w:rsid w:val="004264AC"/>
    <w:rsid w:val="004328AC"/>
    <w:rsid w:val="00434551"/>
    <w:rsid w:val="00435CD6"/>
    <w:rsid w:val="00441AB8"/>
    <w:rsid w:val="004504D3"/>
    <w:rsid w:val="004504EB"/>
    <w:rsid w:val="0045131F"/>
    <w:rsid w:val="00461BA8"/>
    <w:rsid w:val="0046254F"/>
    <w:rsid w:val="00462CDD"/>
    <w:rsid w:val="00465B3B"/>
    <w:rsid w:val="004663FB"/>
    <w:rsid w:val="00466E5D"/>
    <w:rsid w:val="00472688"/>
    <w:rsid w:val="00474931"/>
    <w:rsid w:val="004806A7"/>
    <w:rsid w:val="00481EAC"/>
    <w:rsid w:val="00483826"/>
    <w:rsid w:val="00485859"/>
    <w:rsid w:val="00487B04"/>
    <w:rsid w:val="00487D73"/>
    <w:rsid w:val="00496D31"/>
    <w:rsid w:val="004A5007"/>
    <w:rsid w:val="004A526F"/>
    <w:rsid w:val="004B12F4"/>
    <w:rsid w:val="004B508D"/>
    <w:rsid w:val="004B548E"/>
    <w:rsid w:val="004B70C8"/>
    <w:rsid w:val="004C1A56"/>
    <w:rsid w:val="004C47B5"/>
    <w:rsid w:val="004C7CE1"/>
    <w:rsid w:val="004C7E82"/>
    <w:rsid w:val="004D60AF"/>
    <w:rsid w:val="004E484C"/>
    <w:rsid w:val="004F0E3D"/>
    <w:rsid w:val="004F1042"/>
    <w:rsid w:val="004F39B7"/>
    <w:rsid w:val="004F3DA3"/>
    <w:rsid w:val="004F7AD6"/>
    <w:rsid w:val="0050239B"/>
    <w:rsid w:val="0050749B"/>
    <w:rsid w:val="00512296"/>
    <w:rsid w:val="0051320F"/>
    <w:rsid w:val="00522D07"/>
    <w:rsid w:val="00524C7C"/>
    <w:rsid w:val="00526E55"/>
    <w:rsid w:val="005306A0"/>
    <w:rsid w:val="00534FCE"/>
    <w:rsid w:val="005407E7"/>
    <w:rsid w:val="0054155B"/>
    <w:rsid w:val="00544AEE"/>
    <w:rsid w:val="00552D66"/>
    <w:rsid w:val="0055344C"/>
    <w:rsid w:val="00556794"/>
    <w:rsid w:val="005603F5"/>
    <w:rsid w:val="00567AF0"/>
    <w:rsid w:val="00570096"/>
    <w:rsid w:val="00572424"/>
    <w:rsid w:val="00573CED"/>
    <w:rsid w:val="00573F5C"/>
    <w:rsid w:val="00574C80"/>
    <w:rsid w:val="0058125E"/>
    <w:rsid w:val="00581D84"/>
    <w:rsid w:val="0058416C"/>
    <w:rsid w:val="0058417A"/>
    <w:rsid w:val="00584408"/>
    <w:rsid w:val="00584F87"/>
    <w:rsid w:val="00587BD1"/>
    <w:rsid w:val="005901F1"/>
    <w:rsid w:val="005A4A08"/>
    <w:rsid w:val="005A523A"/>
    <w:rsid w:val="005B2E12"/>
    <w:rsid w:val="005B3C17"/>
    <w:rsid w:val="005B49E8"/>
    <w:rsid w:val="005B538F"/>
    <w:rsid w:val="005B6B36"/>
    <w:rsid w:val="005C218E"/>
    <w:rsid w:val="005C7B74"/>
    <w:rsid w:val="005D1B32"/>
    <w:rsid w:val="005D4C57"/>
    <w:rsid w:val="005E5A02"/>
    <w:rsid w:val="005F1C46"/>
    <w:rsid w:val="005F7DEE"/>
    <w:rsid w:val="00602CD7"/>
    <w:rsid w:val="00612D2A"/>
    <w:rsid w:val="00613C85"/>
    <w:rsid w:val="0061404B"/>
    <w:rsid w:val="0061484A"/>
    <w:rsid w:val="00617DBC"/>
    <w:rsid w:val="00626ADC"/>
    <w:rsid w:val="0063540A"/>
    <w:rsid w:val="006400DF"/>
    <w:rsid w:val="006408B9"/>
    <w:rsid w:val="0064770D"/>
    <w:rsid w:val="0065055C"/>
    <w:rsid w:val="006512C6"/>
    <w:rsid w:val="00652ED4"/>
    <w:rsid w:val="0065625C"/>
    <w:rsid w:val="00666C54"/>
    <w:rsid w:val="00671B44"/>
    <w:rsid w:val="006750A9"/>
    <w:rsid w:val="006828CF"/>
    <w:rsid w:val="00685340"/>
    <w:rsid w:val="00687306"/>
    <w:rsid w:val="0068753C"/>
    <w:rsid w:val="00687A37"/>
    <w:rsid w:val="006900C5"/>
    <w:rsid w:val="00691627"/>
    <w:rsid w:val="0069200A"/>
    <w:rsid w:val="006959AB"/>
    <w:rsid w:val="00696DEC"/>
    <w:rsid w:val="006A02D2"/>
    <w:rsid w:val="006A4214"/>
    <w:rsid w:val="006A6B19"/>
    <w:rsid w:val="006B45A3"/>
    <w:rsid w:val="006B4CA4"/>
    <w:rsid w:val="006B4D19"/>
    <w:rsid w:val="006B5ED6"/>
    <w:rsid w:val="006C03F0"/>
    <w:rsid w:val="006C342D"/>
    <w:rsid w:val="006C500A"/>
    <w:rsid w:val="006C726F"/>
    <w:rsid w:val="006D0604"/>
    <w:rsid w:val="006D07F8"/>
    <w:rsid w:val="006D4D81"/>
    <w:rsid w:val="006D569F"/>
    <w:rsid w:val="006E2ACF"/>
    <w:rsid w:val="006E3B2F"/>
    <w:rsid w:val="006F0AA4"/>
    <w:rsid w:val="006F2E79"/>
    <w:rsid w:val="006F4B27"/>
    <w:rsid w:val="006F4CA2"/>
    <w:rsid w:val="006F55E3"/>
    <w:rsid w:val="00700B2C"/>
    <w:rsid w:val="00704E9D"/>
    <w:rsid w:val="00720199"/>
    <w:rsid w:val="007201AD"/>
    <w:rsid w:val="007205F5"/>
    <w:rsid w:val="0072514E"/>
    <w:rsid w:val="007367B4"/>
    <w:rsid w:val="007411D5"/>
    <w:rsid w:val="00741518"/>
    <w:rsid w:val="00744B1B"/>
    <w:rsid w:val="00752455"/>
    <w:rsid w:val="007528F6"/>
    <w:rsid w:val="00762318"/>
    <w:rsid w:val="00767C24"/>
    <w:rsid w:val="00770EC5"/>
    <w:rsid w:val="007728C2"/>
    <w:rsid w:val="00777E0F"/>
    <w:rsid w:val="0078043C"/>
    <w:rsid w:val="0078712B"/>
    <w:rsid w:val="007A18C6"/>
    <w:rsid w:val="007A5DFC"/>
    <w:rsid w:val="007B0BFD"/>
    <w:rsid w:val="007B1FCA"/>
    <w:rsid w:val="007B3B27"/>
    <w:rsid w:val="007C23E7"/>
    <w:rsid w:val="007C3B96"/>
    <w:rsid w:val="007C5EC4"/>
    <w:rsid w:val="007D24B4"/>
    <w:rsid w:val="007D7753"/>
    <w:rsid w:val="007D7AF3"/>
    <w:rsid w:val="007E0E8D"/>
    <w:rsid w:val="007E32AD"/>
    <w:rsid w:val="007F49C0"/>
    <w:rsid w:val="0080103B"/>
    <w:rsid w:val="0080244B"/>
    <w:rsid w:val="00802583"/>
    <w:rsid w:val="008038C8"/>
    <w:rsid w:val="008124C0"/>
    <w:rsid w:val="0081722B"/>
    <w:rsid w:val="00820267"/>
    <w:rsid w:val="00820893"/>
    <w:rsid w:val="00821AE8"/>
    <w:rsid w:val="00824F24"/>
    <w:rsid w:val="00825AF1"/>
    <w:rsid w:val="00825C6F"/>
    <w:rsid w:val="00836A0F"/>
    <w:rsid w:val="0083773E"/>
    <w:rsid w:val="008413C6"/>
    <w:rsid w:val="00842BA9"/>
    <w:rsid w:val="0084423F"/>
    <w:rsid w:val="00844636"/>
    <w:rsid w:val="00844C7B"/>
    <w:rsid w:val="008478B3"/>
    <w:rsid w:val="00852C28"/>
    <w:rsid w:val="00853907"/>
    <w:rsid w:val="008629F8"/>
    <w:rsid w:val="0086594F"/>
    <w:rsid w:val="00870C81"/>
    <w:rsid w:val="0087312D"/>
    <w:rsid w:val="0088055F"/>
    <w:rsid w:val="008A1004"/>
    <w:rsid w:val="008A3B36"/>
    <w:rsid w:val="008A4F79"/>
    <w:rsid w:val="008A602D"/>
    <w:rsid w:val="008B0163"/>
    <w:rsid w:val="008B554A"/>
    <w:rsid w:val="008B569C"/>
    <w:rsid w:val="008B57EB"/>
    <w:rsid w:val="008C1332"/>
    <w:rsid w:val="008C703A"/>
    <w:rsid w:val="008D36F5"/>
    <w:rsid w:val="008D7BD6"/>
    <w:rsid w:val="008E1924"/>
    <w:rsid w:val="008F2E6B"/>
    <w:rsid w:val="008F45DF"/>
    <w:rsid w:val="009038B3"/>
    <w:rsid w:val="00905018"/>
    <w:rsid w:val="009104C7"/>
    <w:rsid w:val="00912DD5"/>
    <w:rsid w:val="00913296"/>
    <w:rsid w:val="00917E9B"/>
    <w:rsid w:val="00920797"/>
    <w:rsid w:val="00921914"/>
    <w:rsid w:val="00931126"/>
    <w:rsid w:val="009330B4"/>
    <w:rsid w:val="0093515B"/>
    <w:rsid w:val="00936BB0"/>
    <w:rsid w:val="00936F55"/>
    <w:rsid w:val="00941B85"/>
    <w:rsid w:val="00941BF9"/>
    <w:rsid w:val="00942B63"/>
    <w:rsid w:val="00943F4C"/>
    <w:rsid w:val="009455FF"/>
    <w:rsid w:val="00950900"/>
    <w:rsid w:val="00957FC1"/>
    <w:rsid w:val="00966F15"/>
    <w:rsid w:val="009745FD"/>
    <w:rsid w:val="009752A3"/>
    <w:rsid w:val="00975AAE"/>
    <w:rsid w:val="00975C87"/>
    <w:rsid w:val="009771A0"/>
    <w:rsid w:val="00977C77"/>
    <w:rsid w:val="00977F15"/>
    <w:rsid w:val="00986A0E"/>
    <w:rsid w:val="0099062B"/>
    <w:rsid w:val="00991A21"/>
    <w:rsid w:val="00991F75"/>
    <w:rsid w:val="009A09FF"/>
    <w:rsid w:val="009A1EC0"/>
    <w:rsid w:val="009A6854"/>
    <w:rsid w:val="009B5A34"/>
    <w:rsid w:val="009C17A4"/>
    <w:rsid w:val="009C28ED"/>
    <w:rsid w:val="009D0D66"/>
    <w:rsid w:val="009D54C3"/>
    <w:rsid w:val="009D65C8"/>
    <w:rsid w:val="009D6786"/>
    <w:rsid w:val="009D7CAA"/>
    <w:rsid w:val="009F2714"/>
    <w:rsid w:val="009F36EB"/>
    <w:rsid w:val="009F3A93"/>
    <w:rsid w:val="009F6581"/>
    <w:rsid w:val="009F7EFB"/>
    <w:rsid w:val="00A00335"/>
    <w:rsid w:val="00A01501"/>
    <w:rsid w:val="00A10460"/>
    <w:rsid w:val="00A10A40"/>
    <w:rsid w:val="00A20523"/>
    <w:rsid w:val="00A21106"/>
    <w:rsid w:val="00A2717C"/>
    <w:rsid w:val="00A32A17"/>
    <w:rsid w:val="00A33336"/>
    <w:rsid w:val="00A33EDE"/>
    <w:rsid w:val="00A36B16"/>
    <w:rsid w:val="00A402BC"/>
    <w:rsid w:val="00A41F31"/>
    <w:rsid w:val="00A4200F"/>
    <w:rsid w:val="00A431E8"/>
    <w:rsid w:val="00A50940"/>
    <w:rsid w:val="00A53135"/>
    <w:rsid w:val="00A67E6F"/>
    <w:rsid w:val="00A71066"/>
    <w:rsid w:val="00A728F7"/>
    <w:rsid w:val="00A72F54"/>
    <w:rsid w:val="00A7382F"/>
    <w:rsid w:val="00A75971"/>
    <w:rsid w:val="00A764E0"/>
    <w:rsid w:val="00A76B1D"/>
    <w:rsid w:val="00A76F5E"/>
    <w:rsid w:val="00A9002F"/>
    <w:rsid w:val="00A9677E"/>
    <w:rsid w:val="00A96ED8"/>
    <w:rsid w:val="00AA020B"/>
    <w:rsid w:val="00AA2B55"/>
    <w:rsid w:val="00AA77B5"/>
    <w:rsid w:val="00AC1CA5"/>
    <w:rsid w:val="00AC29CB"/>
    <w:rsid w:val="00AC488F"/>
    <w:rsid w:val="00AD18D2"/>
    <w:rsid w:val="00AD1C2A"/>
    <w:rsid w:val="00AD57B4"/>
    <w:rsid w:val="00AE1E95"/>
    <w:rsid w:val="00AF0EE8"/>
    <w:rsid w:val="00AF1068"/>
    <w:rsid w:val="00AF1ADC"/>
    <w:rsid w:val="00AF241C"/>
    <w:rsid w:val="00AF4CD3"/>
    <w:rsid w:val="00B0377F"/>
    <w:rsid w:val="00B03E7B"/>
    <w:rsid w:val="00B04FFC"/>
    <w:rsid w:val="00B13BA2"/>
    <w:rsid w:val="00B1411C"/>
    <w:rsid w:val="00B26423"/>
    <w:rsid w:val="00B45598"/>
    <w:rsid w:val="00B465F8"/>
    <w:rsid w:val="00B50D80"/>
    <w:rsid w:val="00B515A9"/>
    <w:rsid w:val="00B668D3"/>
    <w:rsid w:val="00B70874"/>
    <w:rsid w:val="00B70DA6"/>
    <w:rsid w:val="00B72D9F"/>
    <w:rsid w:val="00B75444"/>
    <w:rsid w:val="00B81BE5"/>
    <w:rsid w:val="00B8448C"/>
    <w:rsid w:val="00B85551"/>
    <w:rsid w:val="00B92D6A"/>
    <w:rsid w:val="00B92F45"/>
    <w:rsid w:val="00B939D4"/>
    <w:rsid w:val="00BA374B"/>
    <w:rsid w:val="00BA3B61"/>
    <w:rsid w:val="00BA623D"/>
    <w:rsid w:val="00BB3D14"/>
    <w:rsid w:val="00BB7902"/>
    <w:rsid w:val="00BC0096"/>
    <w:rsid w:val="00BC42D4"/>
    <w:rsid w:val="00BE4424"/>
    <w:rsid w:val="00BE4477"/>
    <w:rsid w:val="00BE6592"/>
    <w:rsid w:val="00BF3511"/>
    <w:rsid w:val="00BF51D8"/>
    <w:rsid w:val="00C01729"/>
    <w:rsid w:val="00C01BAC"/>
    <w:rsid w:val="00C0402B"/>
    <w:rsid w:val="00C05F1D"/>
    <w:rsid w:val="00C07E36"/>
    <w:rsid w:val="00C1143C"/>
    <w:rsid w:val="00C2101E"/>
    <w:rsid w:val="00C21281"/>
    <w:rsid w:val="00C3025C"/>
    <w:rsid w:val="00C33590"/>
    <w:rsid w:val="00C33F90"/>
    <w:rsid w:val="00C344E9"/>
    <w:rsid w:val="00C4226E"/>
    <w:rsid w:val="00C44616"/>
    <w:rsid w:val="00C46A91"/>
    <w:rsid w:val="00C53DFD"/>
    <w:rsid w:val="00C57D07"/>
    <w:rsid w:val="00C61422"/>
    <w:rsid w:val="00C61B87"/>
    <w:rsid w:val="00C634F6"/>
    <w:rsid w:val="00C67551"/>
    <w:rsid w:val="00C67D71"/>
    <w:rsid w:val="00C71594"/>
    <w:rsid w:val="00C7290E"/>
    <w:rsid w:val="00C7351C"/>
    <w:rsid w:val="00C74D8B"/>
    <w:rsid w:val="00C849DA"/>
    <w:rsid w:val="00C96D7C"/>
    <w:rsid w:val="00CA082A"/>
    <w:rsid w:val="00CA18F5"/>
    <w:rsid w:val="00CA2CDA"/>
    <w:rsid w:val="00CA3105"/>
    <w:rsid w:val="00CA4222"/>
    <w:rsid w:val="00CA5234"/>
    <w:rsid w:val="00CA72FE"/>
    <w:rsid w:val="00CB0603"/>
    <w:rsid w:val="00CB0918"/>
    <w:rsid w:val="00CB2B47"/>
    <w:rsid w:val="00CB4449"/>
    <w:rsid w:val="00CC62FD"/>
    <w:rsid w:val="00CC7C59"/>
    <w:rsid w:val="00CD55CC"/>
    <w:rsid w:val="00CD7E2E"/>
    <w:rsid w:val="00CE31EF"/>
    <w:rsid w:val="00CE392D"/>
    <w:rsid w:val="00CE3AF6"/>
    <w:rsid w:val="00CE78F1"/>
    <w:rsid w:val="00CF0802"/>
    <w:rsid w:val="00CF33B5"/>
    <w:rsid w:val="00CF536E"/>
    <w:rsid w:val="00CF65B5"/>
    <w:rsid w:val="00CF68EC"/>
    <w:rsid w:val="00CF6B3A"/>
    <w:rsid w:val="00D0140E"/>
    <w:rsid w:val="00D12E58"/>
    <w:rsid w:val="00D16B74"/>
    <w:rsid w:val="00D171B8"/>
    <w:rsid w:val="00D209C0"/>
    <w:rsid w:val="00D2436A"/>
    <w:rsid w:val="00D309B5"/>
    <w:rsid w:val="00D37924"/>
    <w:rsid w:val="00D37EB5"/>
    <w:rsid w:val="00D42E1D"/>
    <w:rsid w:val="00D4601D"/>
    <w:rsid w:val="00D46EFB"/>
    <w:rsid w:val="00D47BCF"/>
    <w:rsid w:val="00D56A75"/>
    <w:rsid w:val="00D61EC9"/>
    <w:rsid w:val="00D63582"/>
    <w:rsid w:val="00D63A8F"/>
    <w:rsid w:val="00D66D72"/>
    <w:rsid w:val="00D71785"/>
    <w:rsid w:val="00D74D9E"/>
    <w:rsid w:val="00D75A5B"/>
    <w:rsid w:val="00D803F0"/>
    <w:rsid w:val="00D81695"/>
    <w:rsid w:val="00D82C6F"/>
    <w:rsid w:val="00D94ECD"/>
    <w:rsid w:val="00D97452"/>
    <w:rsid w:val="00DA2257"/>
    <w:rsid w:val="00DA2B8B"/>
    <w:rsid w:val="00DB702A"/>
    <w:rsid w:val="00DB7BDC"/>
    <w:rsid w:val="00DB7C4E"/>
    <w:rsid w:val="00DC0F67"/>
    <w:rsid w:val="00DC11CC"/>
    <w:rsid w:val="00DC25BB"/>
    <w:rsid w:val="00DC2953"/>
    <w:rsid w:val="00DC2A07"/>
    <w:rsid w:val="00DC371C"/>
    <w:rsid w:val="00DC3C8F"/>
    <w:rsid w:val="00DD3E00"/>
    <w:rsid w:val="00DD6F89"/>
    <w:rsid w:val="00DE253B"/>
    <w:rsid w:val="00DE29FF"/>
    <w:rsid w:val="00DE44B4"/>
    <w:rsid w:val="00DE5978"/>
    <w:rsid w:val="00DE778B"/>
    <w:rsid w:val="00DF2D26"/>
    <w:rsid w:val="00DF2DC2"/>
    <w:rsid w:val="00E1273D"/>
    <w:rsid w:val="00E15202"/>
    <w:rsid w:val="00E16859"/>
    <w:rsid w:val="00E20908"/>
    <w:rsid w:val="00E23E3F"/>
    <w:rsid w:val="00E2448E"/>
    <w:rsid w:val="00E2584F"/>
    <w:rsid w:val="00E31180"/>
    <w:rsid w:val="00E320A6"/>
    <w:rsid w:val="00E35678"/>
    <w:rsid w:val="00E4145A"/>
    <w:rsid w:val="00E44865"/>
    <w:rsid w:val="00E539A9"/>
    <w:rsid w:val="00E552A0"/>
    <w:rsid w:val="00E62915"/>
    <w:rsid w:val="00E65410"/>
    <w:rsid w:val="00E703B4"/>
    <w:rsid w:val="00E70CD6"/>
    <w:rsid w:val="00E70FDD"/>
    <w:rsid w:val="00E71346"/>
    <w:rsid w:val="00E71B35"/>
    <w:rsid w:val="00E82EB1"/>
    <w:rsid w:val="00E85E64"/>
    <w:rsid w:val="00E90152"/>
    <w:rsid w:val="00E90305"/>
    <w:rsid w:val="00E963D7"/>
    <w:rsid w:val="00E96EF8"/>
    <w:rsid w:val="00EA2659"/>
    <w:rsid w:val="00EA513E"/>
    <w:rsid w:val="00EA7ED2"/>
    <w:rsid w:val="00EB1C21"/>
    <w:rsid w:val="00EB43A9"/>
    <w:rsid w:val="00EB4BF9"/>
    <w:rsid w:val="00EB5D62"/>
    <w:rsid w:val="00EC0FB6"/>
    <w:rsid w:val="00EC1F19"/>
    <w:rsid w:val="00EC284A"/>
    <w:rsid w:val="00EC493F"/>
    <w:rsid w:val="00EC7B7C"/>
    <w:rsid w:val="00ED3F6C"/>
    <w:rsid w:val="00ED788B"/>
    <w:rsid w:val="00EE0238"/>
    <w:rsid w:val="00EE08B4"/>
    <w:rsid w:val="00EE2B4A"/>
    <w:rsid w:val="00EE64B1"/>
    <w:rsid w:val="00EF3BD7"/>
    <w:rsid w:val="00EF5A0D"/>
    <w:rsid w:val="00F0328E"/>
    <w:rsid w:val="00F076FE"/>
    <w:rsid w:val="00F07FB4"/>
    <w:rsid w:val="00F127AE"/>
    <w:rsid w:val="00F12961"/>
    <w:rsid w:val="00F14C8A"/>
    <w:rsid w:val="00F17CEB"/>
    <w:rsid w:val="00F2666A"/>
    <w:rsid w:val="00F3405C"/>
    <w:rsid w:val="00F34073"/>
    <w:rsid w:val="00F3652E"/>
    <w:rsid w:val="00F410EB"/>
    <w:rsid w:val="00F57D8D"/>
    <w:rsid w:val="00F602EF"/>
    <w:rsid w:val="00F623A6"/>
    <w:rsid w:val="00F64B17"/>
    <w:rsid w:val="00F665FB"/>
    <w:rsid w:val="00F70498"/>
    <w:rsid w:val="00F709A3"/>
    <w:rsid w:val="00F71392"/>
    <w:rsid w:val="00F77FC9"/>
    <w:rsid w:val="00F807BF"/>
    <w:rsid w:val="00F8338D"/>
    <w:rsid w:val="00F87338"/>
    <w:rsid w:val="00F91B3C"/>
    <w:rsid w:val="00F95BFE"/>
    <w:rsid w:val="00F9707D"/>
    <w:rsid w:val="00FA52D0"/>
    <w:rsid w:val="00FB306D"/>
    <w:rsid w:val="00FD1EF5"/>
    <w:rsid w:val="00FE568A"/>
    <w:rsid w:val="00FF489C"/>
    <w:rsid w:val="00FF65C6"/>
    <w:rsid w:val="00FF7530"/>
    <w:rsid w:val="353C7AE8"/>
    <w:rsid w:val="66050A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lsdException w:name="annotation text" w:semiHidden="0" w:uiPriority="0" w:unhideWhenUsed="0" w:qFormat="1"/>
    <w:lsdException w:name="header" w:semiHidden="0" w:uiPriority="0" w:unhideWhenUsed="0"/>
    <w:lsdException w:name="footer" w:semiHidden="0" w:uiPriority="0" w:unhideWhenUsed="0" w:qFormat="1"/>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semiHidden="0" w:uiPriority="0" w:unhideWhenUsed="0" w:qFormat="1"/>
    <w:lsdException w:name="Balloon Text" w:semiHidden="0" w:uiPriority="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28E"/>
    <w:pPr>
      <w:widowControl w:val="0"/>
      <w:jc w:val="both"/>
    </w:pPr>
    <w:rPr>
      <w:kern w:val="2"/>
      <w:sz w:val="21"/>
      <w:szCs w:val="24"/>
    </w:rPr>
  </w:style>
  <w:style w:type="paragraph" w:styleId="1">
    <w:name w:val="heading 1"/>
    <w:basedOn w:val="a"/>
    <w:next w:val="a"/>
    <w:link w:val="1Char"/>
    <w:qFormat/>
    <w:rsid w:val="00F0328E"/>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F0328E"/>
    <w:pPr>
      <w:keepNext/>
      <w:keepLines/>
      <w:spacing w:before="260" w:after="260" w:line="415" w:lineRule="auto"/>
      <w:outlineLvl w:val="1"/>
    </w:pPr>
    <w:rPr>
      <w:rFonts w:ascii="Arial" w:eastAsia="黑体" w:hAnsi="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F0328E"/>
    <w:rPr>
      <w:rFonts w:ascii="Times New Roman" w:eastAsia="宋体" w:hAnsi="Times New Roman" w:cs="Times New Roman"/>
      <w:b/>
      <w:bCs/>
      <w:kern w:val="44"/>
      <w:sz w:val="44"/>
      <w:szCs w:val="44"/>
    </w:rPr>
  </w:style>
  <w:style w:type="character" w:customStyle="1" w:styleId="2Char">
    <w:name w:val="标题 2 Char"/>
    <w:link w:val="2"/>
    <w:qFormat/>
    <w:rsid w:val="00F0328E"/>
    <w:rPr>
      <w:rFonts w:ascii="Arial" w:eastAsia="黑体" w:hAnsi="Arial" w:cs="Times New Roman"/>
      <w:b/>
      <w:bCs/>
      <w:sz w:val="32"/>
      <w:szCs w:val="32"/>
    </w:rPr>
  </w:style>
  <w:style w:type="paragraph" w:styleId="a3">
    <w:name w:val="Normal Indent"/>
    <w:basedOn w:val="a"/>
    <w:rsid w:val="00F0328E"/>
    <w:pPr>
      <w:ind w:firstLine="420"/>
    </w:pPr>
    <w:rPr>
      <w:szCs w:val="20"/>
    </w:rPr>
  </w:style>
  <w:style w:type="paragraph" w:styleId="a4">
    <w:name w:val="annotation text"/>
    <w:basedOn w:val="a"/>
    <w:link w:val="Char2"/>
    <w:qFormat/>
    <w:rsid w:val="00F0328E"/>
    <w:pPr>
      <w:jc w:val="left"/>
    </w:pPr>
    <w:rPr>
      <w:kern w:val="0"/>
      <w:sz w:val="20"/>
    </w:rPr>
  </w:style>
  <w:style w:type="character" w:customStyle="1" w:styleId="Char2">
    <w:name w:val="批注文字 Char2"/>
    <w:link w:val="a4"/>
    <w:qFormat/>
    <w:rsid w:val="00F0328E"/>
    <w:rPr>
      <w:rFonts w:ascii="Times New Roman" w:eastAsia="宋体" w:hAnsi="Times New Roman" w:cs="Times New Roman"/>
      <w:szCs w:val="24"/>
    </w:rPr>
  </w:style>
  <w:style w:type="paragraph" w:styleId="a5">
    <w:name w:val="Body Text"/>
    <w:basedOn w:val="a"/>
    <w:link w:val="Char"/>
    <w:rsid w:val="00F0328E"/>
    <w:pPr>
      <w:spacing w:line="360" w:lineRule="auto"/>
    </w:pPr>
    <w:rPr>
      <w:kern w:val="0"/>
      <w:sz w:val="24"/>
    </w:rPr>
  </w:style>
  <w:style w:type="character" w:customStyle="1" w:styleId="Char">
    <w:name w:val="正文文本 Char"/>
    <w:link w:val="a5"/>
    <w:qFormat/>
    <w:rsid w:val="00F0328E"/>
    <w:rPr>
      <w:rFonts w:ascii="Times New Roman" w:eastAsia="宋体" w:hAnsi="Times New Roman" w:cs="Times New Roman"/>
      <w:sz w:val="24"/>
      <w:szCs w:val="24"/>
    </w:rPr>
  </w:style>
  <w:style w:type="paragraph" w:styleId="a6">
    <w:name w:val="Balloon Text"/>
    <w:basedOn w:val="a"/>
    <w:link w:val="Char0"/>
    <w:qFormat/>
    <w:rsid w:val="00F0328E"/>
    <w:rPr>
      <w:kern w:val="0"/>
      <w:sz w:val="18"/>
      <w:szCs w:val="18"/>
    </w:rPr>
  </w:style>
  <w:style w:type="character" w:customStyle="1" w:styleId="Char0">
    <w:name w:val="批注框文本 Char"/>
    <w:link w:val="a6"/>
    <w:qFormat/>
    <w:rsid w:val="00F0328E"/>
    <w:rPr>
      <w:rFonts w:ascii="Times New Roman" w:eastAsia="宋体" w:hAnsi="Times New Roman" w:cs="Times New Roman"/>
      <w:sz w:val="18"/>
      <w:szCs w:val="18"/>
    </w:rPr>
  </w:style>
  <w:style w:type="paragraph" w:styleId="a7">
    <w:name w:val="footer"/>
    <w:basedOn w:val="a"/>
    <w:link w:val="Char1"/>
    <w:qFormat/>
    <w:rsid w:val="00F0328E"/>
    <w:pPr>
      <w:tabs>
        <w:tab w:val="center" w:pos="4153"/>
        <w:tab w:val="right" w:pos="8306"/>
      </w:tabs>
      <w:snapToGrid w:val="0"/>
      <w:jc w:val="left"/>
    </w:pPr>
    <w:rPr>
      <w:kern w:val="0"/>
      <w:sz w:val="18"/>
      <w:szCs w:val="18"/>
    </w:rPr>
  </w:style>
  <w:style w:type="character" w:customStyle="1" w:styleId="Char1">
    <w:name w:val="页脚 Char"/>
    <w:link w:val="a7"/>
    <w:qFormat/>
    <w:rsid w:val="00F0328E"/>
    <w:rPr>
      <w:rFonts w:ascii="Times New Roman" w:eastAsia="宋体" w:hAnsi="Times New Roman" w:cs="Times New Roman"/>
      <w:sz w:val="18"/>
      <w:szCs w:val="18"/>
    </w:rPr>
  </w:style>
  <w:style w:type="paragraph" w:styleId="a8">
    <w:name w:val="header"/>
    <w:basedOn w:val="a"/>
    <w:link w:val="Char3"/>
    <w:rsid w:val="00F0328E"/>
    <w:pPr>
      <w:pBdr>
        <w:bottom w:val="single" w:sz="6" w:space="1" w:color="auto"/>
      </w:pBdr>
      <w:tabs>
        <w:tab w:val="center" w:pos="4153"/>
        <w:tab w:val="right" w:pos="8306"/>
      </w:tabs>
      <w:snapToGrid w:val="0"/>
      <w:jc w:val="center"/>
    </w:pPr>
    <w:rPr>
      <w:kern w:val="0"/>
      <w:sz w:val="18"/>
      <w:szCs w:val="18"/>
    </w:rPr>
  </w:style>
  <w:style w:type="character" w:customStyle="1" w:styleId="Char3">
    <w:name w:val="页眉 Char"/>
    <w:link w:val="a8"/>
    <w:qFormat/>
    <w:rsid w:val="00F0328E"/>
    <w:rPr>
      <w:rFonts w:ascii="Times New Roman" w:eastAsia="宋体" w:hAnsi="Times New Roman" w:cs="Times New Roman"/>
      <w:sz w:val="18"/>
      <w:szCs w:val="18"/>
    </w:rPr>
  </w:style>
  <w:style w:type="paragraph" w:styleId="10">
    <w:name w:val="toc 1"/>
    <w:basedOn w:val="a"/>
    <w:next w:val="a"/>
    <w:uiPriority w:val="39"/>
    <w:qFormat/>
    <w:rsid w:val="00F0328E"/>
  </w:style>
  <w:style w:type="paragraph" w:styleId="20">
    <w:name w:val="toc 2"/>
    <w:basedOn w:val="a"/>
    <w:next w:val="a"/>
    <w:qFormat/>
    <w:rsid w:val="00F0328E"/>
    <w:pPr>
      <w:tabs>
        <w:tab w:val="left" w:pos="1050"/>
        <w:tab w:val="right" w:leader="dot" w:pos="8494"/>
      </w:tabs>
      <w:spacing w:line="360" w:lineRule="auto"/>
      <w:ind w:leftChars="200" w:left="420"/>
    </w:pPr>
  </w:style>
  <w:style w:type="paragraph" w:styleId="a9">
    <w:name w:val="Normal (Web)"/>
    <w:basedOn w:val="a"/>
    <w:uiPriority w:val="99"/>
    <w:unhideWhenUsed/>
    <w:qFormat/>
    <w:rsid w:val="00F0328E"/>
    <w:pPr>
      <w:widowControl/>
      <w:spacing w:before="100" w:beforeAutospacing="1" w:after="100" w:afterAutospacing="1"/>
      <w:jc w:val="left"/>
    </w:pPr>
    <w:rPr>
      <w:rFonts w:ascii="宋体" w:hAnsi="宋体" w:cs="宋体"/>
      <w:kern w:val="0"/>
      <w:sz w:val="24"/>
    </w:rPr>
  </w:style>
  <w:style w:type="paragraph" w:styleId="aa">
    <w:name w:val="annotation subject"/>
    <w:basedOn w:val="a4"/>
    <w:next w:val="a4"/>
    <w:link w:val="Char4"/>
    <w:qFormat/>
    <w:rsid w:val="00F0328E"/>
    <w:rPr>
      <w:b/>
      <w:bCs/>
      <w:kern w:val="2"/>
      <w:sz w:val="21"/>
    </w:rPr>
  </w:style>
  <w:style w:type="character" w:customStyle="1" w:styleId="Char4">
    <w:name w:val="批注主题 Char"/>
    <w:link w:val="aa"/>
    <w:qFormat/>
    <w:rsid w:val="00F0328E"/>
    <w:rPr>
      <w:rFonts w:ascii="Times New Roman" w:eastAsia="宋体" w:hAnsi="Times New Roman" w:cs="Times New Roman"/>
      <w:b/>
      <w:bCs/>
      <w:kern w:val="2"/>
      <w:sz w:val="21"/>
      <w:szCs w:val="24"/>
    </w:rPr>
  </w:style>
  <w:style w:type="character" w:styleId="ab">
    <w:name w:val="Hyperlink"/>
    <w:uiPriority w:val="99"/>
    <w:qFormat/>
    <w:rsid w:val="00F0328E"/>
    <w:rPr>
      <w:color w:val="0000FF"/>
      <w:u w:val="single"/>
    </w:rPr>
  </w:style>
  <w:style w:type="character" w:styleId="ac">
    <w:name w:val="annotation reference"/>
    <w:qFormat/>
    <w:rsid w:val="00F0328E"/>
    <w:rPr>
      <w:sz w:val="21"/>
      <w:szCs w:val="21"/>
    </w:rPr>
  </w:style>
  <w:style w:type="character" w:customStyle="1" w:styleId="CharChar">
    <w:name w:val="批注主题 Char Char"/>
    <w:link w:val="11"/>
    <w:qFormat/>
    <w:rsid w:val="00F0328E"/>
    <w:rPr>
      <w:rFonts w:ascii="Times New Roman" w:eastAsia="宋体" w:hAnsi="Times New Roman" w:cs="Times New Roman"/>
      <w:b/>
      <w:bCs/>
      <w:szCs w:val="24"/>
    </w:rPr>
  </w:style>
  <w:style w:type="paragraph" w:customStyle="1" w:styleId="11">
    <w:name w:val="批注主题1"/>
    <w:basedOn w:val="a4"/>
    <w:next w:val="a4"/>
    <w:link w:val="CharChar"/>
    <w:qFormat/>
    <w:rsid w:val="00F0328E"/>
    <w:rPr>
      <w:b/>
      <w:bCs/>
    </w:rPr>
  </w:style>
  <w:style w:type="character" w:customStyle="1" w:styleId="read">
    <w:name w:val="read"/>
    <w:qFormat/>
    <w:rsid w:val="00F0328E"/>
  </w:style>
  <w:style w:type="character" w:customStyle="1" w:styleId="12">
    <w:name w:val="批注引用1"/>
    <w:qFormat/>
    <w:rsid w:val="00F0328E"/>
    <w:rPr>
      <w:sz w:val="21"/>
      <w:szCs w:val="21"/>
    </w:rPr>
  </w:style>
  <w:style w:type="character" w:customStyle="1" w:styleId="Char5">
    <w:name w:val="正文文本缩进 Char"/>
    <w:link w:val="13"/>
    <w:qFormat/>
    <w:rsid w:val="00F0328E"/>
    <w:rPr>
      <w:rFonts w:ascii="宋体" w:eastAsia="宋体" w:hAnsi="Times New Roman" w:cs="Times New Roman"/>
      <w:kern w:val="0"/>
      <w:sz w:val="24"/>
      <w:szCs w:val="20"/>
    </w:rPr>
  </w:style>
  <w:style w:type="paragraph" w:customStyle="1" w:styleId="13">
    <w:name w:val="正文文本缩进1"/>
    <w:basedOn w:val="a"/>
    <w:link w:val="Char5"/>
    <w:qFormat/>
    <w:rsid w:val="00F0328E"/>
    <w:pPr>
      <w:autoSpaceDE w:val="0"/>
      <w:autoSpaceDN w:val="0"/>
      <w:adjustRightInd w:val="0"/>
      <w:spacing w:after="120" w:line="440" w:lineRule="atLeast"/>
      <w:ind w:firstLine="539"/>
    </w:pPr>
    <w:rPr>
      <w:rFonts w:ascii="宋体"/>
      <w:kern w:val="0"/>
      <w:sz w:val="24"/>
      <w:szCs w:val="20"/>
    </w:rPr>
  </w:style>
  <w:style w:type="character" w:customStyle="1" w:styleId="3Char">
    <w:name w:val="正文文本缩进 3 Char"/>
    <w:link w:val="31"/>
    <w:qFormat/>
    <w:rsid w:val="00F0328E"/>
    <w:rPr>
      <w:rFonts w:ascii="宋体" w:eastAsia="宋体" w:hAnsi="Times New Roman" w:cs="Times New Roman"/>
      <w:sz w:val="28"/>
      <w:szCs w:val="20"/>
    </w:rPr>
  </w:style>
  <w:style w:type="paragraph" w:customStyle="1" w:styleId="31">
    <w:name w:val="正文文本缩进 31"/>
    <w:basedOn w:val="a"/>
    <w:link w:val="3Char"/>
    <w:qFormat/>
    <w:rsid w:val="00F0328E"/>
    <w:pPr>
      <w:spacing w:line="400" w:lineRule="atLeast"/>
      <w:ind w:firstLine="600"/>
    </w:pPr>
    <w:rPr>
      <w:rFonts w:ascii="宋体"/>
      <w:kern w:val="0"/>
      <w:sz w:val="28"/>
      <w:szCs w:val="20"/>
    </w:rPr>
  </w:style>
  <w:style w:type="character" w:customStyle="1" w:styleId="Char6">
    <w:name w:val="文档结构图 Char"/>
    <w:link w:val="14"/>
    <w:qFormat/>
    <w:rsid w:val="00F0328E"/>
    <w:rPr>
      <w:rFonts w:ascii="宋体" w:eastAsia="宋体" w:hAnsi="Times New Roman" w:cs="Times New Roman"/>
      <w:sz w:val="18"/>
      <w:szCs w:val="18"/>
    </w:rPr>
  </w:style>
  <w:style w:type="paragraph" w:customStyle="1" w:styleId="14">
    <w:name w:val="文档结构图1"/>
    <w:basedOn w:val="a"/>
    <w:link w:val="Char6"/>
    <w:qFormat/>
    <w:rsid w:val="00F0328E"/>
    <w:rPr>
      <w:rFonts w:ascii="宋体"/>
      <w:kern w:val="0"/>
      <w:sz w:val="18"/>
      <w:szCs w:val="18"/>
    </w:rPr>
  </w:style>
  <w:style w:type="paragraph" w:customStyle="1" w:styleId="Default">
    <w:name w:val="Default"/>
    <w:qFormat/>
    <w:rsid w:val="00F0328E"/>
    <w:pPr>
      <w:widowControl w:val="0"/>
      <w:autoSpaceDE w:val="0"/>
      <w:autoSpaceDN w:val="0"/>
      <w:adjustRightInd w:val="0"/>
    </w:pPr>
    <w:rPr>
      <w:rFonts w:ascii="宋体" w:cs="宋体"/>
      <w:color w:val="000000"/>
      <w:sz w:val="24"/>
      <w:szCs w:val="24"/>
    </w:rPr>
  </w:style>
  <w:style w:type="paragraph" w:customStyle="1" w:styleId="CharCharChar">
    <w:name w:val="Char Char Char"/>
    <w:basedOn w:val="a"/>
    <w:qFormat/>
    <w:rsid w:val="00F0328E"/>
  </w:style>
  <w:style w:type="paragraph" w:customStyle="1" w:styleId="15">
    <w:name w:val="列出段落1"/>
    <w:basedOn w:val="a"/>
    <w:qFormat/>
    <w:rsid w:val="00F0328E"/>
    <w:pPr>
      <w:ind w:firstLineChars="200" w:firstLine="420"/>
    </w:pPr>
  </w:style>
  <w:style w:type="paragraph" w:customStyle="1" w:styleId="16">
    <w:name w:val="修订1"/>
    <w:qFormat/>
    <w:rsid w:val="00F0328E"/>
    <w:rPr>
      <w:kern w:val="2"/>
      <w:sz w:val="21"/>
      <w:szCs w:val="24"/>
    </w:rPr>
  </w:style>
  <w:style w:type="paragraph" w:customStyle="1" w:styleId="110">
    <w:name w:val="修订11"/>
    <w:qFormat/>
    <w:rsid w:val="00F0328E"/>
    <w:rPr>
      <w:szCs w:val="24"/>
    </w:rPr>
  </w:style>
  <w:style w:type="paragraph" w:customStyle="1" w:styleId="17">
    <w:name w:val="正文缩进1"/>
    <w:basedOn w:val="a"/>
    <w:qFormat/>
    <w:rsid w:val="00F0328E"/>
    <w:pPr>
      <w:ind w:firstLine="420"/>
    </w:pPr>
    <w:rPr>
      <w:szCs w:val="20"/>
    </w:rPr>
  </w:style>
  <w:style w:type="paragraph" w:customStyle="1" w:styleId="TOC1">
    <w:name w:val="TOC 标题1"/>
    <w:basedOn w:val="1"/>
    <w:next w:val="a"/>
    <w:qFormat/>
    <w:rsid w:val="00F0328E"/>
    <w:pPr>
      <w:widowControl/>
      <w:spacing w:before="480" w:after="0" w:line="276" w:lineRule="auto"/>
      <w:jc w:val="left"/>
      <w:outlineLvl w:val="9"/>
    </w:pPr>
    <w:rPr>
      <w:rFonts w:ascii="Cambria" w:hAnsi="Cambria"/>
      <w:color w:val="365F91"/>
      <w:kern w:val="0"/>
      <w:sz w:val="28"/>
      <w:szCs w:val="28"/>
    </w:rPr>
  </w:style>
  <w:style w:type="paragraph" w:customStyle="1" w:styleId="CharChar0">
    <w:name w:val="Char Char"/>
    <w:basedOn w:val="a"/>
    <w:qFormat/>
    <w:rsid w:val="00F0328E"/>
    <w:rPr>
      <w:szCs w:val="20"/>
    </w:rPr>
  </w:style>
  <w:style w:type="paragraph" w:customStyle="1" w:styleId="21">
    <w:name w:val="！正文缩进2字符"/>
    <w:basedOn w:val="a"/>
    <w:link w:val="2Char0"/>
    <w:qFormat/>
    <w:rsid w:val="00F0328E"/>
    <w:pPr>
      <w:spacing w:line="360" w:lineRule="auto"/>
      <w:ind w:firstLineChars="200" w:firstLine="480"/>
    </w:pPr>
    <w:rPr>
      <w:sz w:val="24"/>
      <w:szCs w:val="20"/>
    </w:rPr>
  </w:style>
  <w:style w:type="character" w:customStyle="1" w:styleId="2Char0">
    <w:name w:val="！正文缩进2字符 Char"/>
    <w:link w:val="21"/>
    <w:qFormat/>
    <w:rsid w:val="00F0328E"/>
    <w:rPr>
      <w:kern w:val="2"/>
      <w:sz w:val="24"/>
    </w:rPr>
  </w:style>
  <w:style w:type="character" w:customStyle="1" w:styleId="ad">
    <w:name w:val="批注文字 字符"/>
    <w:qFormat/>
    <w:rsid w:val="00F0328E"/>
    <w:rPr>
      <w:rFonts w:ascii="Times New Roman" w:eastAsia="宋体" w:hAnsi="Times New Roman" w:cs="Times New Roman"/>
      <w:szCs w:val="24"/>
    </w:rPr>
  </w:style>
  <w:style w:type="character" w:customStyle="1" w:styleId="Char7">
    <w:name w:val="批注文字 Char"/>
    <w:qFormat/>
    <w:rsid w:val="00F0328E"/>
    <w:rPr>
      <w:kern w:val="2"/>
      <w:sz w:val="21"/>
      <w:szCs w:val="24"/>
    </w:rPr>
  </w:style>
  <w:style w:type="paragraph" w:styleId="ae">
    <w:name w:val="List Paragraph"/>
    <w:basedOn w:val="a"/>
    <w:uiPriority w:val="34"/>
    <w:qFormat/>
    <w:rsid w:val="00F0328E"/>
    <w:pPr>
      <w:ind w:firstLineChars="200" w:firstLine="420"/>
    </w:pPr>
  </w:style>
  <w:style w:type="character" w:customStyle="1" w:styleId="Char10">
    <w:name w:val="批注文字 Char1"/>
    <w:uiPriority w:val="99"/>
    <w:qFormat/>
    <w:rsid w:val="00F0328E"/>
    <w:rPr>
      <w:kern w:val="2"/>
      <w:sz w:val="21"/>
    </w:rPr>
  </w:style>
  <w:style w:type="paragraph" w:styleId="af">
    <w:name w:val="Revision"/>
    <w:hidden/>
    <w:uiPriority w:val="99"/>
    <w:unhideWhenUsed/>
    <w:rsid w:val="00BB3D1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9C95F-152B-48B4-AADB-40B0978AE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54</Pages>
  <Words>5332</Words>
  <Characters>30399</Characters>
  <Application>Microsoft Office Word</Application>
  <DocSecurity>0</DocSecurity>
  <Lines>253</Lines>
  <Paragraphs>71</Paragraphs>
  <ScaleCrop>false</ScaleCrop>
  <Company>Lenovo</Company>
  <LinksUpToDate>false</LinksUpToDate>
  <CharactersWithSpaces>35660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cuiyy</dc:title>
  <dc:creator>zhouxc</dc:creator>
  <cp:lastModifiedBy>颜胡</cp:lastModifiedBy>
  <cp:revision>33</cp:revision>
  <cp:lastPrinted>2021-10-14T05:18:00Z</cp:lastPrinted>
  <dcterms:created xsi:type="dcterms:W3CDTF">2021-06-25T10:42:00Z</dcterms:created>
  <dcterms:modified xsi:type="dcterms:W3CDTF">2021-10-14T05:21:00Z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D7523A45495A41628C7B76DD17C2DC98</vt:lpwstr>
  </property>
</Properties>
</file>