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5395" w:rsidRDefault="00595395">
      <w:pPr>
        <w:adjustRightInd w:val="0"/>
        <w:snapToGrid w:val="0"/>
        <w:jc w:val="center"/>
        <w:rPr>
          <w:rFonts w:ascii="黑体" w:eastAsia="黑体" w:hAnsi="宋体"/>
          <w:b/>
          <w:bCs/>
          <w:sz w:val="44"/>
          <w:szCs w:val="44"/>
        </w:rPr>
      </w:pPr>
    </w:p>
    <w:p w:rsidR="00595395" w:rsidRDefault="00595395">
      <w:pPr>
        <w:adjustRightInd w:val="0"/>
        <w:snapToGrid w:val="0"/>
        <w:jc w:val="center"/>
        <w:rPr>
          <w:rFonts w:ascii="黑体" w:eastAsia="黑体" w:hAnsi="宋体"/>
          <w:b/>
          <w:bCs/>
          <w:sz w:val="44"/>
          <w:szCs w:val="44"/>
        </w:rPr>
      </w:pPr>
    </w:p>
    <w:p w:rsidR="00595395" w:rsidRDefault="00595395">
      <w:pPr>
        <w:adjustRightInd w:val="0"/>
        <w:snapToGrid w:val="0"/>
        <w:jc w:val="center"/>
        <w:rPr>
          <w:rFonts w:ascii="黑体" w:eastAsia="黑体" w:hAnsi="宋体"/>
          <w:b/>
          <w:bCs/>
          <w:sz w:val="44"/>
          <w:szCs w:val="44"/>
        </w:rPr>
      </w:pPr>
    </w:p>
    <w:p w:rsidR="00595395" w:rsidRDefault="00595395">
      <w:pPr>
        <w:adjustRightInd w:val="0"/>
        <w:snapToGrid w:val="0"/>
        <w:jc w:val="center"/>
        <w:rPr>
          <w:rFonts w:ascii="黑体" w:eastAsia="黑体" w:hAnsi="宋体"/>
          <w:b/>
          <w:bCs/>
          <w:sz w:val="44"/>
          <w:szCs w:val="44"/>
        </w:rPr>
      </w:pPr>
    </w:p>
    <w:p w:rsidR="00595395" w:rsidRDefault="00595395">
      <w:pPr>
        <w:adjustRightInd w:val="0"/>
        <w:snapToGrid w:val="0"/>
        <w:jc w:val="center"/>
        <w:rPr>
          <w:rFonts w:ascii="黑体" w:eastAsia="黑体" w:hAnsi="宋体"/>
          <w:b/>
          <w:bCs/>
          <w:sz w:val="44"/>
          <w:szCs w:val="44"/>
        </w:rPr>
      </w:pPr>
    </w:p>
    <w:p w:rsidR="00595395" w:rsidRDefault="00595395">
      <w:pPr>
        <w:adjustRightInd w:val="0"/>
        <w:snapToGrid w:val="0"/>
        <w:jc w:val="center"/>
        <w:rPr>
          <w:rFonts w:ascii="黑体" w:eastAsia="黑体" w:hAnsi="宋体"/>
          <w:b/>
          <w:bCs/>
          <w:sz w:val="44"/>
          <w:szCs w:val="44"/>
        </w:rPr>
      </w:pPr>
    </w:p>
    <w:p w:rsidR="00595395" w:rsidRDefault="00595395">
      <w:pPr>
        <w:adjustRightInd w:val="0"/>
        <w:snapToGrid w:val="0"/>
        <w:jc w:val="center"/>
        <w:rPr>
          <w:rFonts w:ascii="黑体" w:eastAsia="黑体" w:hAnsi="宋体"/>
          <w:b/>
          <w:bCs/>
          <w:sz w:val="44"/>
          <w:szCs w:val="44"/>
        </w:rPr>
      </w:pPr>
    </w:p>
    <w:p w:rsidR="00595395" w:rsidRDefault="00595395">
      <w:pPr>
        <w:adjustRightInd w:val="0"/>
        <w:snapToGrid w:val="0"/>
        <w:jc w:val="center"/>
        <w:rPr>
          <w:rFonts w:ascii="黑体" w:eastAsia="黑体" w:hAnsi="宋体"/>
          <w:b/>
          <w:bCs/>
          <w:sz w:val="44"/>
          <w:szCs w:val="44"/>
        </w:rPr>
      </w:pPr>
    </w:p>
    <w:p w:rsidR="008F3B05" w:rsidRDefault="008F3B05">
      <w:pPr>
        <w:adjustRightInd w:val="0"/>
        <w:snapToGrid w:val="0"/>
        <w:jc w:val="center"/>
        <w:rPr>
          <w:rFonts w:ascii="黑体" w:eastAsia="黑体" w:hAnsi="宋体"/>
          <w:b/>
          <w:bCs/>
          <w:sz w:val="44"/>
          <w:szCs w:val="44"/>
        </w:rPr>
      </w:pPr>
      <w:r>
        <w:rPr>
          <w:rFonts w:ascii="黑体" w:eastAsia="黑体" w:hAnsi="宋体" w:hint="eastAsia"/>
          <w:b/>
          <w:bCs/>
          <w:sz w:val="44"/>
          <w:szCs w:val="44"/>
        </w:rPr>
        <w:t>华商主题精选混合型证券投资基金</w:t>
      </w:r>
    </w:p>
    <w:p w:rsidR="008F3B05" w:rsidRDefault="008F3B05">
      <w:pPr>
        <w:adjustRightInd w:val="0"/>
        <w:snapToGrid w:val="0"/>
        <w:jc w:val="center"/>
        <w:rPr>
          <w:rFonts w:ascii="黑体" w:eastAsia="黑体" w:hAnsi="宋体"/>
          <w:b/>
          <w:bCs/>
          <w:sz w:val="44"/>
          <w:szCs w:val="44"/>
        </w:rPr>
      </w:pPr>
      <w:r>
        <w:rPr>
          <w:rFonts w:ascii="黑体" w:eastAsia="黑体" w:hAnsi="宋体" w:hint="eastAsia"/>
          <w:b/>
          <w:bCs/>
          <w:sz w:val="44"/>
          <w:szCs w:val="44"/>
        </w:rPr>
        <w:t>托管协议</w:t>
      </w:r>
    </w:p>
    <w:p w:rsidR="008F3B05" w:rsidRDefault="008F3B05">
      <w:pPr>
        <w:adjustRightInd w:val="0"/>
        <w:snapToGrid w:val="0"/>
        <w:jc w:val="center"/>
        <w:outlineLvl w:val="0"/>
        <w:rPr>
          <w:rFonts w:ascii="仿宋_GB2312" w:eastAsia="仿宋_GB2312" w:hAnsi="宋体" w:cs="Arial"/>
          <w:sz w:val="24"/>
        </w:rPr>
      </w:pPr>
    </w:p>
    <w:p w:rsidR="008F3B05" w:rsidRDefault="008F3B05">
      <w:pPr>
        <w:adjustRightInd w:val="0"/>
        <w:snapToGrid w:val="0"/>
        <w:jc w:val="center"/>
        <w:outlineLvl w:val="0"/>
        <w:rPr>
          <w:rFonts w:ascii="仿宋_GB2312" w:eastAsia="仿宋_GB2312" w:hAnsi="宋体" w:cs="Arial"/>
          <w:sz w:val="24"/>
        </w:rPr>
      </w:pPr>
    </w:p>
    <w:p w:rsidR="008F3B05" w:rsidRDefault="008F3B05">
      <w:pPr>
        <w:adjustRightInd w:val="0"/>
        <w:snapToGrid w:val="0"/>
        <w:jc w:val="center"/>
        <w:outlineLvl w:val="0"/>
        <w:rPr>
          <w:rFonts w:ascii="仿宋_GB2312" w:eastAsia="仿宋_GB2312" w:hAnsi="宋体" w:cs="Arial"/>
          <w:sz w:val="24"/>
        </w:rPr>
      </w:pPr>
    </w:p>
    <w:p w:rsidR="008F3B05" w:rsidRDefault="008F3B05">
      <w:pPr>
        <w:adjustRightInd w:val="0"/>
        <w:snapToGrid w:val="0"/>
        <w:jc w:val="center"/>
        <w:outlineLvl w:val="0"/>
        <w:rPr>
          <w:rFonts w:ascii="仿宋_GB2312" w:eastAsia="仿宋_GB2312" w:hAnsi="宋体" w:cs="Arial"/>
          <w:sz w:val="24"/>
        </w:rPr>
      </w:pPr>
    </w:p>
    <w:p w:rsidR="008F3B05" w:rsidRDefault="008F3B05">
      <w:pPr>
        <w:adjustRightInd w:val="0"/>
        <w:snapToGrid w:val="0"/>
        <w:jc w:val="center"/>
        <w:outlineLvl w:val="0"/>
        <w:rPr>
          <w:rFonts w:ascii="仿宋_GB2312" w:eastAsia="仿宋_GB2312" w:hAnsi="宋体" w:cs="Arial"/>
          <w:sz w:val="24"/>
        </w:rPr>
      </w:pPr>
    </w:p>
    <w:p w:rsidR="008F3B05" w:rsidRDefault="008F3B05">
      <w:pPr>
        <w:adjustRightInd w:val="0"/>
        <w:snapToGrid w:val="0"/>
        <w:jc w:val="center"/>
        <w:outlineLvl w:val="0"/>
        <w:rPr>
          <w:rFonts w:ascii="仿宋_GB2312" w:eastAsia="仿宋_GB2312" w:hAnsi="宋体" w:cs="Arial"/>
          <w:sz w:val="24"/>
        </w:rPr>
      </w:pPr>
    </w:p>
    <w:p w:rsidR="008F3B05" w:rsidRDefault="008F3B05">
      <w:pPr>
        <w:adjustRightInd w:val="0"/>
        <w:snapToGrid w:val="0"/>
        <w:jc w:val="center"/>
        <w:outlineLvl w:val="0"/>
        <w:rPr>
          <w:rFonts w:ascii="仿宋_GB2312" w:eastAsia="仿宋_GB2312" w:hAnsi="宋体" w:cs="Arial"/>
          <w:sz w:val="24"/>
        </w:rPr>
      </w:pPr>
    </w:p>
    <w:p w:rsidR="008F3B05" w:rsidRDefault="008F3B05">
      <w:pPr>
        <w:adjustRightInd w:val="0"/>
        <w:snapToGrid w:val="0"/>
        <w:jc w:val="center"/>
        <w:outlineLvl w:val="0"/>
        <w:rPr>
          <w:rFonts w:ascii="仿宋_GB2312" w:eastAsia="仿宋_GB2312" w:hAnsi="宋体" w:cs="Arial"/>
          <w:sz w:val="24"/>
        </w:rPr>
      </w:pPr>
    </w:p>
    <w:p w:rsidR="008F3B05" w:rsidRDefault="008F3B05">
      <w:pPr>
        <w:adjustRightInd w:val="0"/>
        <w:snapToGrid w:val="0"/>
        <w:jc w:val="center"/>
        <w:outlineLvl w:val="0"/>
        <w:rPr>
          <w:rFonts w:ascii="仿宋_GB2312" w:eastAsia="仿宋_GB2312" w:hAnsi="宋体" w:cs="Arial"/>
          <w:sz w:val="24"/>
        </w:rPr>
      </w:pPr>
    </w:p>
    <w:p w:rsidR="008F3B05" w:rsidRDefault="008F3B05">
      <w:pPr>
        <w:adjustRightInd w:val="0"/>
        <w:snapToGrid w:val="0"/>
        <w:jc w:val="center"/>
        <w:outlineLvl w:val="0"/>
        <w:rPr>
          <w:rFonts w:ascii="仿宋_GB2312" w:eastAsia="仿宋_GB2312" w:hAnsi="宋体" w:cs="Arial"/>
          <w:sz w:val="24"/>
        </w:rPr>
      </w:pPr>
    </w:p>
    <w:p w:rsidR="008F3B05" w:rsidRDefault="008F3B05">
      <w:pPr>
        <w:spacing w:line="360" w:lineRule="auto"/>
        <w:ind w:firstLineChars="3" w:firstLine="7"/>
        <w:rPr>
          <w:rFonts w:ascii="黑体" w:eastAsia="黑体" w:hAnsi="宋体"/>
          <w:bCs/>
          <w:sz w:val="30"/>
          <w:szCs w:val="30"/>
        </w:rPr>
      </w:pPr>
      <w:r>
        <w:rPr>
          <w:rFonts w:ascii="仿宋_GB2312" w:eastAsia="仿宋_GB2312" w:hAnsi="宋体" w:cs="Arial" w:hint="eastAsia"/>
          <w:sz w:val="24"/>
        </w:rPr>
        <w:t xml:space="preserve">            </w:t>
      </w:r>
      <w:r>
        <w:rPr>
          <w:rFonts w:ascii="仿宋_GB2312" w:eastAsia="仿宋_GB2312" w:hAnsi="宋体" w:hint="eastAsia"/>
          <w:b/>
          <w:bCs/>
          <w:sz w:val="30"/>
          <w:szCs w:val="30"/>
        </w:rPr>
        <w:t xml:space="preserve">  </w:t>
      </w:r>
      <w:r>
        <w:rPr>
          <w:rFonts w:ascii="黑体" w:eastAsia="黑体" w:hAnsi="宋体" w:hint="eastAsia"/>
          <w:bCs/>
          <w:sz w:val="30"/>
          <w:szCs w:val="30"/>
        </w:rPr>
        <w:t>基金管理人：华商基金管理有限公司</w:t>
      </w:r>
    </w:p>
    <w:p w:rsidR="008F3B05" w:rsidRDefault="008F3B05">
      <w:pPr>
        <w:spacing w:line="360" w:lineRule="auto"/>
        <w:ind w:firstLineChars="3" w:firstLine="9"/>
        <w:jc w:val="left"/>
        <w:rPr>
          <w:rFonts w:ascii="仿宋_GB2312" w:eastAsia="仿宋_GB2312" w:hAnsi="宋体"/>
          <w:bCs/>
          <w:sz w:val="30"/>
          <w:szCs w:val="30"/>
        </w:rPr>
      </w:pPr>
      <w:r>
        <w:rPr>
          <w:rFonts w:ascii="黑体" w:eastAsia="黑体" w:hAnsi="宋体" w:hint="eastAsia"/>
          <w:bCs/>
          <w:sz w:val="30"/>
          <w:szCs w:val="30"/>
        </w:rPr>
        <w:t xml:space="preserve">           基金托管人：中国建设银行股份有限公司</w:t>
      </w:r>
    </w:p>
    <w:p w:rsidR="008F3B05" w:rsidRDefault="008F3B05">
      <w:pPr>
        <w:spacing w:line="360" w:lineRule="auto"/>
        <w:ind w:firstLineChars="3" w:firstLine="7"/>
        <w:rPr>
          <w:rFonts w:ascii="仿宋_GB2312" w:eastAsia="仿宋_GB2312" w:hAnsi="宋体" w:cs="Arial"/>
          <w:sz w:val="24"/>
        </w:rPr>
      </w:pPr>
    </w:p>
    <w:p w:rsidR="008F3B05" w:rsidRDefault="008F3B05">
      <w:pPr>
        <w:adjustRightInd w:val="0"/>
        <w:snapToGrid w:val="0"/>
        <w:jc w:val="center"/>
        <w:outlineLvl w:val="0"/>
        <w:rPr>
          <w:rFonts w:ascii="仿宋_GB2312" w:eastAsia="仿宋_GB2312" w:hAnsi="宋体" w:cs="Arial"/>
          <w:sz w:val="24"/>
        </w:rPr>
      </w:pPr>
    </w:p>
    <w:p w:rsidR="008F3B05" w:rsidRDefault="008F3B05">
      <w:pPr>
        <w:adjustRightInd w:val="0"/>
        <w:snapToGrid w:val="0"/>
        <w:jc w:val="center"/>
        <w:outlineLvl w:val="0"/>
        <w:rPr>
          <w:rFonts w:ascii="仿宋_GB2312" w:eastAsia="仿宋_GB2312" w:hAnsi="宋体" w:cs="Arial"/>
          <w:sz w:val="24"/>
        </w:rPr>
      </w:pPr>
    </w:p>
    <w:p w:rsidR="008F3B05" w:rsidRDefault="008F3B05">
      <w:pPr>
        <w:adjustRightInd w:val="0"/>
        <w:snapToGrid w:val="0"/>
        <w:jc w:val="center"/>
        <w:outlineLvl w:val="0"/>
        <w:rPr>
          <w:rFonts w:ascii="仿宋_GB2312" w:eastAsia="仿宋_GB2312" w:hAnsi="宋体" w:cs="Arial"/>
          <w:sz w:val="24"/>
        </w:rPr>
      </w:pPr>
    </w:p>
    <w:p w:rsidR="008F3B05" w:rsidRDefault="008F3B05">
      <w:pPr>
        <w:adjustRightInd w:val="0"/>
        <w:snapToGrid w:val="0"/>
        <w:jc w:val="center"/>
        <w:outlineLvl w:val="0"/>
        <w:rPr>
          <w:rFonts w:ascii="仿宋_GB2312" w:eastAsia="仿宋_GB2312" w:hAnsi="宋体" w:cs="Arial"/>
          <w:sz w:val="24"/>
        </w:rPr>
      </w:pPr>
    </w:p>
    <w:p w:rsidR="008F3B05" w:rsidRDefault="003563DB" w:rsidP="00CB6025">
      <w:pPr>
        <w:adjustRightInd w:val="0"/>
        <w:snapToGrid w:val="0"/>
        <w:jc w:val="center"/>
        <w:outlineLvl w:val="0"/>
        <w:rPr>
          <w:rFonts w:ascii="黑体" w:eastAsia="黑体" w:hAnsi="宋体"/>
          <w:bCs/>
          <w:sz w:val="30"/>
          <w:szCs w:val="30"/>
        </w:rPr>
      </w:pPr>
      <w:r>
        <w:rPr>
          <w:rFonts w:ascii="黑体" w:eastAsia="黑体" w:hAnsi="宋体" w:hint="eastAsia"/>
          <w:bCs/>
          <w:sz w:val="30"/>
          <w:szCs w:val="30"/>
        </w:rPr>
        <w:t>二零</w:t>
      </w:r>
      <w:r w:rsidR="00091AE9">
        <w:rPr>
          <w:rFonts w:ascii="黑体" w:eastAsia="黑体" w:hAnsi="宋体" w:hint="eastAsia"/>
          <w:bCs/>
          <w:sz w:val="30"/>
          <w:szCs w:val="30"/>
        </w:rPr>
        <w:t>二零</w:t>
      </w:r>
      <w:r>
        <w:rPr>
          <w:rFonts w:ascii="黑体" w:eastAsia="黑体" w:hAnsi="宋体" w:hint="eastAsia"/>
          <w:bCs/>
          <w:sz w:val="30"/>
          <w:szCs w:val="30"/>
        </w:rPr>
        <w:t>年</w:t>
      </w:r>
      <w:r w:rsidR="00091AE9">
        <w:rPr>
          <w:rFonts w:ascii="黑体" w:eastAsia="黑体" w:hAnsi="宋体" w:hint="eastAsia"/>
          <w:bCs/>
          <w:sz w:val="30"/>
          <w:szCs w:val="30"/>
        </w:rPr>
        <w:t>一</w:t>
      </w:r>
      <w:r>
        <w:rPr>
          <w:rFonts w:ascii="黑体" w:eastAsia="黑体" w:hAnsi="宋体" w:hint="eastAsia"/>
          <w:bCs/>
          <w:sz w:val="30"/>
          <w:szCs w:val="30"/>
        </w:rPr>
        <w:t>月</w:t>
      </w:r>
    </w:p>
    <w:p w:rsidR="008F3B05" w:rsidRDefault="008F3B05">
      <w:pPr>
        <w:adjustRightInd w:val="0"/>
        <w:snapToGrid w:val="0"/>
        <w:jc w:val="center"/>
        <w:rPr>
          <w:rFonts w:ascii="仿宋_GB2312" w:eastAsia="仿宋_GB2312" w:hAnsi="宋体" w:cs="Arial"/>
          <w:bCs/>
          <w:sz w:val="24"/>
        </w:rPr>
        <w:sectPr w:rsidR="008F3B05">
          <w:footerReference w:type="even" r:id="rId7"/>
          <w:footerReference w:type="default" r:id="rId8"/>
          <w:pgSz w:w="11906" w:h="16838"/>
          <w:pgMar w:top="1418" w:right="1701" w:bottom="1418" w:left="1701" w:header="851" w:footer="992" w:gutter="0"/>
          <w:pgNumType w:start="1"/>
          <w:cols w:space="720"/>
          <w:docGrid w:type="lines" w:linePitch="312"/>
        </w:sectPr>
      </w:pPr>
    </w:p>
    <w:p w:rsidR="008F3B05" w:rsidRDefault="008F3B05">
      <w:pPr>
        <w:adjustRightInd w:val="0"/>
        <w:snapToGrid w:val="0"/>
        <w:rPr>
          <w:rFonts w:ascii="仿宋_GB2312" w:eastAsia="仿宋_GB2312" w:hAnsi="宋体" w:cs="Arial"/>
          <w:bCs/>
          <w:sz w:val="24"/>
        </w:rPr>
      </w:pPr>
    </w:p>
    <w:p w:rsidR="008F3B05" w:rsidRDefault="008F3B05">
      <w:pPr>
        <w:jc w:val="center"/>
        <w:rPr>
          <w:b/>
          <w:bCs/>
          <w:sz w:val="30"/>
        </w:rPr>
      </w:pPr>
      <w:r>
        <w:rPr>
          <w:rFonts w:hint="eastAsia"/>
          <w:b/>
          <w:bCs/>
          <w:sz w:val="30"/>
        </w:rPr>
        <w:t>目</w:t>
      </w:r>
      <w:r>
        <w:rPr>
          <w:rFonts w:hint="eastAsia"/>
          <w:b/>
          <w:bCs/>
          <w:sz w:val="30"/>
        </w:rPr>
        <w:t xml:space="preserve">    </w:t>
      </w:r>
      <w:r>
        <w:rPr>
          <w:rFonts w:hint="eastAsia"/>
          <w:b/>
          <w:bCs/>
          <w:sz w:val="30"/>
        </w:rPr>
        <w:t>录</w:t>
      </w:r>
    </w:p>
    <w:p w:rsidR="008F3B05" w:rsidRDefault="009848CC">
      <w:pPr>
        <w:pStyle w:val="20"/>
        <w:tabs>
          <w:tab w:val="right" w:leader="dot" w:pos="8494"/>
        </w:tabs>
        <w:spacing w:line="360" w:lineRule="auto"/>
        <w:rPr>
          <w:rFonts w:ascii="黑体" w:eastAsia="黑体" w:hAnsi="宋体"/>
          <w:b/>
          <w:noProof/>
          <w:szCs w:val="21"/>
        </w:rPr>
      </w:pPr>
      <w:r>
        <w:rPr>
          <w:rFonts w:ascii="黑体" w:eastAsia="黑体" w:hAnsi="宋体" w:hint="eastAsia"/>
          <w:b/>
          <w:szCs w:val="21"/>
        </w:rPr>
        <w:fldChar w:fldCharType="begin"/>
      </w:r>
      <w:r w:rsidR="008F3B05">
        <w:rPr>
          <w:rFonts w:ascii="黑体" w:eastAsia="黑体" w:hAnsi="宋体" w:hint="eastAsia"/>
          <w:b/>
          <w:szCs w:val="21"/>
        </w:rPr>
        <w:instrText xml:space="preserve"> TOC \o "1-2" \h \z </w:instrText>
      </w:r>
      <w:r>
        <w:rPr>
          <w:rFonts w:ascii="黑体" w:eastAsia="黑体" w:hAnsi="宋体" w:hint="eastAsia"/>
          <w:b/>
          <w:szCs w:val="21"/>
        </w:rPr>
        <w:fldChar w:fldCharType="separate"/>
      </w:r>
      <w:hyperlink w:anchor="_Toc297031863" w:history="1">
        <w:r w:rsidR="008F3B05">
          <w:rPr>
            <w:rStyle w:val="a4"/>
            <w:rFonts w:ascii="黑体" w:eastAsia="黑体" w:hAnsi="宋体" w:hint="eastAsia"/>
            <w:b/>
            <w:noProof/>
            <w:szCs w:val="21"/>
          </w:rPr>
          <w:t>一、基金托管协议当事人</w:t>
        </w:r>
        <w:r w:rsidR="008F3B05">
          <w:rPr>
            <w:rFonts w:ascii="黑体" w:eastAsia="黑体" w:hAnsi="宋体" w:hint="eastAsia"/>
            <w:b/>
            <w:noProof/>
            <w:szCs w:val="21"/>
          </w:rPr>
          <w:tab/>
        </w:r>
        <w:r>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_Toc297031863 \h </w:instrText>
        </w:r>
        <w:r>
          <w:rPr>
            <w:rFonts w:ascii="黑体" w:eastAsia="黑体" w:hAnsi="宋体" w:hint="eastAsia"/>
            <w:b/>
            <w:noProof/>
            <w:szCs w:val="21"/>
          </w:rPr>
        </w:r>
        <w:r>
          <w:rPr>
            <w:rFonts w:ascii="黑体" w:eastAsia="黑体" w:hAnsi="宋体" w:hint="eastAsia"/>
            <w:b/>
            <w:noProof/>
            <w:szCs w:val="21"/>
          </w:rPr>
          <w:fldChar w:fldCharType="separate"/>
        </w:r>
        <w:r w:rsidR="00091AE9">
          <w:rPr>
            <w:rFonts w:ascii="黑体" w:eastAsia="黑体" w:hAnsi="宋体"/>
            <w:b/>
            <w:noProof/>
            <w:szCs w:val="21"/>
          </w:rPr>
          <w:t>3</w:t>
        </w:r>
        <w:r>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64" w:history="1">
        <w:r w:rsidR="008F3B05">
          <w:rPr>
            <w:rStyle w:val="a4"/>
            <w:rFonts w:ascii="黑体" w:eastAsia="黑体" w:hAnsi="宋体" w:hint="eastAsia"/>
            <w:b/>
            <w:noProof/>
            <w:szCs w:val="21"/>
          </w:rPr>
          <w:t>二、基金托管协议的依据、目的和原则</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_Toc297031864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4</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65" w:history="1">
        <w:r w:rsidR="008F3B05">
          <w:rPr>
            <w:rStyle w:val="a4"/>
            <w:rFonts w:ascii="黑体" w:eastAsia="黑体" w:hAnsi="宋体" w:hint="eastAsia"/>
            <w:b/>
            <w:noProof/>
            <w:szCs w:val="21"/>
          </w:rPr>
          <w:t>三、基金托管人对基金管理人的业务监督和核查</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_Toc297031865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4</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66" w:history="1">
        <w:r w:rsidR="008F3B05">
          <w:rPr>
            <w:rStyle w:val="a4"/>
            <w:rFonts w:ascii="黑体" w:eastAsia="黑体" w:hAnsi="宋体" w:hint="eastAsia"/>
            <w:b/>
            <w:noProof/>
            <w:szCs w:val="21"/>
          </w:rPr>
          <w:t>四、基金管理人对基</w:t>
        </w:r>
        <w:bookmarkStart w:id="0" w:name="_Hlt322610304"/>
        <w:bookmarkStart w:id="1" w:name="_Hlt322610305"/>
        <w:r w:rsidR="008F3B05">
          <w:rPr>
            <w:rStyle w:val="a4"/>
            <w:rFonts w:ascii="黑体" w:eastAsia="黑体" w:hAnsi="宋体" w:hint="eastAsia"/>
            <w:b/>
            <w:noProof/>
            <w:szCs w:val="21"/>
          </w:rPr>
          <w:t>金</w:t>
        </w:r>
        <w:bookmarkEnd w:id="0"/>
        <w:bookmarkEnd w:id="1"/>
        <w:r w:rsidR="008F3B05">
          <w:rPr>
            <w:rStyle w:val="a4"/>
            <w:rFonts w:ascii="黑体" w:eastAsia="黑体" w:hAnsi="宋体" w:hint="eastAsia"/>
            <w:b/>
            <w:noProof/>
            <w:szCs w:val="21"/>
          </w:rPr>
          <w:t>托管人的业务核查</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_Toc297031866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8</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67" w:history="1">
        <w:r w:rsidR="008F3B05">
          <w:rPr>
            <w:rStyle w:val="a4"/>
            <w:rFonts w:ascii="黑体" w:eastAsia="黑体" w:hAnsi="宋体" w:hint="eastAsia"/>
            <w:b/>
            <w:noProof/>
            <w:szCs w:val="21"/>
          </w:rPr>
          <w:t>五、基金财产的保管</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_Toc297031867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8</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68" w:history="1">
        <w:r w:rsidR="008F3B05">
          <w:rPr>
            <w:rStyle w:val="a4"/>
            <w:rFonts w:ascii="黑体" w:eastAsia="黑体" w:hAnsi="宋体" w:hint="eastAsia"/>
            <w:b/>
            <w:noProof/>
            <w:szCs w:val="21"/>
          </w:rPr>
          <w:t>六、指令的发送、确认及执行</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_Toc297031868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10</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69" w:history="1">
        <w:r w:rsidR="008F3B05">
          <w:rPr>
            <w:rStyle w:val="a4"/>
            <w:rFonts w:ascii="黑体" w:eastAsia="黑体" w:hAnsi="宋体" w:hint="eastAsia"/>
            <w:b/>
            <w:noProof/>
            <w:szCs w:val="21"/>
          </w:rPr>
          <w:t>七、交易及清算交收安排</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_Toc297031869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12</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70" w:history="1">
        <w:r w:rsidR="008F3B05">
          <w:rPr>
            <w:rStyle w:val="a4"/>
            <w:rFonts w:ascii="黑体" w:eastAsia="黑体" w:hAnsi="宋体" w:hint="eastAsia"/>
            <w:b/>
            <w:noProof/>
            <w:szCs w:val="21"/>
          </w:rPr>
          <w:t>八、基金资产净值计算和会计核算</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_Toc297031870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15</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71" w:history="1">
        <w:r w:rsidR="008F3B05">
          <w:rPr>
            <w:rStyle w:val="a4"/>
            <w:rFonts w:ascii="黑体" w:eastAsia="黑体" w:hAnsi="宋体" w:hint="eastAsia"/>
            <w:b/>
            <w:noProof/>
            <w:szCs w:val="21"/>
          </w:rPr>
          <w:t>九、基金收益分配</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_Toc297031871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18</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72" w:history="1">
        <w:r w:rsidR="008F3B05">
          <w:rPr>
            <w:rStyle w:val="a4"/>
            <w:rFonts w:ascii="黑体" w:eastAsia="黑体" w:hAnsi="宋体" w:hint="eastAsia"/>
            <w:b/>
            <w:noProof/>
            <w:szCs w:val="21"/>
          </w:rPr>
          <w:t>十、基金信息披露</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_Toc297031872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19</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73" w:history="1">
        <w:r w:rsidR="008F3B05">
          <w:rPr>
            <w:rStyle w:val="a4"/>
            <w:rFonts w:ascii="黑体" w:eastAsia="黑体" w:hAnsi="宋体" w:hint="eastAsia"/>
            <w:b/>
            <w:noProof/>
            <w:szCs w:val="21"/>
          </w:rPr>
          <w:t>十一、基金费用</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_Toc297031873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20</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74" w:history="1">
        <w:r w:rsidR="008F3B05">
          <w:rPr>
            <w:rStyle w:val="a4"/>
            <w:rFonts w:ascii="黑体" w:eastAsia="黑体" w:hAnsi="宋体" w:hint="eastAsia"/>
            <w:b/>
            <w:noProof/>
            <w:szCs w:val="21"/>
          </w:rPr>
          <w:t>十二、基金份额持有人名册的保管</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_Toc297031874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21</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75" w:history="1">
        <w:r w:rsidR="008F3B05">
          <w:rPr>
            <w:rStyle w:val="a4"/>
            <w:rFonts w:ascii="黑体" w:eastAsia="黑体" w:hAnsi="宋体" w:hint="eastAsia"/>
            <w:b/>
            <w:noProof/>
            <w:szCs w:val="21"/>
          </w:rPr>
          <w:t>十三、基金有关文件档案的保存</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_Toc297031875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21</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76" w:history="1">
        <w:r w:rsidR="008F3B05">
          <w:rPr>
            <w:rStyle w:val="a4"/>
            <w:rFonts w:ascii="黑体" w:eastAsia="黑体" w:hAnsi="宋体" w:hint="eastAsia"/>
            <w:b/>
            <w:noProof/>
            <w:szCs w:val="21"/>
          </w:rPr>
          <w:t>十四、基金管理人和基金托管人的更换</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_Toc297031876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21</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77" w:history="1">
        <w:r w:rsidR="008F3B05">
          <w:rPr>
            <w:rStyle w:val="a4"/>
            <w:rFonts w:ascii="黑体" w:eastAsia="黑体" w:hAnsi="宋体" w:hint="eastAsia"/>
            <w:b/>
            <w:noProof/>
            <w:szCs w:val="21"/>
          </w:rPr>
          <w:t>十五、禁止行为</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_Toc297031877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23</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78" w:history="1">
        <w:r w:rsidR="008F3B05">
          <w:rPr>
            <w:rStyle w:val="a4"/>
            <w:rFonts w:ascii="黑体" w:eastAsia="黑体" w:hAnsi="宋体" w:hint="eastAsia"/>
            <w:b/>
            <w:noProof/>
            <w:szCs w:val="21"/>
          </w:rPr>
          <w:t>十六、托管协议的变更、终止与基金财产的清算</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_Toc297031878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24</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79" w:history="1">
        <w:r w:rsidR="008F3B05">
          <w:rPr>
            <w:rStyle w:val="a4"/>
            <w:rFonts w:ascii="黑体" w:eastAsia="黑体" w:hAnsi="宋体" w:hint="eastAsia"/>
            <w:b/>
            <w:noProof/>
            <w:szCs w:val="21"/>
          </w:rPr>
          <w:t>十七、违约责任</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_Toc297031879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25</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80" w:history="1">
        <w:r w:rsidR="008F3B05">
          <w:rPr>
            <w:rStyle w:val="a4"/>
            <w:rFonts w:ascii="黑体" w:eastAsia="黑体" w:hAnsi="宋体" w:hint="eastAsia"/>
            <w:b/>
            <w:noProof/>
            <w:szCs w:val="21"/>
          </w:rPr>
          <w:t>十八、争议解决方式</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_Toc297031880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25</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81" w:history="1">
        <w:r w:rsidR="008F3B05">
          <w:rPr>
            <w:rStyle w:val="a4"/>
            <w:rFonts w:ascii="黑体" w:eastAsia="黑体" w:hAnsi="宋体" w:hint="eastAsia"/>
            <w:b/>
            <w:noProof/>
            <w:szCs w:val="21"/>
          </w:rPr>
          <w:t>十九、托管协议的效力</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_Toc297031881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26</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82" w:history="1">
        <w:r w:rsidR="008F3B05">
          <w:rPr>
            <w:rStyle w:val="a4"/>
            <w:rFonts w:ascii="黑体" w:eastAsia="黑体" w:hAnsi="宋体" w:hint="eastAsia"/>
            <w:b/>
            <w:noProof/>
            <w:szCs w:val="21"/>
          </w:rPr>
          <w:t>二十、其他事项</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_Toc297031882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26</w:t>
        </w:r>
        <w:r w:rsidR="009848CC">
          <w:rPr>
            <w:rFonts w:ascii="黑体" w:eastAsia="黑体" w:hAnsi="宋体" w:hint="eastAsia"/>
            <w:b/>
            <w:noProof/>
            <w:szCs w:val="21"/>
          </w:rPr>
          <w:fldChar w:fldCharType="end"/>
        </w:r>
      </w:hyperlink>
    </w:p>
    <w:p w:rsidR="008F3B05" w:rsidRDefault="001C09D0">
      <w:pPr>
        <w:pStyle w:val="20"/>
        <w:tabs>
          <w:tab w:val="right" w:leader="dot" w:pos="8494"/>
        </w:tabs>
        <w:spacing w:line="360" w:lineRule="auto"/>
        <w:rPr>
          <w:rFonts w:ascii="黑体" w:eastAsia="黑体" w:hAnsi="宋体"/>
          <w:b/>
          <w:noProof/>
          <w:szCs w:val="21"/>
        </w:rPr>
      </w:pPr>
      <w:hyperlink w:anchor="_Toc297031883" w:history="1">
        <w:r w:rsidR="008F3B05">
          <w:rPr>
            <w:rStyle w:val="a4"/>
            <w:rFonts w:ascii="黑体" w:eastAsia="黑体" w:hAnsi="宋体" w:hint="eastAsia"/>
            <w:b/>
            <w:noProof/>
            <w:szCs w:val="21"/>
          </w:rPr>
          <w:t>二十一、托管协议的签订</w:t>
        </w:r>
        <w:r w:rsidR="008F3B05">
          <w:rPr>
            <w:rFonts w:ascii="黑体" w:eastAsia="黑体" w:hAnsi="宋体" w:hint="eastAsia"/>
            <w:b/>
            <w:noProof/>
            <w:szCs w:val="21"/>
          </w:rPr>
          <w:tab/>
        </w:r>
        <w:r w:rsidR="009848CC">
          <w:rPr>
            <w:rFonts w:ascii="黑体" w:eastAsia="黑体" w:hAnsi="宋体" w:hint="eastAsia"/>
            <w:b/>
            <w:noProof/>
            <w:szCs w:val="21"/>
          </w:rPr>
          <w:fldChar w:fldCharType="begin"/>
        </w:r>
        <w:r w:rsidR="008F3B05">
          <w:rPr>
            <w:rFonts w:ascii="黑体" w:eastAsia="黑体" w:hAnsi="宋体" w:hint="eastAsia"/>
            <w:b/>
            <w:noProof/>
            <w:szCs w:val="21"/>
          </w:rPr>
          <w:instrText xml:space="preserve"> PAGEREF _Toc297031883 \h </w:instrText>
        </w:r>
        <w:r w:rsidR="009848CC">
          <w:rPr>
            <w:rFonts w:ascii="黑体" w:eastAsia="黑体" w:hAnsi="宋体" w:hint="eastAsia"/>
            <w:b/>
            <w:noProof/>
            <w:szCs w:val="21"/>
          </w:rPr>
        </w:r>
        <w:r w:rsidR="009848CC">
          <w:rPr>
            <w:rFonts w:ascii="黑体" w:eastAsia="黑体" w:hAnsi="宋体" w:hint="eastAsia"/>
            <w:b/>
            <w:noProof/>
            <w:szCs w:val="21"/>
          </w:rPr>
          <w:fldChar w:fldCharType="separate"/>
        </w:r>
        <w:r w:rsidR="00091AE9">
          <w:rPr>
            <w:rFonts w:ascii="黑体" w:eastAsia="黑体" w:hAnsi="宋体"/>
            <w:b/>
            <w:noProof/>
            <w:szCs w:val="21"/>
          </w:rPr>
          <w:t>26</w:t>
        </w:r>
        <w:r w:rsidR="009848CC">
          <w:rPr>
            <w:rFonts w:ascii="黑体" w:eastAsia="黑体" w:hAnsi="宋体" w:hint="eastAsia"/>
            <w:b/>
            <w:noProof/>
            <w:szCs w:val="21"/>
          </w:rPr>
          <w:fldChar w:fldCharType="end"/>
        </w:r>
      </w:hyperlink>
    </w:p>
    <w:p w:rsidR="008F3B05" w:rsidRDefault="009848CC">
      <w:pPr>
        <w:spacing w:line="360" w:lineRule="auto"/>
        <w:rPr>
          <w:sz w:val="24"/>
        </w:rPr>
      </w:pPr>
      <w:r>
        <w:rPr>
          <w:rFonts w:ascii="黑体" w:eastAsia="黑体" w:hAnsi="宋体" w:hint="eastAsia"/>
          <w:b/>
          <w:szCs w:val="21"/>
        </w:rPr>
        <w:fldChar w:fldCharType="end"/>
      </w:r>
    </w:p>
    <w:p w:rsidR="008F3B05" w:rsidRDefault="008F3B05">
      <w:pPr>
        <w:widowControl/>
        <w:adjustRightInd w:val="0"/>
        <w:snapToGrid w:val="0"/>
        <w:ind w:firstLineChars="200" w:firstLine="480"/>
        <w:rPr>
          <w:rFonts w:ascii="仿宋_GB2312" w:eastAsia="仿宋_GB2312" w:hAnsi="宋体" w:cs="Arial"/>
          <w:kern w:val="0"/>
          <w:sz w:val="24"/>
        </w:rPr>
      </w:pPr>
    </w:p>
    <w:p w:rsidR="008F3B05" w:rsidRDefault="008F3B05">
      <w:pPr>
        <w:widowControl/>
        <w:adjustRightInd w:val="0"/>
        <w:snapToGrid w:val="0"/>
        <w:ind w:firstLineChars="200" w:firstLine="480"/>
        <w:rPr>
          <w:rFonts w:ascii="仿宋_GB2312" w:eastAsia="仿宋_GB2312" w:hAnsi="宋体" w:cs="Arial"/>
          <w:kern w:val="0"/>
          <w:sz w:val="24"/>
        </w:rPr>
      </w:pPr>
    </w:p>
    <w:p w:rsidR="008F3B05" w:rsidRDefault="008F3B05">
      <w:pPr>
        <w:widowControl/>
        <w:adjustRightInd w:val="0"/>
        <w:snapToGrid w:val="0"/>
        <w:ind w:firstLineChars="200" w:firstLine="480"/>
        <w:rPr>
          <w:rFonts w:ascii="仿宋_GB2312" w:eastAsia="仿宋_GB2312" w:hAnsi="宋体" w:cs="Arial"/>
          <w:kern w:val="0"/>
          <w:sz w:val="24"/>
        </w:rPr>
      </w:pPr>
    </w:p>
    <w:p w:rsidR="008F3B05" w:rsidRDefault="008F3B05">
      <w:pPr>
        <w:widowControl/>
        <w:adjustRightInd w:val="0"/>
        <w:snapToGrid w:val="0"/>
        <w:ind w:firstLineChars="200" w:firstLine="480"/>
        <w:rPr>
          <w:rFonts w:ascii="仿宋_GB2312" w:eastAsia="仿宋_GB2312" w:hAnsi="宋体" w:cs="Arial"/>
          <w:kern w:val="0"/>
          <w:sz w:val="24"/>
        </w:rPr>
      </w:pPr>
    </w:p>
    <w:p w:rsidR="008F3B05" w:rsidRDefault="008F3B05">
      <w:pPr>
        <w:widowControl/>
        <w:adjustRightInd w:val="0"/>
        <w:snapToGrid w:val="0"/>
        <w:ind w:firstLineChars="200" w:firstLine="480"/>
        <w:rPr>
          <w:rFonts w:ascii="仿宋_GB2312" w:eastAsia="仿宋_GB2312" w:hAnsi="宋体" w:cs="Arial"/>
          <w:kern w:val="0"/>
          <w:sz w:val="24"/>
        </w:rPr>
      </w:pPr>
    </w:p>
    <w:p w:rsidR="008F3B05" w:rsidRDefault="008F3B05">
      <w:pPr>
        <w:widowControl/>
        <w:adjustRightInd w:val="0"/>
        <w:snapToGrid w:val="0"/>
        <w:ind w:firstLineChars="200" w:firstLine="480"/>
        <w:rPr>
          <w:rFonts w:ascii="仿宋_GB2312" w:eastAsia="仿宋_GB2312" w:hAnsi="宋体" w:cs="Arial"/>
          <w:kern w:val="0"/>
          <w:sz w:val="24"/>
        </w:rPr>
      </w:pPr>
    </w:p>
    <w:p w:rsidR="008F3B05" w:rsidRDefault="008F3B05">
      <w:pPr>
        <w:widowControl/>
        <w:adjustRightInd w:val="0"/>
        <w:snapToGrid w:val="0"/>
        <w:ind w:firstLineChars="200" w:firstLine="480"/>
        <w:rPr>
          <w:rFonts w:ascii="仿宋_GB2312" w:eastAsia="仿宋_GB2312" w:hAnsi="宋体" w:cs="Arial"/>
          <w:kern w:val="0"/>
          <w:sz w:val="24"/>
        </w:rPr>
      </w:pPr>
    </w:p>
    <w:p w:rsidR="008F3B05" w:rsidRDefault="008F3B05">
      <w:pPr>
        <w:widowControl/>
        <w:adjustRightInd w:val="0"/>
        <w:snapToGrid w:val="0"/>
        <w:ind w:firstLineChars="200" w:firstLine="480"/>
        <w:rPr>
          <w:rFonts w:ascii="仿宋_GB2312" w:eastAsia="仿宋_GB2312" w:hAnsi="宋体" w:cs="Arial"/>
          <w:kern w:val="0"/>
          <w:sz w:val="24"/>
        </w:rPr>
      </w:pPr>
    </w:p>
    <w:p w:rsidR="008F3B05" w:rsidRDefault="008F3B05">
      <w:pPr>
        <w:widowControl/>
        <w:adjustRightInd w:val="0"/>
        <w:snapToGrid w:val="0"/>
        <w:ind w:firstLineChars="200" w:firstLine="480"/>
        <w:rPr>
          <w:rFonts w:ascii="仿宋_GB2312" w:eastAsia="仿宋_GB2312" w:hAnsi="宋体" w:cs="Arial"/>
          <w:kern w:val="0"/>
          <w:sz w:val="24"/>
        </w:rPr>
      </w:pPr>
      <w:r>
        <w:rPr>
          <w:rFonts w:ascii="仿宋_GB2312" w:eastAsia="仿宋_GB2312" w:hAnsi="宋体" w:cs="Arial" w:hint="eastAsia"/>
          <w:kern w:val="0"/>
          <w:sz w:val="24"/>
        </w:rPr>
        <w:lastRenderedPageBreak/>
        <w:t>鉴于</w:t>
      </w:r>
      <w:r>
        <w:rPr>
          <w:rFonts w:ascii="仿宋_GB2312" w:eastAsia="仿宋_GB2312" w:hAnsi="宋体" w:cs="Arial" w:hint="eastAsia"/>
          <w:sz w:val="24"/>
        </w:rPr>
        <w:t>华商</w:t>
      </w:r>
      <w:r>
        <w:rPr>
          <w:rFonts w:ascii="仿宋_GB2312" w:eastAsia="仿宋_GB2312" w:hAnsi="宋体" w:cs="Arial" w:hint="eastAsia"/>
          <w:kern w:val="0"/>
          <w:sz w:val="24"/>
        </w:rPr>
        <w:t>基金管理有限公司系一家依照中国法律合法成立并有效存续的有限责任公司，按照相关法律法规的规定具备担任基金管理人的资格和能力，拟募集发行</w:t>
      </w:r>
      <w:r>
        <w:rPr>
          <w:rFonts w:ascii="仿宋_GB2312" w:eastAsia="仿宋_GB2312" w:hAnsi="宋体" w:cs="Arial" w:hint="eastAsia"/>
          <w:sz w:val="24"/>
        </w:rPr>
        <w:t>华商主题精选混合型</w:t>
      </w:r>
      <w:r>
        <w:rPr>
          <w:rFonts w:ascii="仿宋_GB2312" w:eastAsia="仿宋_GB2312" w:hAnsi="宋体" w:cs="Arial" w:hint="eastAsia"/>
          <w:kern w:val="0"/>
          <w:sz w:val="24"/>
        </w:rPr>
        <w:t>证券投资基金；</w:t>
      </w:r>
    </w:p>
    <w:p w:rsidR="008F3B05" w:rsidRDefault="008F3B05">
      <w:pPr>
        <w:widowControl/>
        <w:adjustRightInd w:val="0"/>
        <w:snapToGrid w:val="0"/>
        <w:ind w:firstLineChars="200" w:firstLine="480"/>
        <w:rPr>
          <w:rFonts w:ascii="仿宋_GB2312" w:eastAsia="仿宋_GB2312" w:hAnsi="宋体" w:cs="Arial"/>
          <w:kern w:val="0"/>
          <w:sz w:val="24"/>
        </w:rPr>
      </w:pPr>
      <w:r>
        <w:rPr>
          <w:rFonts w:ascii="仿宋_GB2312" w:eastAsia="仿宋_GB2312" w:hAnsi="宋体" w:cs="Arial" w:hint="eastAsia"/>
          <w:kern w:val="0"/>
          <w:sz w:val="24"/>
        </w:rPr>
        <w:t>鉴于中国建设银行股份有限公司系一家依照中国法律合法成立并有效存续的银行，按照相关法律法规的规定具备担任基金托管人的资格和能力；</w:t>
      </w:r>
    </w:p>
    <w:p w:rsidR="008F3B05" w:rsidRDefault="008F3B05">
      <w:pPr>
        <w:widowControl/>
        <w:adjustRightInd w:val="0"/>
        <w:snapToGrid w:val="0"/>
        <w:ind w:firstLineChars="200" w:firstLine="480"/>
        <w:rPr>
          <w:rFonts w:ascii="仿宋_GB2312" w:eastAsia="仿宋_GB2312" w:hAnsi="宋体" w:cs="Arial"/>
          <w:kern w:val="0"/>
          <w:sz w:val="24"/>
        </w:rPr>
      </w:pPr>
      <w:r>
        <w:rPr>
          <w:rFonts w:ascii="仿宋_GB2312" w:eastAsia="仿宋_GB2312" w:hAnsi="宋体" w:cs="Arial" w:hint="eastAsia"/>
          <w:kern w:val="0"/>
          <w:sz w:val="24"/>
        </w:rPr>
        <w:t>鉴于</w:t>
      </w:r>
      <w:r>
        <w:rPr>
          <w:rFonts w:ascii="仿宋_GB2312" w:eastAsia="仿宋_GB2312" w:hAnsi="宋体" w:cs="Arial" w:hint="eastAsia"/>
          <w:sz w:val="24"/>
        </w:rPr>
        <w:t>华商</w:t>
      </w:r>
      <w:r>
        <w:rPr>
          <w:rFonts w:ascii="仿宋_GB2312" w:eastAsia="仿宋_GB2312" w:hAnsi="宋体" w:cs="Arial" w:hint="eastAsia"/>
          <w:kern w:val="0"/>
          <w:sz w:val="24"/>
        </w:rPr>
        <w:t>基金管理有限公司拟担任</w:t>
      </w:r>
      <w:r>
        <w:rPr>
          <w:rFonts w:ascii="仿宋_GB2312" w:eastAsia="仿宋_GB2312" w:hAnsi="宋体" w:cs="Arial" w:hint="eastAsia"/>
          <w:sz w:val="24"/>
        </w:rPr>
        <w:t>华商主题精选混合型</w:t>
      </w:r>
      <w:r>
        <w:rPr>
          <w:rFonts w:ascii="仿宋_GB2312" w:eastAsia="仿宋_GB2312" w:hAnsi="宋体" w:cs="Arial" w:hint="eastAsia"/>
          <w:kern w:val="0"/>
          <w:sz w:val="24"/>
        </w:rPr>
        <w:t>证券投资基金的基金管理人，中国建设银行股份有限公司拟担任</w:t>
      </w:r>
      <w:r>
        <w:rPr>
          <w:rFonts w:ascii="仿宋_GB2312" w:eastAsia="仿宋_GB2312" w:hAnsi="宋体" w:cs="Arial" w:hint="eastAsia"/>
          <w:sz w:val="24"/>
        </w:rPr>
        <w:t>华商主题精选混合型</w:t>
      </w:r>
      <w:r>
        <w:rPr>
          <w:rFonts w:ascii="仿宋_GB2312" w:eastAsia="仿宋_GB2312" w:hAnsi="宋体" w:cs="Arial" w:hint="eastAsia"/>
          <w:kern w:val="0"/>
          <w:sz w:val="24"/>
        </w:rPr>
        <w:t>证券投资基金的基金托管人；</w:t>
      </w:r>
    </w:p>
    <w:p w:rsidR="008F3B05" w:rsidRDefault="008F3B05">
      <w:pPr>
        <w:widowControl/>
        <w:adjustRightInd w:val="0"/>
        <w:snapToGrid w:val="0"/>
        <w:ind w:firstLineChars="200" w:firstLine="480"/>
        <w:rPr>
          <w:rFonts w:ascii="仿宋_GB2312" w:eastAsia="仿宋_GB2312" w:hAnsi="宋体" w:cs="Arial"/>
          <w:kern w:val="0"/>
          <w:sz w:val="24"/>
        </w:rPr>
      </w:pPr>
      <w:r>
        <w:rPr>
          <w:rFonts w:ascii="仿宋_GB2312" w:eastAsia="仿宋_GB2312" w:hAnsi="宋体" w:cs="Arial" w:hint="eastAsia"/>
          <w:kern w:val="0"/>
          <w:sz w:val="24"/>
        </w:rPr>
        <w:t>为明确</w:t>
      </w:r>
      <w:r>
        <w:rPr>
          <w:rFonts w:ascii="仿宋_GB2312" w:eastAsia="仿宋_GB2312" w:hAnsi="宋体" w:cs="Arial" w:hint="eastAsia"/>
          <w:sz w:val="24"/>
        </w:rPr>
        <w:t>华商主题精选混合型</w:t>
      </w:r>
      <w:r>
        <w:rPr>
          <w:rFonts w:ascii="仿宋_GB2312" w:eastAsia="仿宋_GB2312" w:hAnsi="宋体" w:cs="Arial" w:hint="eastAsia"/>
          <w:kern w:val="0"/>
          <w:sz w:val="24"/>
        </w:rPr>
        <w:t>证券投资基金的基金管理人和基金托管人之间的权利义务关系，特制订本托管协议（或“本协议”）；</w:t>
      </w:r>
    </w:p>
    <w:p w:rsidR="008F3B05" w:rsidRDefault="008F3B05">
      <w:pPr>
        <w:widowControl/>
        <w:adjustRightInd w:val="0"/>
        <w:snapToGrid w:val="0"/>
        <w:ind w:firstLineChars="200" w:firstLine="480"/>
        <w:rPr>
          <w:rFonts w:ascii="仿宋_GB2312" w:eastAsia="仿宋_GB2312" w:hAnsi="宋体" w:cs="Arial"/>
          <w:kern w:val="0"/>
          <w:sz w:val="24"/>
          <w:lang w:val="en-GB"/>
        </w:rPr>
      </w:pPr>
      <w:r>
        <w:rPr>
          <w:rFonts w:ascii="仿宋_GB2312" w:eastAsia="仿宋_GB2312" w:hAnsi="宋体" w:cs="Arial" w:hint="eastAsia"/>
          <w:kern w:val="0"/>
          <w:sz w:val="24"/>
          <w:lang w:val="en-GB"/>
        </w:rPr>
        <w:t>除非另有约定，《</w:t>
      </w:r>
      <w:r>
        <w:rPr>
          <w:rFonts w:ascii="仿宋_GB2312" w:eastAsia="仿宋_GB2312" w:hAnsi="宋体" w:cs="Arial" w:hint="eastAsia"/>
          <w:sz w:val="24"/>
        </w:rPr>
        <w:t>华商主题精选混合型</w:t>
      </w:r>
      <w:r>
        <w:rPr>
          <w:rFonts w:ascii="仿宋_GB2312" w:eastAsia="仿宋_GB2312" w:hAnsi="宋体" w:cs="Arial" w:hint="eastAsia"/>
          <w:kern w:val="0"/>
          <w:sz w:val="24"/>
          <w:lang w:val="en-GB"/>
        </w:rPr>
        <w:t>证券投资基金基金合同》(以下简称“基金合同”)中定义的术语在用于本托管协议时应具有相同的含义；若有抵触应以基金合同为准，并依其</w:t>
      </w:r>
      <w:r>
        <w:rPr>
          <w:rFonts w:ascii="仿宋_GB2312" w:eastAsia="仿宋_GB2312" w:hAnsi="宋体" w:cs="Arial" w:hint="eastAsia"/>
          <w:kern w:val="0"/>
          <w:sz w:val="24"/>
        </w:rPr>
        <w:t>条款</w:t>
      </w:r>
      <w:r>
        <w:rPr>
          <w:rFonts w:ascii="仿宋_GB2312" w:eastAsia="仿宋_GB2312" w:hAnsi="宋体" w:cs="Arial" w:hint="eastAsia"/>
          <w:kern w:val="0"/>
          <w:sz w:val="24"/>
          <w:lang w:val="en-GB"/>
        </w:rPr>
        <w:t>解释。</w:t>
      </w:r>
    </w:p>
    <w:p w:rsidR="008F3B05" w:rsidRDefault="008F3B05">
      <w:pPr>
        <w:rPr>
          <w:sz w:val="24"/>
          <w:lang w:val="en-GB"/>
        </w:rPr>
      </w:pPr>
    </w:p>
    <w:p w:rsidR="008F3B05" w:rsidRDefault="008F3B05">
      <w:pPr>
        <w:pStyle w:val="2"/>
        <w:jc w:val="center"/>
        <w:rPr>
          <w:rFonts w:eastAsia="宋体"/>
        </w:rPr>
      </w:pPr>
      <w:bookmarkStart w:id="2" w:name="_Toc297031863"/>
      <w:r>
        <w:rPr>
          <w:rFonts w:eastAsia="宋体" w:hint="eastAsia"/>
        </w:rPr>
        <w:t>一、基金托管协议当事人</w:t>
      </w:r>
      <w:bookmarkEnd w:id="2"/>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（一）基金管理人</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名称：华商基金管理有限公司</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注册地址：北京市西城区平安里西大街28号</w:t>
      </w:r>
      <w:r w:rsidR="00FC1F7C">
        <w:rPr>
          <w:rFonts w:ascii="仿宋_GB2312" w:eastAsia="仿宋_GB2312" w:hAnsi="宋体" w:cs="Arial" w:hint="eastAsia"/>
          <w:sz w:val="24"/>
        </w:rPr>
        <w:t>楼</w:t>
      </w:r>
      <w:r>
        <w:rPr>
          <w:rFonts w:ascii="仿宋_GB2312" w:eastAsia="仿宋_GB2312" w:hAnsi="宋体" w:cs="Arial" w:hint="eastAsia"/>
          <w:sz w:val="24"/>
        </w:rPr>
        <w:t>19层</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办公地址：北京市西城区平安里西大街28号</w:t>
      </w:r>
      <w:r w:rsidR="00FC1F7C">
        <w:rPr>
          <w:rFonts w:ascii="仿宋_GB2312" w:eastAsia="仿宋_GB2312" w:hAnsi="宋体" w:cs="Arial" w:hint="eastAsia"/>
          <w:sz w:val="24"/>
        </w:rPr>
        <w:t>楼</w:t>
      </w:r>
      <w:r>
        <w:rPr>
          <w:rFonts w:ascii="仿宋_GB2312" w:eastAsia="仿宋_GB2312" w:hAnsi="宋体" w:cs="Arial" w:hint="eastAsia"/>
          <w:sz w:val="24"/>
        </w:rPr>
        <w:t>19层</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邮政编码：100035</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法定代表人：</w:t>
      </w:r>
      <w:proofErr w:type="gramStart"/>
      <w:r w:rsidR="00FC1F7C">
        <w:rPr>
          <w:rFonts w:ascii="仿宋_GB2312" w:eastAsia="仿宋_GB2312" w:hAnsi="宋体" w:cs="Arial" w:hint="eastAsia"/>
          <w:sz w:val="24"/>
        </w:rPr>
        <w:t>陈牧原</w:t>
      </w:r>
      <w:proofErr w:type="gramEnd"/>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成立日期：</w:t>
      </w:r>
      <w:r>
        <w:rPr>
          <w:rFonts w:ascii="仿宋_GB2312" w:eastAsia="仿宋_GB2312" w:hAnsi="宋体" w:cs="Arial"/>
          <w:sz w:val="24"/>
        </w:rPr>
        <w:t>2005年12月20日</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批准设立机关及批准设立文号：中国证监会证</w:t>
      </w:r>
      <w:proofErr w:type="gramStart"/>
      <w:r>
        <w:rPr>
          <w:rFonts w:ascii="仿宋_GB2312" w:eastAsia="仿宋_GB2312" w:hAnsi="宋体" w:cs="Arial" w:hint="eastAsia"/>
          <w:sz w:val="24"/>
        </w:rPr>
        <w:t>监基金字</w:t>
      </w:r>
      <w:proofErr w:type="gramEnd"/>
      <w:r>
        <w:rPr>
          <w:rStyle w:val="read"/>
          <w:rFonts w:ascii="仿宋_GB2312" w:eastAsia="仿宋_GB2312" w:hAnsi="宋体" w:cs="Arial" w:hint="eastAsia"/>
          <w:sz w:val="24"/>
        </w:rPr>
        <w:t>[</w:t>
      </w:r>
      <w:r>
        <w:rPr>
          <w:rStyle w:val="read"/>
          <w:rFonts w:ascii="仿宋_GB2312" w:eastAsia="仿宋_GB2312" w:hAnsi="宋体" w:cs="Arial"/>
          <w:sz w:val="24"/>
        </w:rPr>
        <w:t>2005</w:t>
      </w:r>
      <w:r>
        <w:rPr>
          <w:rStyle w:val="read"/>
          <w:rFonts w:ascii="仿宋_GB2312" w:eastAsia="仿宋_GB2312" w:hAnsi="宋体" w:cs="Arial" w:hint="eastAsia"/>
          <w:sz w:val="24"/>
        </w:rPr>
        <w:t>]160</w:t>
      </w:r>
      <w:r>
        <w:rPr>
          <w:rFonts w:ascii="仿宋_GB2312" w:eastAsia="仿宋_GB2312" w:hAnsi="宋体" w:cs="Arial" w:hint="eastAsia"/>
          <w:sz w:val="24"/>
        </w:rPr>
        <w:t>号</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组织形式：有限责任公司</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注册资本：壹亿</w:t>
      </w:r>
      <w:r>
        <w:rPr>
          <w:rStyle w:val="read"/>
          <w:rFonts w:ascii="仿宋_GB2312" w:eastAsia="仿宋_GB2312" w:hAnsi="宋体" w:cs="Arial" w:hint="eastAsia"/>
          <w:sz w:val="24"/>
        </w:rPr>
        <w:t>元</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存续期间：持续经营</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经营范围：</w:t>
      </w:r>
      <w:r>
        <w:rPr>
          <w:rFonts w:ascii="仿宋_GB2312" w:eastAsia="仿宋_GB2312" w:hAnsi="宋体" w:cs="Arial" w:hint="eastAsia"/>
          <w:color w:val="000000"/>
          <w:sz w:val="24"/>
        </w:rPr>
        <w:t>基金管理业务；发起设立基金</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（二）基金托管人</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名称：中国建设银行股份有限公司(简称：中国建设银行)</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住所：北京市西城区金融大街25号</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办公地址：北京市西城区闹市口大街1号院1号楼</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邮政编码：100033</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法定代表人：</w:t>
      </w:r>
      <w:r w:rsidR="00423D17">
        <w:rPr>
          <w:rFonts w:ascii="仿宋_GB2312" w:eastAsia="仿宋_GB2312" w:hAnsi="宋体" w:cs="Arial" w:hint="eastAsia"/>
          <w:sz w:val="24"/>
        </w:rPr>
        <w:t>田国立</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成立日期：2004年09月17日</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基金托管业务批准文号：中国证监会</w:t>
      </w:r>
      <w:proofErr w:type="gramStart"/>
      <w:r>
        <w:rPr>
          <w:rFonts w:ascii="仿宋_GB2312" w:eastAsia="仿宋_GB2312" w:hAnsi="宋体" w:cs="Arial" w:hint="eastAsia"/>
          <w:sz w:val="24"/>
        </w:rPr>
        <w:t>证监基字</w:t>
      </w:r>
      <w:proofErr w:type="gramEnd"/>
      <w:r>
        <w:rPr>
          <w:rFonts w:ascii="仿宋_GB2312" w:eastAsia="仿宋_GB2312" w:hAnsi="宋体" w:cs="Arial" w:hint="eastAsia"/>
          <w:sz w:val="24"/>
        </w:rPr>
        <w:t>[1998</w:t>
      </w:r>
      <w:bookmarkStart w:id="3" w:name="OLE_LINK3"/>
      <w:r>
        <w:rPr>
          <w:rFonts w:ascii="仿宋_GB2312" w:eastAsia="仿宋_GB2312" w:hAnsi="宋体" w:cs="Arial" w:hint="eastAsia"/>
          <w:sz w:val="24"/>
        </w:rPr>
        <w:t>]</w:t>
      </w:r>
      <w:bookmarkEnd w:id="3"/>
      <w:r>
        <w:rPr>
          <w:rFonts w:ascii="仿宋_GB2312" w:eastAsia="仿宋_GB2312" w:hAnsi="宋体" w:cs="Arial" w:hint="eastAsia"/>
          <w:sz w:val="24"/>
        </w:rPr>
        <w:t>12号</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组织形式：股份有限公司</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注册资本：</w:t>
      </w:r>
      <w:proofErr w:type="gramStart"/>
      <w:r w:rsidR="00423D17">
        <w:rPr>
          <w:rFonts w:ascii="彩虹粗仿宋" w:eastAsia="彩虹粗仿宋" w:hint="eastAsia"/>
          <w:sz w:val="24"/>
        </w:rPr>
        <w:t>贰仟伍佰亿壹仟零玖拾柒万柒仟肆佰捌拾陆</w:t>
      </w:r>
      <w:proofErr w:type="gramEnd"/>
      <w:r w:rsidR="00423D17">
        <w:rPr>
          <w:rFonts w:ascii="彩虹粗仿宋" w:eastAsia="彩虹粗仿宋" w:hint="eastAsia"/>
          <w:sz w:val="24"/>
        </w:rPr>
        <w:t>元整</w:t>
      </w:r>
      <w:r>
        <w:rPr>
          <w:rFonts w:ascii="仿宋_GB2312" w:eastAsia="仿宋_GB2312" w:hAnsi="宋体" w:cs="Arial" w:hint="eastAsia"/>
          <w:sz w:val="24"/>
        </w:rPr>
        <w:t>存续期间：持续经营</w:t>
      </w:r>
    </w:p>
    <w:p w:rsidR="008F3B05" w:rsidRDefault="008F3B05">
      <w:pPr>
        <w:tabs>
          <w:tab w:val="left" w:pos="540"/>
        </w:tabs>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w:t>
      </w:r>
      <w:r>
        <w:rPr>
          <w:rFonts w:ascii="仿宋_GB2312" w:eastAsia="仿宋_GB2312" w:hAnsi="宋体" w:cs="Arial" w:hint="eastAsia"/>
          <w:sz w:val="24"/>
        </w:rPr>
        <w:lastRenderedPageBreak/>
        <w:t>国银行业监督管理机构等监管部门批准的其他业务。</w:t>
      </w:r>
    </w:p>
    <w:p w:rsidR="008F3B05" w:rsidRDefault="008F3B05">
      <w:pPr>
        <w:rPr>
          <w:sz w:val="24"/>
        </w:rPr>
      </w:pPr>
    </w:p>
    <w:p w:rsidR="008F3B05" w:rsidRDefault="008F3B05">
      <w:pPr>
        <w:pStyle w:val="2"/>
        <w:jc w:val="center"/>
        <w:rPr>
          <w:rFonts w:eastAsia="宋体"/>
          <w:sz w:val="30"/>
        </w:rPr>
      </w:pPr>
      <w:bookmarkStart w:id="4" w:name="_Toc297031864"/>
      <w:r>
        <w:rPr>
          <w:rFonts w:eastAsia="宋体" w:hint="eastAsia"/>
          <w:sz w:val="30"/>
        </w:rPr>
        <w:t>二、基金托管协议的依据、目的和原则</w:t>
      </w:r>
      <w:bookmarkEnd w:id="4"/>
    </w:p>
    <w:p w:rsidR="008F3B05" w:rsidRDefault="008F3B05">
      <w:pPr>
        <w:adjustRightInd w:val="0"/>
        <w:snapToGrid w:val="0"/>
        <w:ind w:firstLineChars="200" w:firstLine="480"/>
        <w:rPr>
          <w:rFonts w:eastAsia="方正仿宋简体"/>
          <w:sz w:val="24"/>
          <w:szCs w:val="30"/>
        </w:rPr>
      </w:pPr>
      <w:r>
        <w:rPr>
          <w:rFonts w:ascii="仿宋_GB2312" w:eastAsia="仿宋_GB2312" w:hAnsi="宋体" w:cs="Arial" w:hint="eastAsia"/>
          <w:sz w:val="24"/>
        </w:rPr>
        <w:t>（一）订立托管协议的依据</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本协议依据《中华人民共和国证券投资基金法》(以下简称“《基金法》”)等有关法律法规、基金合同及其他有关规定制订。</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（二）订立托管协议的目的</w:t>
      </w:r>
    </w:p>
    <w:p w:rsidR="008F3B05" w:rsidRDefault="008F3B05">
      <w:pPr>
        <w:adjustRightInd w:val="0"/>
        <w:snapToGrid w:val="0"/>
        <w:ind w:firstLineChars="200" w:firstLine="480"/>
        <w:rPr>
          <w:rFonts w:eastAsia="方正仿宋简体"/>
          <w:sz w:val="24"/>
          <w:szCs w:val="30"/>
        </w:rPr>
      </w:pPr>
      <w:r>
        <w:rPr>
          <w:rFonts w:ascii="仿宋_GB2312" w:eastAsia="仿宋_GB2312"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（三）订立托管协议的原则</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基金管理人和基金托管人本着平等自愿、诚实信用、充分保护基金份额持有人合法权益的原则，经协商一致，签订本协议。</w:t>
      </w:r>
    </w:p>
    <w:p w:rsidR="008F3B05" w:rsidRDefault="008F3B05">
      <w:pPr>
        <w:rPr>
          <w:sz w:val="24"/>
        </w:rPr>
      </w:pPr>
    </w:p>
    <w:p w:rsidR="008F3B05" w:rsidRDefault="008F3B05">
      <w:pPr>
        <w:pStyle w:val="2"/>
        <w:jc w:val="center"/>
        <w:rPr>
          <w:rFonts w:eastAsia="宋体"/>
          <w:sz w:val="30"/>
          <w:szCs w:val="24"/>
        </w:rPr>
      </w:pPr>
      <w:bookmarkStart w:id="5" w:name="_Toc297031865"/>
      <w:r>
        <w:rPr>
          <w:rFonts w:eastAsia="宋体" w:hint="eastAsia"/>
          <w:sz w:val="30"/>
        </w:rPr>
        <w:t>三、基金托管人对基金管理人的业务监督和核查</w:t>
      </w:r>
      <w:bookmarkEnd w:id="5"/>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本基金的投资范围为具有良好流动性的金融工具，包括国内依法发行上市的股票（包含中小板、创业板及其他经中国证监会核准上市的股票）、债券、货币市场工具、权证、资产支持证券及法律法规或中国证监会允许基金投资的其他金融工具，但须符合中国证监会的相关规定。</w:t>
      </w:r>
    </w:p>
    <w:p w:rsidR="008F3B05" w:rsidRDefault="008F3B05">
      <w:pPr>
        <w:widowControl/>
        <w:spacing w:line="360" w:lineRule="auto"/>
        <w:ind w:leftChars="-67" w:left="-141" w:firstLineChars="234" w:firstLine="562"/>
        <w:jc w:val="left"/>
        <w:rPr>
          <w:rFonts w:ascii="仿宋_GB2312" w:eastAsia="仿宋_GB2312"/>
          <w:sz w:val="24"/>
          <w:szCs w:val="18"/>
        </w:rPr>
      </w:pPr>
      <w:r>
        <w:rPr>
          <w:rFonts w:ascii="仿宋_GB2312" w:eastAsia="仿宋_GB2312" w:hint="eastAsia"/>
          <w:sz w:val="24"/>
          <w:szCs w:val="18"/>
        </w:rPr>
        <w:t>如法律法规或监管机构以后允许基金投资其他品种的，基金管理人在履行适当程序后，可以将其纳入投资范围。</w:t>
      </w:r>
    </w:p>
    <w:p w:rsidR="008F3B05" w:rsidRDefault="008F3B05">
      <w:pPr>
        <w:adjustRightInd w:val="0"/>
        <w:snapToGrid w:val="0"/>
        <w:ind w:firstLineChars="200" w:firstLine="480"/>
        <w:rPr>
          <w:rFonts w:ascii="仿宋_GB2312" w:eastAsia="仿宋_GB2312"/>
          <w:sz w:val="24"/>
        </w:rPr>
      </w:pPr>
      <w:r>
        <w:rPr>
          <w:rFonts w:ascii="仿宋_GB2312" w:eastAsia="仿宋_GB2312" w:hint="eastAsia"/>
          <w:sz w:val="24"/>
        </w:rPr>
        <w:t>（二）基金托管人根据有关法律法规的规定及基金合同的约定，对基金投资、融资比例进行监督。基金托管人按下述比例和调整期限进行监督：</w:t>
      </w:r>
    </w:p>
    <w:p w:rsidR="008F3B05" w:rsidRDefault="008F3B05">
      <w:pPr>
        <w:pStyle w:val="a9"/>
        <w:numPr>
          <w:ilvl w:val="0"/>
          <w:numId w:val="1"/>
        </w:numPr>
        <w:ind w:firstLineChars="0"/>
        <w:rPr>
          <w:rFonts w:ascii="仿宋_GB2312" w:eastAsia="仿宋_GB2312" w:hAnsi="Times New Roman"/>
          <w:sz w:val="24"/>
        </w:rPr>
      </w:pPr>
      <w:r>
        <w:rPr>
          <w:rFonts w:ascii="仿宋_GB2312" w:eastAsia="仿宋_GB2312" w:hAnsi="Times New Roman" w:hint="eastAsia"/>
          <w:sz w:val="24"/>
        </w:rPr>
        <w:t>本基金持有一家上市公司的股票，其市值不超过基金资产净值的10％；</w:t>
      </w:r>
    </w:p>
    <w:p w:rsidR="008F3B05" w:rsidRDefault="008F3B05">
      <w:pPr>
        <w:pStyle w:val="a9"/>
        <w:numPr>
          <w:ilvl w:val="0"/>
          <w:numId w:val="1"/>
        </w:numPr>
        <w:ind w:firstLineChars="0"/>
        <w:rPr>
          <w:rFonts w:ascii="仿宋_GB2312" w:eastAsia="仿宋_GB2312" w:hAnsi="Times New Roman"/>
          <w:sz w:val="24"/>
        </w:rPr>
      </w:pPr>
      <w:r>
        <w:rPr>
          <w:rFonts w:ascii="仿宋_GB2312" w:eastAsia="仿宋_GB2312" w:hAnsi="Times New Roman" w:hint="eastAsia"/>
          <w:sz w:val="24"/>
        </w:rPr>
        <w:t>本基金持有的全部权证，其市值不得超过基金资产净值的3％；</w:t>
      </w:r>
    </w:p>
    <w:p w:rsidR="008F3B05" w:rsidRDefault="008F3B05">
      <w:pPr>
        <w:pStyle w:val="a9"/>
        <w:numPr>
          <w:ilvl w:val="0"/>
          <w:numId w:val="1"/>
        </w:numPr>
        <w:tabs>
          <w:tab w:val="left" w:pos="851"/>
        </w:tabs>
        <w:ind w:left="0" w:firstLineChars="0" w:firstLine="480"/>
        <w:rPr>
          <w:rFonts w:ascii="仿宋_GB2312" w:eastAsia="仿宋_GB2312" w:hAnsi="Times New Roman"/>
          <w:sz w:val="24"/>
        </w:rPr>
      </w:pPr>
      <w:r>
        <w:rPr>
          <w:rFonts w:ascii="仿宋_GB2312" w:eastAsia="仿宋_GB2312" w:hAnsi="Times New Roman" w:hint="eastAsia"/>
          <w:sz w:val="24"/>
        </w:rPr>
        <w:t>本基金进入全国银行间同业市场进行债券回购的资金余额不得超过基金资产净值的40％；</w:t>
      </w:r>
      <w:r>
        <w:rPr>
          <w:rFonts w:ascii="仿宋_GB2312" w:eastAsia="仿宋_GB2312" w:hAnsi="宋体" w:hint="eastAsia"/>
          <w:sz w:val="24"/>
        </w:rPr>
        <w:t xml:space="preserve"> </w:t>
      </w:r>
    </w:p>
    <w:p w:rsidR="00423D17" w:rsidRDefault="008F3B05">
      <w:pPr>
        <w:pStyle w:val="a9"/>
        <w:numPr>
          <w:ilvl w:val="0"/>
          <w:numId w:val="1"/>
        </w:numPr>
        <w:tabs>
          <w:tab w:val="left" w:pos="851"/>
        </w:tabs>
        <w:ind w:left="0" w:firstLineChars="0" w:firstLine="480"/>
        <w:rPr>
          <w:rFonts w:ascii="仿宋_GB2312" w:eastAsia="仿宋_GB2312" w:hAnsi="Times New Roman"/>
          <w:sz w:val="24"/>
        </w:rPr>
      </w:pPr>
      <w:r>
        <w:rPr>
          <w:rFonts w:ascii="仿宋_GB2312" w:eastAsia="仿宋_GB2312" w:hAnsi="Times New Roman" w:hint="eastAsia"/>
          <w:sz w:val="24"/>
        </w:rPr>
        <w:t>本基金的投资组合比例为：股票（</w:t>
      </w:r>
      <w:r>
        <w:rPr>
          <w:rFonts w:ascii="仿宋_GB2312" w:eastAsia="仿宋_GB2312" w:hAnsi="宋体" w:cs="Arial" w:hint="eastAsia"/>
          <w:sz w:val="24"/>
        </w:rPr>
        <w:t>包含中小板、创业板及其他经中国证监会核准上市的股票</w:t>
      </w:r>
      <w:r>
        <w:rPr>
          <w:rFonts w:ascii="仿宋_GB2312" w:eastAsia="仿宋_GB2312" w:hAnsi="Times New Roman" w:hint="eastAsia"/>
          <w:sz w:val="24"/>
        </w:rPr>
        <w:t>）投资比例为基金资产的60％—95％；债券投资比例为基金资产的0％—35％；</w:t>
      </w:r>
      <w:r w:rsidR="003563DB" w:rsidDel="003563DB">
        <w:rPr>
          <w:rFonts w:ascii="仿宋_GB2312" w:eastAsia="仿宋_GB2312" w:hAnsi="Times New Roman" w:hint="eastAsia"/>
          <w:sz w:val="24"/>
        </w:rPr>
        <w:t xml:space="preserve"> </w:t>
      </w:r>
    </w:p>
    <w:p w:rsidR="008F3B05" w:rsidRDefault="008F3B05">
      <w:pPr>
        <w:pStyle w:val="a9"/>
        <w:numPr>
          <w:ilvl w:val="0"/>
          <w:numId w:val="1"/>
        </w:numPr>
        <w:tabs>
          <w:tab w:val="left" w:pos="851"/>
        </w:tabs>
        <w:ind w:left="0" w:firstLineChars="0" w:firstLine="480"/>
        <w:rPr>
          <w:rFonts w:ascii="仿宋_GB2312" w:eastAsia="仿宋_GB2312" w:hAnsi="Times New Roman"/>
          <w:sz w:val="24"/>
        </w:rPr>
      </w:pPr>
      <w:r>
        <w:rPr>
          <w:rFonts w:ascii="仿宋_GB2312" w:eastAsia="仿宋_GB2312" w:hAnsi="Times New Roman" w:hint="eastAsia"/>
          <w:sz w:val="24"/>
        </w:rPr>
        <w:t>保持不低于基金资产净值5%的现金或到期日在一年以内的政府债券</w:t>
      </w:r>
      <w:r w:rsidR="006C2EDB">
        <w:rPr>
          <w:rFonts w:ascii="仿宋_GB2312" w:eastAsia="仿宋_GB2312" w:hAnsi="Times New Roman" w:hint="eastAsia"/>
          <w:sz w:val="24"/>
        </w:rPr>
        <w:t>,</w:t>
      </w:r>
      <w:r w:rsidR="006C2EDB" w:rsidRPr="003C56C3">
        <w:rPr>
          <w:rFonts w:ascii="仿宋_GB2312" w:eastAsia="仿宋_GB2312" w:hint="eastAsia"/>
          <w:sz w:val="24"/>
          <w:szCs w:val="18"/>
        </w:rPr>
        <w:t>其中现金不包括结算备付金、存出保证金、应收申购款等</w:t>
      </w:r>
      <w:r w:rsidR="00423D17">
        <w:rPr>
          <w:rFonts w:ascii="仿宋_GB2312" w:eastAsia="仿宋_GB2312" w:hAnsi="Times New Roman" w:hint="eastAsia"/>
          <w:sz w:val="24"/>
        </w:rPr>
        <w:t>；</w:t>
      </w:r>
    </w:p>
    <w:p w:rsidR="008F3B05" w:rsidRDefault="008F3B05">
      <w:pPr>
        <w:pStyle w:val="a9"/>
        <w:numPr>
          <w:ilvl w:val="0"/>
          <w:numId w:val="1"/>
        </w:numPr>
        <w:tabs>
          <w:tab w:val="left" w:pos="851"/>
        </w:tabs>
        <w:ind w:left="0" w:firstLineChars="0" w:firstLine="480"/>
        <w:rPr>
          <w:rFonts w:ascii="仿宋_GB2312" w:eastAsia="仿宋_GB2312" w:hAnsi="Times New Roman"/>
          <w:sz w:val="24"/>
        </w:rPr>
      </w:pPr>
      <w:r>
        <w:rPr>
          <w:rFonts w:ascii="仿宋_GB2312" w:eastAsia="仿宋_GB2312" w:hAnsi="Times New Roman" w:hint="eastAsia"/>
          <w:sz w:val="24"/>
        </w:rPr>
        <w:t>本基金投资于同一原始权益人的各类资产支持证券的比例，不得超过基金</w:t>
      </w:r>
      <w:r>
        <w:rPr>
          <w:rFonts w:ascii="仿宋_GB2312" w:eastAsia="仿宋_GB2312" w:hAnsi="Times New Roman" w:hint="eastAsia"/>
          <w:sz w:val="24"/>
        </w:rPr>
        <w:lastRenderedPageBreak/>
        <w:t>资产净值的10％；</w:t>
      </w:r>
    </w:p>
    <w:p w:rsidR="008F3B05" w:rsidRDefault="008F3B05">
      <w:pPr>
        <w:pStyle w:val="a9"/>
        <w:numPr>
          <w:ilvl w:val="0"/>
          <w:numId w:val="1"/>
        </w:numPr>
        <w:tabs>
          <w:tab w:val="left" w:pos="851"/>
        </w:tabs>
        <w:ind w:left="0" w:firstLineChars="0" w:firstLine="480"/>
        <w:rPr>
          <w:rFonts w:ascii="仿宋_GB2312" w:eastAsia="仿宋_GB2312" w:hAnsi="Times New Roman"/>
          <w:sz w:val="24"/>
        </w:rPr>
      </w:pPr>
      <w:r>
        <w:rPr>
          <w:rFonts w:ascii="仿宋_GB2312" w:eastAsia="仿宋_GB2312" w:hAnsi="Times New Roman" w:hint="eastAsia"/>
          <w:sz w:val="24"/>
        </w:rPr>
        <w:t>本基金持有的全部资产支持证券，其市值不得超过基金资产净值的20％；</w:t>
      </w:r>
    </w:p>
    <w:p w:rsidR="008F3B05" w:rsidRDefault="008F3B05">
      <w:pPr>
        <w:pStyle w:val="a9"/>
        <w:numPr>
          <w:ilvl w:val="0"/>
          <w:numId w:val="1"/>
        </w:numPr>
        <w:tabs>
          <w:tab w:val="left" w:pos="851"/>
        </w:tabs>
        <w:ind w:left="0" w:firstLineChars="0" w:firstLine="480"/>
        <w:rPr>
          <w:rFonts w:ascii="仿宋_GB2312" w:eastAsia="仿宋_GB2312" w:hAnsi="Times New Roman"/>
          <w:sz w:val="24"/>
        </w:rPr>
      </w:pPr>
      <w:r>
        <w:rPr>
          <w:rFonts w:ascii="仿宋_GB2312" w:eastAsia="仿宋_GB2312" w:hAnsi="Times New Roman" w:hint="eastAsia"/>
          <w:sz w:val="24"/>
        </w:rPr>
        <w:t>本基金持有的同一(指同一信用级别)资产支持证券的比例，不得超过该资产支持证券规模的10％；</w:t>
      </w:r>
    </w:p>
    <w:p w:rsidR="008F3B05" w:rsidRDefault="008F3B05">
      <w:pPr>
        <w:pStyle w:val="a9"/>
        <w:numPr>
          <w:ilvl w:val="0"/>
          <w:numId w:val="1"/>
        </w:numPr>
        <w:tabs>
          <w:tab w:val="left" w:pos="851"/>
          <w:tab w:val="left" w:pos="993"/>
        </w:tabs>
        <w:ind w:left="0" w:firstLineChars="0" w:firstLine="480"/>
        <w:rPr>
          <w:rFonts w:ascii="仿宋_GB2312" w:eastAsia="仿宋_GB2312" w:hAnsi="Times New Roman"/>
          <w:sz w:val="24"/>
        </w:rPr>
      </w:pPr>
      <w:r>
        <w:rPr>
          <w:rFonts w:ascii="仿宋_GB2312" w:eastAsia="仿宋_GB2312" w:hAnsi="Times New Roman" w:hint="eastAsia"/>
          <w:sz w:val="24"/>
        </w:rPr>
        <w:t>本基金应投资于信用级别评级为BBB以上(含BBB)的资产支持证券。基金持有资产支持证券期间，如果其信用等级下降、不再符合投资标准，应在评级报告发布之日起3个月内予以全部卖出；</w:t>
      </w:r>
    </w:p>
    <w:p w:rsidR="008F3B05" w:rsidRDefault="008F3B05">
      <w:pPr>
        <w:pStyle w:val="a9"/>
        <w:numPr>
          <w:ilvl w:val="0"/>
          <w:numId w:val="1"/>
        </w:numPr>
        <w:tabs>
          <w:tab w:val="left" w:pos="851"/>
          <w:tab w:val="left" w:pos="993"/>
        </w:tabs>
        <w:ind w:left="0" w:firstLineChars="0" w:firstLine="480"/>
        <w:rPr>
          <w:rFonts w:ascii="仿宋_GB2312" w:eastAsia="仿宋_GB2312" w:hAnsi="Times New Roman"/>
          <w:sz w:val="24"/>
        </w:rPr>
      </w:pPr>
      <w:r>
        <w:rPr>
          <w:rFonts w:ascii="仿宋_GB2312" w:eastAsia="仿宋_GB2312" w:hAnsi="Times New Roman" w:hint="eastAsia"/>
          <w:sz w:val="24"/>
        </w:rPr>
        <w:t>基金财产参与股票发行申购，本基金所申报的金额不超过本基金的总资产，本基金所申报的股票数量不超过拟发行股票公司本次发行股票的总量；</w:t>
      </w:r>
    </w:p>
    <w:p w:rsidR="008F3B05" w:rsidRDefault="008F3B05">
      <w:pPr>
        <w:pStyle w:val="a9"/>
        <w:numPr>
          <w:ilvl w:val="0"/>
          <w:numId w:val="1"/>
        </w:numPr>
        <w:tabs>
          <w:tab w:val="left" w:pos="851"/>
          <w:tab w:val="left" w:pos="993"/>
        </w:tabs>
        <w:ind w:left="0" w:firstLineChars="0" w:firstLine="480"/>
        <w:rPr>
          <w:rFonts w:ascii="仿宋_GB2312" w:eastAsia="仿宋_GB2312" w:hAnsi="Times New Roman"/>
          <w:sz w:val="24"/>
        </w:rPr>
      </w:pPr>
      <w:r>
        <w:rPr>
          <w:rFonts w:ascii="仿宋_GB2312" w:eastAsia="仿宋_GB2312" w:hAnsi="Times New Roman" w:hint="eastAsia"/>
          <w:sz w:val="24"/>
        </w:rPr>
        <w:t>本基金在任何交易日买入权证的总金额，不得超过上一交易日基金资产净值的0.5％；</w:t>
      </w:r>
    </w:p>
    <w:p w:rsidR="008F3B05" w:rsidRPr="00F85BFA" w:rsidRDefault="008F3B05">
      <w:pPr>
        <w:pStyle w:val="a9"/>
        <w:numPr>
          <w:ilvl w:val="0"/>
          <w:numId w:val="1"/>
        </w:numPr>
        <w:tabs>
          <w:tab w:val="left" w:pos="851"/>
          <w:tab w:val="left" w:pos="993"/>
        </w:tabs>
        <w:ind w:left="0" w:firstLineChars="0" w:firstLine="480"/>
        <w:rPr>
          <w:rFonts w:ascii="仿宋_GB2312" w:eastAsia="仿宋_GB2312"/>
          <w:color w:val="000000"/>
          <w:sz w:val="24"/>
        </w:rPr>
      </w:pPr>
      <w:r>
        <w:rPr>
          <w:rFonts w:eastAsia="仿宋_GB2312" w:hint="eastAsia"/>
          <w:sz w:val="24"/>
        </w:rPr>
        <w:t>本基金持有</w:t>
      </w:r>
      <w:r>
        <w:rPr>
          <w:rFonts w:ascii="仿宋_GB2312" w:eastAsia="仿宋_GB2312" w:hint="eastAsia"/>
          <w:sz w:val="24"/>
        </w:rPr>
        <w:t>的所有流通受限证券，其</w:t>
      </w:r>
      <w:r>
        <w:rPr>
          <w:rFonts w:eastAsia="仿宋_GB2312" w:hint="eastAsia"/>
          <w:sz w:val="24"/>
        </w:rPr>
        <w:t>公允价值</w:t>
      </w:r>
      <w:r>
        <w:rPr>
          <w:rFonts w:ascii="仿宋_GB2312" w:eastAsia="仿宋_GB2312" w:hint="eastAsia"/>
          <w:sz w:val="24"/>
        </w:rPr>
        <w:t>不得超过本基金资产净值</w:t>
      </w:r>
      <w:r w:rsidRPr="003563DB">
        <w:rPr>
          <w:rFonts w:ascii="仿宋_GB2312" w:eastAsia="仿宋_GB2312" w:hint="eastAsia"/>
          <w:sz w:val="24"/>
        </w:rPr>
        <w:t>的</w:t>
      </w:r>
      <w:r w:rsidR="00556552" w:rsidRPr="003563DB">
        <w:rPr>
          <w:rFonts w:ascii="仿宋_GB2312" w:eastAsia="仿宋_GB2312"/>
          <w:sz w:val="24"/>
        </w:rPr>
        <w:t>15</w:t>
      </w:r>
      <w:r w:rsidR="00556552" w:rsidRPr="003563DB">
        <w:rPr>
          <w:rFonts w:ascii="仿宋_GB2312" w:eastAsia="仿宋_GB2312"/>
          <w:color w:val="000000"/>
          <w:sz w:val="24"/>
        </w:rPr>
        <w:t>%</w:t>
      </w:r>
      <w:r>
        <w:rPr>
          <w:rFonts w:ascii="仿宋_GB2312" w:eastAsia="仿宋_GB2312" w:hint="eastAsia"/>
          <w:sz w:val="24"/>
        </w:rPr>
        <w:t>；</w:t>
      </w:r>
      <w:r>
        <w:rPr>
          <w:rFonts w:eastAsia="仿宋_GB2312" w:hint="eastAsia"/>
          <w:sz w:val="24"/>
        </w:rPr>
        <w:t>本基金持有</w:t>
      </w:r>
      <w:r>
        <w:rPr>
          <w:rFonts w:ascii="仿宋_GB2312" w:eastAsia="仿宋_GB2312" w:hint="eastAsia"/>
          <w:sz w:val="24"/>
        </w:rPr>
        <w:t>的同</w:t>
      </w:r>
      <w:proofErr w:type="gramStart"/>
      <w:r>
        <w:rPr>
          <w:rFonts w:ascii="仿宋_GB2312" w:eastAsia="仿宋_GB2312" w:hint="eastAsia"/>
          <w:sz w:val="24"/>
        </w:rPr>
        <w:t>一流通</w:t>
      </w:r>
      <w:proofErr w:type="gramEnd"/>
      <w:r>
        <w:rPr>
          <w:rFonts w:ascii="仿宋_GB2312" w:eastAsia="仿宋_GB2312" w:hint="eastAsia"/>
          <w:sz w:val="24"/>
        </w:rPr>
        <w:t>受限证券，其</w:t>
      </w:r>
      <w:r>
        <w:rPr>
          <w:rFonts w:eastAsia="仿宋_GB2312" w:hint="eastAsia"/>
          <w:sz w:val="24"/>
        </w:rPr>
        <w:t>公允价值</w:t>
      </w:r>
      <w:r>
        <w:rPr>
          <w:rFonts w:ascii="仿宋_GB2312" w:eastAsia="仿宋_GB2312" w:hint="eastAsia"/>
          <w:sz w:val="24"/>
        </w:rPr>
        <w:t>不得超过本基金资产净值的</w:t>
      </w:r>
      <w:r>
        <w:rPr>
          <w:rFonts w:ascii="仿宋_GB2312" w:eastAsia="仿宋_GB2312"/>
          <w:sz w:val="24"/>
        </w:rPr>
        <w:t>10</w:t>
      </w:r>
      <w:r>
        <w:rPr>
          <w:rFonts w:ascii="仿宋_GB2312" w:eastAsia="仿宋_GB2312" w:hint="eastAsia"/>
          <w:sz w:val="24"/>
        </w:rPr>
        <w:t>%；</w:t>
      </w:r>
    </w:p>
    <w:p w:rsidR="00F85BFA" w:rsidRPr="00B01127" w:rsidRDefault="00F85BFA" w:rsidP="00B01127">
      <w:pPr>
        <w:pStyle w:val="a9"/>
        <w:numPr>
          <w:ilvl w:val="0"/>
          <w:numId w:val="1"/>
        </w:numPr>
        <w:tabs>
          <w:tab w:val="left" w:pos="851"/>
          <w:tab w:val="left" w:pos="993"/>
        </w:tabs>
        <w:ind w:left="0" w:firstLineChars="0" w:firstLine="480"/>
        <w:rPr>
          <w:rFonts w:eastAsia="仿宋_GB2312"/>
          <w:sz w:val="24"/>
        </w:rPr>
      </w:pPr>
      <w:r w:rsidRPr="00B01127">
        <w:rPr>
          <w:rFonts w:eastAsia="仿宋_GB2312" w:hint="eastAsia"/>
          <w:sz w:val="24"/>
        </w:rPr>
        <w:t>本基金管理人管理</w:t>
      </w:r>
      <w:r w:rsidR="00B01127">
        <w:rPr>
          <w:rFonts w:eastAsia="仿宋_GB2312" w:hint="eastAsia"/>
          <w:sz w:val="24"/>
        </w:rPr>
        <w:t>且由基金托管人托管</w:t>
      </w:r>
      <w:r w:rsidRPr="00B01127">
        <w:rPr>
          <w:rFonts w:eastAsia="仿宋_GB2312" w:hint="eastAsia"/>
          <w:sz w:val="24"/>
        </w:rPr>
        <w:t>的全部开放式基金（包括开放式基金以及处于开放期的定期开放基金）持有一家上市公司发行的可流通股票，不得超过该上市公司可流通股票的</w:t>
      </w:r>
      <w:r w:rsidRPr="00B01127">
        <w:rPr>
          <w:rFonts w:eastAsia="仿宋_GB2312"/>
          <w:sz w:val="24"/>
        </w:rPr>
        <w:t>15%</w:t>
      </w:r>
      <w:r w:rsidRPr="00B01127">
        <w:rPr>
          <w:rFonts w:eastAsia="仿宋_GB2312" w:hint="eastAsia"/>
          <w:sz w:val="24"/>
        </w:rPr>
        <w:t>；本基金管理人管理</w:t>
      </w:r>
      <w:r w:rsidR="00423D17">
        <w:rPr>
          <w:rFonts w:eastAsia="仿宋_GB2312" w:hint="eastAsia"/>
          <w:sz w:val="24"/>
        </w:rPr>
        <w:t>且由基金托管人托管</w:t>
      </w:r>
      <w:r w:rsidRPr="00B01127">
        <w:rPr>
          <w:rFonts w:eastAsia="仿宋_GB2312" w:hint="eastAsia"/>
          <w:sz w:val="24"/>
        </w:rPr>
        <w:t>的全部投资组合持有一家上市公司发行的可流通股票，不得超过该上市公司可流通股票的</w:t>
      </w:r>
      <w:r w:rsidRPr="00B01127">
        <w:rPr>
          <w:rFonts w:eastAsia="仿宋_GB2312"/>
          <w:sz w:val="24"/>
        </w:rPr>
        <w:t>30%</w:t>
      </w:r>
      <w:r w:rsidR="005D2A95" w:rsidRPr="00B01127">
        <w:rPr>
          <w:rFonts w:eastAsia="仿宋_GB2312" w:hint="eastAsia"/>
          <w:sz w:val="24"/>
        </w:rPr>
        <w:t>；</w:t>
      </w:r>
    </w:p>
    <w:p w:rsidR="00F85BFA" w:rsidRPr="00B01127" w:rsidRDefault="00F85BFA" w:rsidP="00B01127">
      <w:pPr>
        <w:pStyle w:val="a9"/>
        <w:numPr>
          <w:ilvl w:val="0"/>
          <w:numId w:val="1"/>
        </w:numPr>
        <w:tabs>
          <w:tab w:val="left" w:pos="851"/>
          <w:tab w:val="left" w:pos="993"/>
        </w:tabs>
        <w:ind w:left="0" w:firstLineChars="0" w:firstLine="480"/>
        <w:rPr>
          <w:rFonts w:eastAsia="仿宋_GB2312"/>
          <w:sz w:val="24"/>
        </w:rPr>
      </w:pPr>
      <w:r w:rsidRPr="00B01127">
        <w:rPr>
          <w:rFonts w:eastAsia="仿宋_GB2312" w:hint="eastAsia"/>
          <w:sz w:val="24"/>
        </w:rPr>
        <w:t>本基金主动投资于</w:t>
      </w:r>
      <w:r w:rsidR="00423D17">
        <w:rPr>
          <w:rFonts w:eastAsia="仿宋_GB2312" w:hint="eastAsia"/>
          <w:sz w:val="24"/>
        </w:rPr>
        <w:t>流动性</w:t>
      </w:r>
      <w:r w:rsidRPr="00B01127">
        <w:rPr>
          <w:rFonts w:eastAsia="仿宋_GB2312" w:hint="eastAsia"/>
          <w:sz w:val="24"/>
        </w:rPr>
        <w:t>受限资产的市值合计不得超过基金资产净值的</w:t>
      </w:r>
      <w:r w:rsidRPr="00B01127">
        <w:rPr>
          <w:rFonts w:eastAsia="仿宋_GB2312"/>
          <w:sz w:val="24"/>
        </w:rPr>
        <w:t>15%</w:t>
      </w:r>
      <w:r w:rsidRPr="00B01127">
        <w:rPr>
          <w:rFonts w:eastAsia="仿宋_GB2312" w:hint="eastAsia"/>
          <w:sz w:val="24"/>
        </w:rPr>
        <w:t>，因证券市场波动、上市公司股票停牌、基金规模变动等基金管理人之外的因素致使基金不符合前述比例限制的，基金管理人不得主动新增流动性受限资产的投资</w:t>
      </w:r>
      <w:r w:rsidR="005D2A95" w:rsidRPr="00B01127">
        <w:rPr>
          <w:rFonts w:eastAsia="仿宋_GB2312" w:hint="eastAsia"/>
          <w:sz w:val="24"/>
        </w:rPr>
        <w:t>；</w:t>
      </w:r>
    </w:p>
    <w:p w:rsidR="00F85BFA" w:rsidRPr="003563DB" w:rsidRDefault="003563DB" w:rsidP="003563DB">
      <w:pPr>
        <w:pStyle w:val="a9"/>
        <w:tabs>
          <w:tab w:val="left" w:pos="851"/>
          <w:tab w:val="left" w:pos="993"/>
        </w:tabs>
        <w:ind w:firstLineChars="0" w:firstLine="0"/>
        <w:rPr>
          <w:rFonts w:ascii="仿宋_GB2312" w:eastAsia="仿宋_GB2312"/>
          <w:color w:val="000000"/>
          <w:sz w:val="24"/>
        </w:rPr>
      </w:pPr>
      <w:r>
        <w:rPr>
          <w:rFonts w:eastAsia="仿宋_GB2312" w:hint="eastAsia"/>
          <w:sz w:val="24"/>
        </w:rPr>
        <w:t>（</w:t>
      </w:r>
      <w:r>
        <w:rPr>
          <w:rFonts w:eastAsia="仿宋_GB2312" w:hint="eastAsia"/>
          <w:sz w:val="24"/>
        </w:rPr>
        <w:t>15</w:t>
      </w:r>
      <w:r>
        <w:rPr>
          <w:rFonts w:eastAsia="仿宋_GB2312" w:hint="eastAsia"/>
          <w:sz w:val="24"/>
        </w:rPr>
        <w:t>）</w:t>
      </w:r>
      <w:r w:rsidR="00F85BFA" w:rsidRPr="00B01127">
        <w:rPr>
          <w:rFonts w:eastAsia="仿宋_GB2312" w:hint="eastAsia"/>
          <w:sz w:val="24"/>
        </w:rPr>
        <w:t>本基金与私募类</w:t>
      </w:r>
      <w:proofErr w:type="gramStart"/>
      <w:r w:rsidR="00F85BFA" w:rsidRPr="00B01127">
        <w:rPr>
          <w:rFonts w:eastAsia="仿宋_GB2312" w:hint="eastAsia"/>
          <w:sz w:val="24"/>
        </w:rPr>
        <w:t>证券资管产品</w:t>
      </w:r>
      <w:proofErr w:type="gramEnd"/>
      <w:r w:rsidR="00F85BFA" w:rsidRPr="00B01127">
        <w:rPr>
          <w:rFonts w:eastAsia="仿宋_GB2312" w:hint="eastAsia"/>
          <w:sz w:val="24"/>
        </w:rPr>
        <w:t>及中国证监会认定的其他主体为交易对手开展逆回购交易的，可接受质押品的资质要求应当与基金合同约定的投资范围保持一致。</w:t>
      </w:r>
    </w:p>
    <w:p w:rsidR="008F3B05" w:rsidRDefault="008F3B05">
      <w:pPr>
        <w:pStyle w:val="a9"/>
        <w:tabs>
          <w:tab w:val="left" w:pos="851"/>
          <w:tab w:val="left" w:pos="993"/>
        </w:tabs>
        <w:spacing w:line="360" w:lineRule="auto"/>
        <w:ind w:firstLineChars="0" w:firstLine="0"/>
        <w:rPr>
          <w:rFonts w:ascii="仿宋_GB2312" w:eastAsia="仿宋_GB2312"/>
          <w:sz w:val="24"/>
        </w:rPr>
      </w:pPr>
      <w:r>
        <w:rPr>
          <w:rFonts w:ascii="仿宋_GB2312" w:eastAsia="仿宋_GB2312" w:hint="eastAsia"/>
          <w:sz w:val="24"/>
        </w:rPr>
        <w:t xml:space="preserve">    如果法律法规对基金合同约定投资组合比例限制进行变更的，以变更后的规定为准。法律法规或监管部门取消上述限制，如适用于本基金，则本基金履行适当程序后投资不再受相关限制。</w:t>
      </w:r>
    </w:p>
    <w:p w:rsidR="008F3B05" w:rsidRDefault="00F85BFA">
      <w:pPr>
        <w:ind w:firstLine="480"/>
        <w:rPr>
          <w:rFonts w:ascii="仿宋_GB2312" w:eastAsia="仿宋_GB2312"/>
          <w:sz w:val="24"/>
        </w:rPr>
      </w:pPr>
      <w:r w:rsidRPr="002F3C2D">
        <w:rPr>
          <w:rFonts w:ascii="仿宋_GB2312" w:eastAsia="仿宋_GB2312" w:hint="eastAsia"/>
          <w:sz w:val="24"/>
        </w:rPr>
        <w:t>除上述第（</w:t>
      </w:r>
      <w:r w:rsidR="00423D17">
        <w:rPr>
          <w:rFonts w:ascii="仿宋_GB2312" w:eastAsia="仿宋_GB2312"/>
          <w:sz w:val="24"/>
        </w:rPr>
        <w:t>5</w:t>
      </w:r>
      <w:r>
        <w:rPr>
          <w:rFonts w:ascii="仿宋_GB2312" w:eastAsia="仿宋_GB2312" w:hint="eastAsia"/>
          <w:sz w:val="24"/>
        </w:rPr>
        <w:t>）</w:t>
      </w:r>
      <w:r w:rsidRPr="002F3C2D">
        <w:rPr>
          <w:rFonts w:ascii="仿宋_GB2312" w:eastAsia="仿宋_GB2312" w:hint="eastAsia"/>
          <w:sz w:val="24"/>
        </w:rPr>
        <w:t>、（</w:t>
      </w:r>
      <w:r w:rsidR="00423D17">
        <w:rPr>
          <w:rFonts w:ascii="仿宋_GB2312" w:eastAsia="仿宋_GB2312"/>
          <w:sz w:val="24"/>
        </w:rPr>
        <w:t>9</w:t>
      </w:r>
      <w:r w:rsidRPr="002F3C2D">
        <w:rPr>
          <w:rFonts w:ascii="仿宋_GB2312" w:eastAsia="仿宋_GB2312" w:hint="eastAsia"/>
          <w:sz w:val="24"/>
        </w:rPr>
        <w:t>）、（</w:t>
      </w:r>
      <w:r>
        <w:rPr>
          <w:rFonts w:ascii="仿宋_GB2312" w:eastAsia="仿宋_GB2312" w:hint="eastAsia"/>
          <w:sz w:val="24"/>
        </w:rPr>
        <w:t>14</w:t>
      </w:r>
      <w:r w:rsidRPr="002F3C2D">
        <w:rPr>
          <w:rFonts w:ascii="仿宋_GB2312" w:eastAsia="仿宋_GB2312" w:hint="eastAsia"/>
          <w:sz w:val="24"/>
        </w:rPr>
        <w:t>）</w:t>
      </w:r>
      <w:r w:rsidR="00423D17">
        <w:rPr>
          <w:rFonts w:ascii="仿宋_GB2312" w:eastAsia="仿宋_GB2312" w:hint="eastAsia"/>
          <w:sz w:val="24"/>
        </w:rPr>
        <w:t>、</w:t>
      </w:r>
      <w:r w:rsidR="00423D17">
        <w:rPr>
          <w:rFonts w:ascii="仿宋_GB2312" w:eastAsia="仿宋_GB2312"/>
          <w:sz w:val="24"/>
        </w:rPr>
        <w:t>（</w:t>
      </w:r>
      <w:r w:rsidR="00423D17">
        <w:rPr>
          <w:rFonts w:ascii="仿宋_GB2312" w:eastAsia="仿宋_GB2312" w:hint="eastAsia"/>
          <w:sz w:val="24"/>
        </w:rPr>
        <w:t>15</w:t>
      </w:r>
      <w:r w:rsidR="00423D17">
        <w:rPr>
          <w:rFonts w:ascii="仿宋_GB2312" w:eastAsia="仿宋_GB2312"/>
          <w:sz w:val="24"/>
        </w:rPr>
        <w:t>）</w:t>
      </w:r>
      <w:r w:rsidRPr="002F3C2D">
        <w:rPr>
          <w:rFonts w:ascii="仿宋_GB2312" w:eastAsia="仿宋_GB2312" w:hint="eastAsia"/>
          <w:sz w:val="24"/>
        </w:rPr>
        <w:t>项外，</w:t>
      </w:r>
      <w:r w:rsidR="008F3B05">
        <w:rPr>
          <w:rFonts w:ascii="仿宋_GB2312" w:eastAsia="仿宋_GB2312" w:hint="eastAsia"/>
          <w:sz w:val="24"/>
        </w:rPr>
        <w:t>因证券市场波动、上市公司合并、基金规模变动、股权分置改革中支付对价等基金管理人之外的因素致使基金投资比例不符合上述规定投资比例的，基金管理人应当在10个交易日内进行调整。</w:t>
      </w:r>
    </w:p>
    <w:p w:rsidR="008F3B05" w:rsidRDefault="008F3B05">
      <w:pPr>
        <w:adjustRightInd w:val="0"/>
        <w:snapToGrid w:val="0"/>
        <w:ind w:firstLineChars="200" w:firstLine="480"/>
        <w:rPr>
          <w:rFonts w:ascii="仿宋_GB2312" w:eastAsia="仿宋_GB2312"/>
          <w:sz w:val="24"/>
        </w:rPr>
      </w:pPr>
      <w:r>
        <w:rPr>
          <w:rFonts w:ascii="仿宋_GB2312" w:eastAsia="仿宋_GB2312" w:hint="eastAsia"/>
          <w:sz w:val="24"/>
        </w:rPr>
        <w:t>基金管理人应当自基金合同生效之日起6个月内使基金的投资组合比例符合基金合同的有关约定。基金托管人对基金投资的监督与检查自基金合同生效之日起开始。</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（三）基金托管人</w:t>
      </w:r>
      <w:bookmarkStart w:id="6" w:name="OLE_LINK1"/>
      <w:r>
        <w:rPr>
          <w:rFonts w:ascii="仿宋_GB2312" w:eastAsia="仿宋_GB2312" w:hAnsi="宋体" w:cs="Arial" w:hint="eastAsia"/>
          <w:sz w:val="24"/>
        </w:rPr>
        <w:t>根据有关法律法规的规定及基金合同的约定，</w:t>
      </w:r>
      <w:bookmarkEnd w:id="6"/>
      <w:r>
        <w:rPr>
          <w:rFonts w:ascii="仿宋_GB2312" w:eastAsia="仿宋_GB2312" w:hAnsi="宋体" w:cs="Arial" w:hint="eastAsia"/>
          <w:sz w:val="24"/>
        </w:rPr>
        <w:t>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w:t>
      </w:r>
      <w:proofErr w:type="gramStart"/>
      <w:r>
        <w:rPr>
          <w:rFonts w:ascii="仿宋_GB2312" w:eastAsia="仿宋_GB2312" w:hAnsi="宋体" w:cs="Arial" w:hint="eastAsia"/>
          <w:sz w:val="24"/>
        </w:rPr>
        <w:t>方发行</w:t>
      </w:r>
      <w:proofErr w:type="gramEnd"/>
      <w:r>
        <w:rPr>
          <w:rFonts w:ascii="仿宋_GB2312" w:eastAsia="仿宋_GB2312" w:hAnsi="宋体" w:cs="Arial" w:hint="eastAsia"/>
          <w:sz w:val="24"/>
        </w:rPr>
        <w:t>的证券名单。基金管理人和基金托管人有责任确保关联交易名单的真实性、准确性、完整性，并负责及时将更新后的名单发送给对方。</w:t>
      </w:r>
    </w:p>
    <w:p w:rsidR="008F3B05" w:rsidRDefault="008F3B05">
      <w:pPr>
        <w:adjustRightInd w:val="0"/>
        <w:snapToGrid w:val="0"/>
        <w:ind w:firstLineChars="200" w:firstLine="480"/>
        <w:rPr>
          <w:rFonts w:ascii="仿宋_GB2312" w:eastAsia="仿宋_GB2312" w:hAnsi="宋体" w:cs="Arial"/>
          <w:sz w:val="24"/>
        </w:rPr>
      </w:pPr>
      <w:bookmarkStart w:id="7" w:name="OLE_LINK2"/>
      <w:proofErr w:type="gramStart"/>
      <w:r>
        <w:rPr>
          <w:rFonts w:ascii="仿宋_GB2312" w:eastAsia="仿宋_GB2312" w:hAnsi="宋体" w:cs="Arial" w:hint="eastAsia"/>
          <w:sz w:val="24"/>
        </w:rPr>
        <w:t>若基金</w:t>
      </w:r>
      <w:proofErr w:type="gramEnd"/>
      <w:r>
        <w:rPr>
          <w:rFonts w:ascii="仿宋_GB2312" w:eastAsia="仿宋_GB2312" w:hAnsi="宋体" w:cs="Arial" w:hint="eastAsia"/>
          <w:sz w:val="24"/>
        </w:rPr>
        <w:t>托管人发现基金管理人与关联交易名单中列示的关联方进行法律法规</w:t>
      </w:r>
      <w:r>
        <w:rPr>
          <w:rFonts w:ascii="仿宋_GB2312" w:eastAsia="仿宋_GB2312" w:hAnsi="宋体" w:cs="Arial" w:hint="eastAsia"/>
          <w:sz w:val="24"/>
        </w:rPr>
        <w:lastRenderedPageBreak/>
        <w:t>禁止基金从事的关联交易时，基金托管人应及时提醒基金管理人采取必要措施阻止该关联交易的发生</w:t>
      </w:r>
      <w:bookmarkEnd w:id="7"/>
      <w:r>
        <w:rPr>
          <w:rFonts w:ascii="仿宋_GB2312" w:eastAsia="仿宋_GB2312" w:hAnsi="宋体" w:cs="Arial" w:hint="eastAsia"/>
          <w:sz w:val="24"/>
        </w:rPr>
        <w:t>，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8F3B05" w:rsidRDefault="008F3B05">
      <w:pPr>
        <w:adjustRightInd w:val="0"/>
        <w:snapToGrid w:val="0"/>
        <w:ind w:firstLineChars="200" w:firstLine="480"/>
        <w:rPr>
          <w:rFonts w:ascii="仿宋_GB2312" w:eastAsia="仿宋_GB2312" w:hAnsi="宋体" w:cs="Arial"/>
        </w:rPr>
      </w:pPr>
      <w:r>
        <w:rPr>
          <w:rFonts w:ascii="仿宋_GB2312" w:eastAsia="仿宋_GB2312"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8F3B05" w:rsidRDefault="008F3B05">
      <w:pPr>
        <w:adjustRightInd w:val="0"/>
        <w:snapToGrid w:val="0"/>
        <w:ind w:firstLineChars="200" w:firstLine="480"/>
        <w:rPr>
          <w:rFonts w:ascii="仿宋_GB2312" w:eastAsia="仿宋_GB2312" w:hAnsi="宋体" w:cs="Arial"/>
        </w:rPr>
      </w:pPr>
      <w:r>
        <w:rPr>
          <w:rFonts w:ascii="仿宋_GB2312" w:eastAsia="仿宋_GB2312" w:hAnsi="宋体" w:cs="Arial" w:hint="eastAsia"/>
          <w:color w:val="000000"/>
          <w:sz w:val="24"/>
        </w:rPr>
        <w:t>基金管理人负责对交易对手的资信控制，按银行间债券市场的交易规则进行交易，并</w:t>
      </w:r>
      <w:r>
        <w:rPr>
          <w:rFonts w:ascii="仿宋_GB2312" w:eastAsia="仿宋_GB2312" w:hint="eastAsia"/>
          <w:sz w:val="24"/>
        </w:rPr>
        <w:t>负责解决因交易对手不履行合同而造成的纠纷及损失，</w:t>
      </w:r>
      <w:r>
        <w:rPr>
          <w:rFonts w:eastAsia="仿宋_GB2312" w:hint="eastAsia"/>
          <w:sz w:val="24"/>
        </w:rPr>
        <w:t>基金托管人不承担由此造成的任何法律责任及损失</w:t>
      </w:r>
      <w:r>
        <w:rPr>
          <w:rFonts w:ascii="仿宋_GB2312" w:eastAsia="仿宋_GB2312" w:hint="eastAsia"/>
          <w:sz w:val="24"/>
        </w:rPr>
        <w:t>。</w:t>
      </w:r>
      <w:r>
        <w:rPr>
          <w:rFonts w:eastAsia="仿宋_GB2312" w:hint="eastAsia"/>
          <w:sz w:val="24"/>
        </w:rPr>
        <w:t>若未履约的交易对手在基金托管人与基金管理人确定的时间前仍未承担违约责任及其他相关法律责任的，基金管理人可以对相应损失先行予以承担，然后再向相关交易对手追偿。</w:t>
      </w:r>
      <w:r>
        <w:rPr>
          <w:rFonts w:ascii="仿宋_GB2312" w:eastAsia="仿宋_GB2312"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（五）基金托管人根据有关法律法规的规定及基金合同的约定，对基金管理人投资流通受限证券进行监督。</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int="eastAsia"/>
          <w:sz w:val="24"/>
        </w:rPr>
        <w:t>基金管理人投资流通受限证券，基金管理人应事先根据中国证监会相关规定，明确基金投资流通受限证券的比例，</w:t>
      </w:r>
      <w:r>
        <w:rPr>
          <w:rFonts w:ascii="仿宋_GB2312" w:eastAsia="仿宋_GB2312"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rsidR="008F3B05" w:rsidRDefault="008F3B05">
      <w:pPr>
        <w:adjustRightInd w:val="0"/>
        <w:snapToGrid w:val="0"/>
        <w:ind w:firstLineChars="200" w:firstLine="480"/>
        <w:rPr>
          <w:rFonts w:ascii="仿宋_GB2312" w:eastAsia="仿宋_GB2312"/>
          <w:sz w:val="24"/>
        </w:rPr>
      </w:pPr>
      <w:r>
        <w:rPr>
          <w:rFonts w:ascii="仿宋_GB2312" w:eastAsia="仿宋_GB2312" w:hAnsi="宋体" w:cs="Arial" w:hint="eastAsia"/>
          <w:sz w:val="24"/>
        </w:rPr>
        <w:t>1.本基金</w:t>
      </w:r>
      <w:r>
        <w:rPr>
          <w:rFonts w:ascii="仿宋_GB2312" w:eastAsia="仿宋_GB2312" w:hint="eastAsia"/>
          <w:sz w:val="24"/>
        </w:rPr>
        <w:t>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仿宋_GB2312" w:eastAsia="仿宋_GB2312" w:hint="eastAsia"/>
          <w:sz w:val="24"/>
        </w:rPr>
        <w:t>券</w:t>
      </w:r>
      <w:proofErr w:type="gramEnd"/>
      <w:r>
        <w:rPr>
          <w:rFonts w:ascii="仿宋_GB2312" w:eastAsia="仿宋_GB2312" w:hint="eastAsia"/>
          <w:sz w:val="24"/>
        </w:rPr>
        <w:t>等流通受限证券。本基金不投资有</w:t>
      </w:r>
      <w:proofErr w:type="gramStart"/>
      <w:r>
        <w:rPr>
          <w:rFonts w:ascii="仿宋_GB2312" w:eastAsia="仿宋_GB2312" w:hint="eastAsia"/>
          <w:sz w:val="24"/>
        </w:rPr>
        <w:t>锁定期但锁定</w:t>
      </w:r>
      <w:proofErr w:type="gramEnd"/>
      <w:r>
        <w:rPr>
          <w:rFonts w:ascii="仿宋_GB2312" w:eastAsia="仿宋_GB2312" w:hint="eastAsia"/>
          <w:sz w:val="24"/>
        </w:rPr>
        <w:t>期不明确的证券。</w:t>
      </w:r>
    </w:p>
    <w:p w:rsidR="008F3B05" w:rsidRDefault="008F3B05">
      <w:pPr>
        <w:ind w:firstLineChars="200" w:firstLine="480"/>
        <w:rPr>
          <w:rFonts w:ascii="仿宋_GB2312" w:eastAsia="仿宋_GB2312"/>
          <w:sz w:val="24"/>
        </w:rPr>
      </w:pPr>
      <w:r>
        <w:rPr>
          <w:rFonts w:ascii="仿宋_GB2312" w:eastAsia="仿宋_GB2312" w:hAnsi="宋体" w:cs="Arial" w:hint="eastAsia"/>
          <w:sz w:val="24"/>
        </w:rPr>
        <w:t>本基金</w:t>
      </w:r>
      <w:r>
        <w:rPr>
          <w:rFonts w:ascii="仿宋_GB2312" w:eastAsia="仿宋_GB2312" w:hint="eastAsia"/>
          <w:sz w:val="24"/>
        </w:rPr>
        <w:t>投资的受限证券限于可由中国证券登记结算有限责任公司或中央国债登记结算有限责任公司负责登记和存管，并可在证券交易所或全国银行间债券市场交易的证券。</w:t>
      </w:r>
    </w:p>
    <w:p w:rsidR="008F3B05" w:rsidRDefault="008F3B05">
      <w:pPr>
        <w:adjustRightInd w:val="0"/>
        <w:snapToGrid w:val="0"/>
        <w:ind w:firstLineChars="200" w:firstLine="480"/>
        <w:rPr>
          <w:rFonts w:ascii="仿宋_GB2312" w:eastAsia="仿宋_GB2312"/>
          <w:sz w:val="24"/>
        </w:rPr>
      </w:pPr>
      <w:r>
        <w:rPr>
          <w:rFonts w:ascii="仿宋_GB2312" w:eastAsia="仿宋_GB2312" w:hAnsi="宋体" w:cs="Arial" w:hint="eastAsia"/>
          <w:sz w:val="24"/>
        </w:rPr>
        <w:t>本基金</w:t>
      </w:r>
      <w:r>
        <w:rPr>
          <w:rFonts w:ascii="仿宋_GB2312" w:eastAsia="仿宋_GB2312" w:hint="eastAsia"/>
          <w:sz w:val="24"/>
        </w:rPr>
        <w:t>投资的受限证券应保证登记存管在本基金名下，基金管理人负责相关工作的落实和协调，并确保基金托管人能够正常查询。因基金管理</w:t>
      </w:r>
      <w:proofErr w:type="gramStart"/>
      <w:r>
        <w:rPr>
          <w:rFonts w:ascii="仿宋_GB2312" w:eastAsia="仿宋_GB2312" w:hint="eastAsia"/>
          <w:sz w:val="24"/>
        </w:rPr>
        <w:t>人原因</w:t>
      </w:r>
      <w:proofErr w:type="gramEnd"/>
      <w:r>
        <w:rPr>
          <w:rFonts w:ascii="仿宋_GB2312" w:eastAsia="仿宋_GB2312" w:hint="eastAsia"/>
          <w:sz w:val="24"/>
        </w:rPr>
        <w:t>产生的受限证券登记存管问题，造成基金托管人无法安全保管本基金资产的责任与损失，及因受限证券存管直接影响本基金安全的责任及损失，由基金管理人承担。</w:t>
      </w:r>
    </w:p>
    <w:p w:rsidR="008F3B05" w:rsidRDefault="008F3B05">
      <w:pPr>
        <w:adjustRightInd w:val="0"/>
        <w:snapToGrid w:val="0"/>
        <w:ind w:firstLineChars="200" w:firstLine="480"/>
        <w:rPr>
          <w:rFonts w:ascii="仿宋_GB2312" w:eastAsia="仿宋_GB2312"/>
          <w:sz w:val="24"/>
        </w:rPr>
      </w:pPr>
      <w:r>
        <w:rPr>
          <w:rFonts w:ascii="仿宋_GB2312" w:eastAsia="仿宋_GB2312" w:hAnsi="宋体" w:cs="Arial" w:hint="eastAsia"/>
          <w:sz w:val="24"/>
        </w:rPr>
        <w:t>本基金</w:t>
      </w:r>
      <w:r>
        <w:rPr>
          <w:rFonts w:ascii="仿宋_GB2312" w:eastAsia="仿宋_GB2312" w:hint="eastAsia"/>
          <w:sz w:val="24"/>
        </w:rPr>
        <w:t>投资受限证券，不得预付任何形式的保证金。</w:t>
      </w:r>
    </w:p>
    <w:p w:rsidR="008F3B05" w:rsidRDefault="008F3B05">
      <w:pPr>
        <w:ind w:firstLineChars="200" w:firstLine="480"/>
        <w:rPr>
          <w:rFonts w:ascii="仿宋_GB2312" w:eastAsia="仿宋_GB2312"/>
          <w:sz w:val="24"/>
        </w:rPr>
      </w:pPr>
      <w:r>
        <w:rPr>
          <w:rFonts w:ascii="仿宋_GB2312" w:eastAsia="仿宋_GB2312" w:hAnsi="宋体" w:cs="Arial" w:hint="eastAsia"/>
          <w:sz w:val="24"/>
        </w:rPr>
        <w:t>2.</w:t>
      </w:r>
      <w:r>
        <w:rPr>
          <w:rFonts w:ascii="仿宋_GB2312" w:eastAsia="仿宋_GB2312" w:hint="eastAsia"/>
          <w:sz w:val="24"/>
        </w:rPr>
        <w:t xml:space="preserve"> 基金管理人投资非公开发行股票，应制订流动性风险处置预案并经其董事</w:t>
      </w:r>
      <w:r>
        <w:rPr>
          <w:rFonts w:ascii="仿宋_GB2312" w:eastAsia="仿宋_GB2312" w:hint="eastAsia"/>
          <w:sz w:val="24"/>
        </w:rPr>
        <w:lastRenderedPageBreak/>
        <w:t>会批准。风险处置预案应包括但不限于因投资受限证券需要解决的基金投资比例限制失调、基金流动性困难以及相关损失的应对解决措施，以及有关异常情况的处置。</w:t>
      </w:r>
      <w:r>
        <w:rPr>
          <w:rFonts w:ascii="仿宋_GB2312" w:eastAsia="仿宋_GB2312" w:hAnsi="宋体" w:cs="Arial" w:hint="eastAsia"/>
          <w:sz w:val="24"/>
        </w:rPr>
        <w:t>基金管理人应在首次投资流通受限证券前向基金托管人提供</w:t>
      </w:r>
      <w:r>
        <w:rPr>
          <w:rFonts w:ascii="仿宋_GB2312" w:eastAsia="仿宋_GB2312" w:hint="eastAsia"/>
          <w:sz w:val="24"/>
        </w:rPr>
        <w:t>基金投资非公开发行股票相关流动性风险处置预案。</w:t>
      </w:r>
    </w:p>
    <w:p w:rsidR="008F3B05" w:rsidRDefault="008F3B05">
      <w:pPr>
        <w:ind w:firstLineChars="200" w:firstLine="480"/>
        <w:rPr>
          <w:rFonts w:ascii="仿宋_GB2312" w:eastAsia="仿宋_GB2312"/>
          <w:sz w:val="24"/>
        </w:rPr>
      </w:pPr>
      <w:r>
        <w:rPr>
          <w:rFonts w:ascii="仿宋_GB2312" w:eastAsia="仿宋_GB2312" w:hint="eastAsia"/>
          <w:sz w:val="24"/>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w:t>
      </w:r>
      <w:proofErr w:type="gramStart"/>
      <w:r>
        <w:rPr>
          <w:rFonts w:ascii="仿宋_GB2312" w:eastAsia="仿宋_GB2312" w:hint="eastAsia"/>
          <w:sz w:val="24"/>
        </w:rPr>
        <w:t>人原因</w:t>
      </w:r>
      <w:proofErr w:type="gramEnd"/>
      <w:r>
        <w:rPr>
          <w:rFonts w:ascii="仿宋_GB2312" w:eastAsia="仿宋_GB2312" w:hint="eastAsia"/>
          <w:sz w:val="24"/>
        </w:rPr>
        <w:t>导致本基金出现损失致使基金托管人承担连带赔偿责任的，基金管理人应赔偿基金托管人由此遭受的损失。</w:t>
      </w:r>
    </w:p>
    <w:p w:rsidR="008F3B05" w:rsidRDefault="008F3B05">
      <w:pPr>
        <w:ind w:firstLineChars="200" w:firstLine="480"/>
        <w:rPr>
          <w:rFonts w:ascii="仿宋_GB2312" w:eastAsia="仿宋_GB2312"/>
          <w:sz w:val="24"/>
        </w:rPr>
      </w:pPr>
      <w:r>
        <w:rPr>
          <w:rFonts w:ascii="仿宋_GB2312" w:eastAsia="仿宋_GB2312" w:hAnsi="宋体" w:cs="Arial" w:hint="eastAsia"/>
          <w:sz w:val="24"/>
        </w:rPr>
        <w:t>3.</w:t>
      </w:r>
      <w:r>
        <w:rPr>
          <w:rFonts w:ascii="仿宋_GB2312" w:eastAsia="仿宋_GB2312"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8F3B05" w:rsidRDefault="008F3B05">
      <w:pPr>
        <w:ind w:firstLineChars="200" w:firstLine="480"/>
        <w:rPr>
          <w:rFonts w:ascii="仿宋_GB2312" w:eastAsia="仿宋_GB2312"/>
          <w:sz w:val="24"/>
        </w:rPr>
      </w:pPr>
      <w:r>
        <w:rPr>
          <w:rFonts w:ascii="仿宋_GB2312" w:eastAsia="仿宋_GB2312" w:hint="eastAsia"/>
          <w:sz w:val="24"/>
        </w:rPr>
        <w:t>（1）中国证监会批准发行非公开发行股票的批准文件。</w:t>
      </w:r>
    </w:p>
    <w:p w:rsidR="008F3B05" w:rsidRDefault="008F3B05">
      <w:pPr>
        <w:ind w:firstLineChars="200" w:firstLine="480"/>
        <w:rPr>
          <w:rFonts w:ascii="仿宋_GB2312" w:eastAsia="仿宋_GB2312"/>
          <w:sz w:val="24"/>
        </w:rPr>
      </w:pPr>
      <w:r>
        <w:rPr>
          <w:rFonts w:ascii="仿宋_GB2312" w:eastAsia="仿宋_GB2312" w:hint="eastAsia"/>
          <w:sz w:val="24"/>
        </w:rPr>
        <w:t>（2）非公开发行股票有关发行数量、发行价格、锁定期等发行资料。</w:t>
      </w:r>
    </w:p>
    <w:p w:rsidR="008F3B05" w:rsidRDefault="008F3B05">
      <w:pPr>
        <w:ind w:firstLineChars="200" w:firstLine="480"/>
        <w:rPr>
          <w:rFonts w:ascii="仿宋_GB2312" w:eastAsia="仿宋_GB2312"/>
          <w:sz w:val="24"/>
        </w:rPr>
      </w:pPr>
      <w:r>
        <w:rPr>
          <w:rFonts w:ascii="仿宋_GB2312" w:eastAsia="仿宋_GB2312" w:hint="eastAsia"/>
          <w:sz w:val="24"/>
        </w:rPr>
        <w:t>（3）非公开发行股票发行人与中国证券登记结算有限责任公司或中央国债登记结算有限责任公司签订的证券登记及服务协议。</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int="eastAsia"/>
          <w:sz w:val="24"/>
        </w:rPr>
        <w:t>（4）基金拟认购的数量、价格、总成本、账面价值。</w:t>
      </w:r>
    </w:p>
    <w:p w:rsidR="008F3B05" w:rsidRDefault="008F3B05">
      <w:pPr>
        <w:ind w:firstLineChars="200" w:firstLine="480"/>
        <w:rPr>
          <w:rFonts w:ascii="仿宋_GB2312" w:eastAsia="仿宋_GB2312"/>
          <w:sz w:val="24"/>
        </w:rPr>
      </w:pPr>
      <w:r>
        <w:rPr>
          <w:rFonts w:ascii="仿宋_GB2312" w:eastAsia="仿宋_GB2312" w:hAnsi="宋体" w:cs="Arial" w:hint="eastAsia"/>
          <w:sz w:val="24"/>
        </w:rPr>
        <w:t>4.</w:t>
      </w:r>
      <w:r>
        <w:rPr>
          <w:rFonts w:ascii="仿宋_GB2312" w:eastAsia="仿宋_GB2312" w:hint="eastAsia"/>
          <w:sz w:val="24"/>
        </w:rPr>
        <w:t xml:space="preserve"> 基金管理人应在本基金投资非公开发行股票后两个交易日内，在中国证监会指定</w:t>
      </w:r>
      <w:r w:rsidR="001709A8">
        <w:rPr>
          <w:rFonts w:ascii="仿宋_GB2312" w:eastAsia="仿宋_GB2312" w:hint="eastAsia"/>
          <w:sz w:val="24"/>
        </w:rPr>
        <w:t>媒介</w:t>
      </w:r>
      <w:r>
        <w:rPr>
          <w:rFonts w:ascii="仿宋_GB2312" w:eastAsia="仿宋_GB2312" w:hint="eastAsia"/>
          <w:sz w:val="24"/>
        </w:rPr>
        <w:t>披露所投资非公开发行股票的名称、数量、总成本、账面价值，以及总成本和账面价值占基金资产净值的比例、锁定期等信息。</w:t>
      </w:r>
    </w:p>
    <w:p w:rsidR="008F3B05" w:rsidRDefault="008F3B05">
      <w:pPr>
        <w:ind w:firstLineChars="200" w:firstLine="480"/>
        <w:rPr>
          <w:rFonts w:ascii="仿宋_GB2312" w:eastAsia="仿宋_GB2312"/>
          <w:sz w:val="24"/>
        </w:rPr>
      </w:pPr>
      <w:r>
        <w:rPr>
          <w:rFonts w:ascii="仿宋_GB2312" w:eastAsia="仿宋_GB2312" w:hint="eastAsia"/>
          <w:sz w:val="24"/>
        </w:rPr>
        <w:t>本基金有关投资受限证券比例如违反有关限制规定，在合理期限内未能进行及时调整，基金管理人应</w:t>
      </w:r>
      <w:r w:rsidR="00B11913">
        <w:rPr>
          <w:rFonts w:ascii="仿宋_GB2312" w:eastAsia="仿宋_GB2312" w:hint="eastAsia"/>
          <w:sz w:val="24"/>
        </w:rPr>
        <w:t>按规定</w:t>
      </w:r>
      <w:r>
        <w:rPr>
          <w:rFonts w:ascii="仿宋_GB2312" w:eastAsia="仿宋_GB2312" w:hint="eastAsia"/>
          <w:sz w:val="24"/>
        </w:rPr>
        <w:t>编制临时报告书，予以公告。</w:t>
      </w:r>
    </w:p>
    <w:p w:rsidR="008F3B05" w:rsidRDefault="008F3B05">
      <w:pPr>
        <w:ind w:firstLineChars="200" w:firstLine="480"/>
        <w:rPr>
          <w:rFonts w:ascii="仿宋_GB2312" w:eastAsia="仿宋_GB2312"/>
          <w:sz w:val="24"/>
        </w:rPr>
      </w:pPr>
      <w:r>
        <w:rPr>
          <w:rFonts w:ascii="仿宋_GB2312" w:eastAsia="仿宋_GB2312" w:hAnsi="宋体" w:cs="Arial" w:hint="eastAsia"/>
          <w:sz w:val="24"/>
        </w:rPr>
        <w:t>5.</w:t>
      </w:r>
      <w:r>
        <w:rPr>
          <w:rFonts w:ascii="仿宋_GB2312" w:eastAsia="仿宋_GB2312" w:hint="eastAsia"/>
          <w:sz w:val="24"/>
        </w:rPr>
        <w:t xml:space="preserve"> 基金托管人根据有关规定有权对基金管理人进行以下事项监督：</w:t>
      </w:r>
    </w:p>
    <w:p w:rsidR="008F3B05" w:rsidRDefault="008F3B05">
      <w:pPr>
        <w:ind w:firstLineChars="200" w:firstLine="480"/>
        <w:rPr>
          <w:rFonts w:ascii="仿宋_GB2312" w:eastAsia="仿宋_GB2312"/>
          <w:sz w:val="24"/>
        </w:rPr>
      </w:pPr>
      <w:r>
        <w:rPr>
          <w:rFonts w:ascii="仿宋_GB2312" w:eastAsia="仿宋_GB2312" w:hint="eastAsia"/>
          <w:sz w:val="24"/>
        </w:rPr>
        <w:t>（1）本基金投资受限证券时的法律法规遵守情况。</w:t>
      </w:r>
    </w:p>
    <w:p w:rsidR="008F3B05" w:rsidRDefault="008F3B05">
      <w:pPr>
        <w:ind w:firstLineChars="200" w:firstLine="480"/>
        <w:rPr>
          <w:rFonts w:ascii="仿宋_GB2312" w:eastAsia="仿宋_GB2312"/>
          <w:sz w:val="24"/>
        </w:rPr>
      </w:pPr>
      <w:r>
        <w:rPr>
          <w:rFonts w:ascii="仿宋_GB2312" w:eastAsia="仿宋_GB2312" w:hint="eastAsia"/>
          <w:sz w:val="24"/>
        </w:rPr>
        <w:t>（2）在基金投资受限证券管理工作方面有关制度、流动性风险处置预案的建立与完善情况。</w:t>
      </w:r>
    </w:p>
    <w:p w:rsidR="008F3B05" w:rsidRDefault="008F3B05">
      <w:pPr>
        <w:ind w:firstLineChars="200" w:firstLine="480"/>
        <w:rPr>
          <w:rFonts w:ascii="仿宋_GB2312" w:eastAsia="仿宋_GB2312"/>
          <w:sz w:val="24"/>
        </w:rPr>
      </w:pPr>
      <w:r>
        <w:rPr>
          <w:rFonts w:ascii="仿宋_GB2312" w:eastAsia="仿宋_GB2312" w:hint="eastAsia"/>
          <w:sz w:val="24"/>
        </w:rPr>
        <w:t>（3）有关比例限制的执行情况。</w:t>
      </w:r>
    </w:p>
    <w:p w:rsidR="008F3B05" w:rsidRDefault="008F3B05">
      <w:pPr>
        <w:ind w:firstLineChars="200" w:firstLine="480"/>
        <w:rPr>
          <w:rFonts w:ascii="仿宋_GB2312" w:eastAsia="仿宋_GB2312"/>
          <w:sz w:val="24"/>
        </w:rPr>
      </w:pPr>
      <w:r>
        <w:rPr>
          <w:rFonts w:ascii="仿宋_GB2312" w:eastAsia="仿宋_GB2312" w:hint="eastAsia"/>
          <w:sz w:val="24"/>
        </w:rPr>
        <w:t>（4）信息披露情况。</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6.</w:t>
      </w:r>
      <w:r>
        <w:rPr>
          <w:rFonts w:ascii="仿宋_GB2312" w:eastAsia="仿宋_GB2312" w:hint="eastAsia"/>
          <w:sz w:val="24"/>
        </w:rPr>
        <w:t>相关法律法规对基金投资受限证券有新规定的，从其规定。</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lastRenderedPageBreak/>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（九）</w:t>
      </w:r>
      <w:proofErr w:type="gramStart"/>
      <w:r>
        <w:rPr>
          <w:rFonts w:ascii="仿宋_GB2312" w:eastAsia="仿宋_GB2312" w:hAnsi="宋体" w:cs="Arial" w:hint="eastAsia"/>
          <w:sz w:val="24"/>
        </w:rPr>
        <w:t>若基金</w:t>
      </w:r>
      <w:proofErr w:type="gramEnd"/>
      <w:r>
        <w:rPr>
          <w:rFonts w:ascii="仿宋_GB2312" w:eastAsia="仿宋_GB2312"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8F3B05" w:rsidRDefault="008F3B05">
      <w:pPr>
        <w:rPr>
          <w:sz w:val="24"/>
        </w:rPr>
      </w:pPr>
    </w:p>
    <w:p w:rsidR="008F3B05" w:rsidRDefault="008F3B05">
      <w:pPr>
        <w:pStyle w:val="2"/>
        <w:jc w:val="center"/>
        <w:rPr>
          <w:rFonts w:eastAsia="宋体"/>
          <w:sz w:val="30"/>
        </w:rPr>
      </w:pPr>
      <w:bookmarkStart w:id="8" w:name="_Toc86223242"/>
      <w:bookmarkStart w:id="9" w:name="_Toc86225291"/>
      <w:bookmarkStart w:id="10" w:name="_Toc86649722"/>
      <w:bookmarkStart w:id="11" w:name="_Toc86726439"/>
      <w:bookmarkStart w:id="12" w:name="_Toc86727355"/>
      <w:bookmarkStart w:id="13" w:name="_Toc86737929"/>
      <w:bookmarkStart w:id="14" w:name="_Toc89163368"/>
      <w:bookmarkStart w:id="15" w:name="_Toc108512358"/>
      <w:bookmarkStart w:id="16" w:name="_Toc110761796"/>
      <w:bookmarkStart w:id="17" w:name="_Toc110765660"/>
      <w:bookmarkStart w:id="18" w:name="_Toc110830492"/>
      <w:bookmarkStart w:id="19" w:name="_Toc118212950"/>
      <w:bookmarkStart w:id="20" w:name="_Toc118774803"/>
      <w:bookmarkStart w:id="21" w:name="_Toc118972648"/>
      <w:bookmarkStart w:id="22" w:name="_Toc119402710"/>
      <w:bookmarkStart w:id="23" w:name="_Toc120435783"/>
      <w:bookmarkStart w:id="24" w:name="_Toc297031866"/>
      <w:r>
        <w:rPr>
          <w:rFonts w:eastAsia="宋体" w:hint="eastAsia"/>
          <w:sz w:val="30"/>
        </w:rPr>
        <w:t>四、基金管理人对基金托管人的业务核查</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仿宋_GB2312" w:eastAsia="仿宋_GB2312" w:hAnsi="宋体" w:cs="Arial" w:hint="eastAsia"/>
          <w:sz w:val="24"/>
        </w:rPr>
        <w:t>供基金</w:t>
      </w:r>
      <w:proofErr w:type="gramEnd"/>
      <w:r>
        <w:rPr>
          <w:rFonts w:ascii="仿宋_GB2312" w:eastAsia="仿宋_GB2312" w:hAnsi="宋体" w:cs="Arial" w:hint="eastAsia"/>
          <w:sz w:val="24"/>
        </w:rPr>
        <w:t>管理人核查托管财产的完整性和真实性，在规定时间内答复基金管理人并改正。</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8F3B05" w:rsidRDefault="008F3B05">
      <w:pPr>
        <w:rPr>
          <w:sz w:val="24"/>
        </w:rPr>
      </w:pPr>
    </w:p>
    <w:p w:rsidR="008F3B05" w:rsidRDefault="008F3B05">
      <w:pPr>
        <w:pStyle w:val="2"/>
        <w:jc w:val="center"/>
        <w:rPr>
          <w:rFonts w:eastAsia="宋体"/>
          <w:sz w:val="30"/>
        </w:rPr>
      </w:pPr>
      <w:bookmarkStart w:id="25" w:name="_Toc84133786"/>
      <w:bookmarkStart w:id="26" w:name="_Toc84234388"/>
      <w:bookmarkStart w:id="27" w:name="_Toc84234435"/>
      <w:bookmarkStart w:id="28" w:name="_Toc86204789"/>
      <w:bookmarkStart w:id="29" w:name="_Toc86223243"/>
      <w:bookmarkStart w:id="30" w:name="_Toc86225292"/>
      <w:bookmarkStart w:id="31" w:name="_Toc86649723"/>
      <w:bookmarkStart w:id="32" w:name="_Toc86726440"/>
      <w:bookmarkStart w:id="33" w:name="_Toc86727356"/>
      <w:bookmarkStart w:id="34" w:name="_Toc86737930"/>
      <w:bookmarkStart w:id="35" w:name="_Toc89163369"/>
      <w:bookmarkStart w:id="36" w:name="_Toc108512359"/>
      <w:bookmarkStart w:id="37" w:name="_Toc110761797"/>
      <w:bookmarkStart w:id="38" w:name="_Toc110765661"/>
      <w:bookmarkStart w:id="39" w:name="_Toc110830493"/>
      <w:bookmarkStart w:id="40" w:name="_Toc118212951"/>
      <w:bookmarkStart w:id="41" w:name="_Toc118774804"/>
      <w:bookmarkStart w:id="42" w:name="_Toc118972649"/>
      <w:bookmarkStart w:id="43" w:name="_Toc119402711"/>
      <w:bookmarkStart w:id="44" w:name="_Toc120435784"/>
      <w:bookmarkStart w:id="45" w:name="_Toc297031867"/>
      <w:r>
        <w:rPr>
          <w:rFonts w:eastAsia="宋体" w:hint="eastAsia"/>
          <w:sz w:val="30"/>
        </w:rPr>
        <w:t>五、基金财产的保管</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（一）基金财产保管的原则</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1.基金财产应独立于基金管理人、基金托管人的固有财产。</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2.基金托管人应安全保管基金财产。</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3.基金托管人按照规定开设基金财产的资金账户和证券账户。</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lastRenderedPageBreak/>
        <w:t>4.基金托管人对所托管的不同基金财产分别设置账户，确保基金财产的完整与独立。</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5.基金托管人按照基金合同和本协议的约定保管基金财产，如有特殊情况双方可另行协商解决。</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基金托管人未经基金管理人的指令，不得自行运用、处分、分配本基金的任何资产（不包含基金托管人依据中国结算公司结算数据完成场内交易交收、托管资产开户银行扣收结算费和账户维护费等费用）。</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6.对于因为基金投资产生的应收资产，应由基金管理人负责与有关当事人确定到账日期通知并有义务配合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7.除依据法律法规和基金合同的规定外，基金托管人不得委托第三人托管基金财产。</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（二）基金募集期间及募集资金的验资</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1.基金募集期间募集的资金应存于基金管理人在基金托管人的营业机构开立的“基金募集专户”。该账户由基金管理人开立并管理。</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3.</w:t>
      </w:r>
      <w:proofErr w:type="gramStart"/>
      <w:r>
        <w:rPr>
          <w:rFonts w:ascii="仿宋_GB2312" w:eastAsia="仿宋_GB2312" w:hAnsi="宋体" w:cs="Arial" w:hint="eastAsia"/>
          <w:sz w:val="24"/>
        </w:rPr>
        <w:t>若基金</w:t>
      </w:r>
      <w:proofErr w:type="gramEnd"/>
      <w:r>
        <w:rPr>
          <w:rFonts w:ascii="仿宋_GB2312" w:eastAsia="仿宋_GB2312" w:hAnsi="宋体" w:cs="Arial" w:hint="eastAsia"/>
          <w:sz w:val="24"/>
        </w:rPr>
        <w:t>募集期限届满，未能达到基金合同生效的条件，由基金管理人按规定办理退款等事宜。</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（三）基金银行账户的开立和管理</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1.基金托管人可以基金的名义在其营业机构开立基金的银行账户，并根据基金管理人合法合</w:t>
      </w:r>
      <w:proofErr w:type="gramStart"/>
      <w:r>
        <w:rPr>
          <w:rFonts w:ascii="仿宋_GB2312" w:eastAsia="仿宋_GB2312" w:hAnsi="宋体" w:cs="Arial" w:hint="eastAsia"/>
          <w:sz w:val="24"/>
        </w:rPr>
        <w:t>规</w:t>
      </w:r>
      <w:proofErr w:type="gramEnd"/>
      <w:r>
        <w:rPr>
          <w:rFonts w:ascii="仿宋_GB2312" w:eastAsia="仿宋_GB2312" w:hAnsi="宋体" w:cs="Arial" w:hint="eastAsia"/>
          <w:sz w:val="24"/>
        </w:rPr>
        <w:t>的指令办理资金收付。本基金的银行预留印鉴由基金托管人保管和使用。</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3.基金银行账户的开立和管理应符合银行业监督管理机构的有关规定。</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4.在符合法律法规规定的条件下，基金托管人可以通过基金托管人专用账户办理基金资产的支付。</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（四）基金证券账户和结算备付金账户的开立和管理</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1.基金托管人在中国证券登记结算有限责任公司上海分公司、深圳分公司为基金开立基金托管人与基金联名的证券账户。</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3.基金证券账户的开立和证券账户卡的保管由基金托管人负责，账户资产的管理和运用由基金管理人负责。</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4.基金托管人以基金托管人的名义在中国证券登记结算有限责任公司开立结算备付金账户，并代表所托管的基金完成与中国证券登记结算有限责任公司的一</w:t>
      </w:r>
      <w:r>
        <w:rPr>
          <w:rFonts w:ascii="仿宋_GB2312" w:eastAsia="仿宋_GB2312" w:hAnsi="宋体" w:cs="Arial" w:hint="eastAsia"/>
          <w:sz w:val="24"/>
        </w:rPr>
        <w:lastRenderedPageBreak/>
        <w:t>级法人清算工作，基金管理人应予以积极协助。结算备付金、结算互保基金、交收价差资金等的收取按照中国证券登记结算有限责任公司的规定执行。</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5.若中国证监会或其他监管机构在本托管协议订立日之后允许基金从事其他投资品种的投资业务，涉及相关账户的开立、使用的，若无相关规定，</w:t>
      </w:r>
      <w:proofErr w:type="gramStart"/>
      <w:r>
        <w:rPr>
          <w:rFonts w:ascii="仿宋_GB2312" w:eastAsia="仿宋_GB2312" w:hAnsi="宋体" w:cs="Arial" w:hint="eastAsia"/>
          <w:sz w:val="24"/>
        </w:rPr>
        <w:t>则基金</w:t>
      </w:r>
      <w:proofErr w:type="gramEnd"/>
      <w:r>
        <w:rPr>
          <w:rFonts w:ascii="仿宋_GB2312" w:eastAsia="仿宋_GB2312" w:hAnsi="宋体" w:cs="Arial" w:hint="eastAsia"/>
          <w:sz w:val="24"/>
        </w:rPr>
        <w:t>托管人比照上述关于账户开立、使用的规定执行。</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（五）债券托管专户的开设和管理</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（六）其他账户的开立和管理</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1.因业务发展需要而开立的其他账户，可以根据法律法规和基金合同的规定，由基金托管人负责开立。新账户按有关规定使用并管理。</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2.法律法规等有关规定对相关账户的开立和管理另有规定的，从其规定办理。</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（七）基金财产投资的有关有价凭证等的保管</w:t>
      </w:r>
    </w:p>
    <w:p w:rsidR="008F3B05" w:rsidRDefault="008F3B05">
      <w:pPr>
        <w:adjustRightInd w:val="0"/>
        <w:snapToGrid w:val="0"/>
        <w:ind w:firstLineChars="200" w:firstLine="480"/>
        <w:rPr>
          <w:rFonts w:ascii="仿宋_GB2312" w:eastAsia="仿宋_GB2312" w:hAnsi="宋体" w:cs="Arial"/>
        </w:rPr>
      </w:pPr>
      <w:r>
        <w:rPr>
          <w:rFonts w:ascii="仿宋_GB2312" w:eastAsia="仿宋_GB2312" w:hAnsi="宋体" w:cs="Arial" w:hint="eastAsia"/>
          <w:sz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（八）与基金财产有关的重大合同的保管</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8F3B05" w:rsidRDefault="008F3B05">
      <w:pPr>
        <w:adjustRightInd w:val="0"/>
        <w:snapToGrid w:val="0"/>
        <w:ind w:firstLineChars="200" w:firstLine="480"/>
        <w:rPr>
          <w:rFonts w:eastAsia="方正仿宋简体"/>
          <w:sz w:val="30"/>
          <w:szCs w:val="30"/>
        </w:rPr>
      </w:pPr>
      <w:r>
        <w:rPr>
          <w:rFonts w:ascii="仿宋_GB2312" w:eastAsia="仿宋_GB2312" w:hAnsi="宋体" w:cs="Arial" w:hint="eastAsia"/>
          <w:sz w:val="24"/>
        </w:rPr>
        <w:t>对于无法取得二份以上的正本的，基金管理人应向基金托管人提供加盖授权业务章的合同传真件，未经双方协商或未在合同约定范围内，合同原件不得转移。</w:t>
      </w:r>
    </w:p>
    <w:p w:rsidR="008F3B05" w:rsidRDefault="008F3B05">
      <w:pPr>
        <w:rPr>
          <w:sz w:val="24"/>
        </w:rPr>
      </w:pPr>
    </w:p>
    <w:p w:rsidR="008F3B05" w:rsidRDefault="008F3B05">
      <w:pPr>
        <w:pStyle w:val="2"/>
        <w:jc w:val="center"/>
        <w:rPr>
          <w:rFonts w:eastAsia="宋体"/>
          <w:sz w:val="30"/>
        </w:rPr>
      </w:pPr>
      <w:bookmarkStart w:id="46" w:name="_Toc84133787"/>
      <w:bookmarkStart w:id="47" w:name="_Toc84234389"/>
      <w:bookmarkStart w:id="48" w:name="_Toc84234436"/>
      <w:bookmarkStart w:id="49" w:name="_Toc86204790"/>
      <w:bookmarkStart w:id="50" w:name="_Toc86223244"/>
      <w:bookmarkStart w:id="51" w:name="_Toc86225293"/>
      <w:bookmarkStart w:id="52" w:name="_Toc86649724"/>
      <w:bookmarkStart w:id="53" w:name="_Toc86726441"/>
      <w:bookmarkStart w:id="54" w:name="_Toc86727357"/>
      <w:bookmarkStart w:id="55" w:name="_Toc86737931"/>
      <w:bookmarkStart w:id="56" w:name="_Toc89163370"/>
      <w:bookmarkStart w:id="57" w:name="_Toc108512360"/>
      <w:bookmarkStart w:id="58" w:name="_Toc110761798"/>
      <w:bookmarkStart w:id="59" w:name="_Toc110765662"/>
      <w:bookmarkStart w:id="60" w:name="_Toc110830494"/>
      <w:bookmarkStart w:id="61" w:name="_Toc118212952"/>
      <w:bookmarkStart w:id="62" w:name="_Toc118774805"/>
      <w:bookmarkStart w:id="63" w:name="_Toc118972650"/>
      <w:bookmarkStart w:id="64" w:name="_Toc119402712"/>
      <w:bookmarkStart w:id="65" w:name="_Toc120435785"/>
      <w:bookmarkStart w:id="66" w:name="_Toc297031868"/>
      <w:r>
        <w:rPr>
          <w:rFonts w:eastAsia="宋体" w:hint="eastAsia"/>
          <w:sz w:val="30"/>
        </w:rPr>
        <w:t>六、指令的发送、确认及执行</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基金管理人在运用基金财产时向基金托管人发</w:t>
      </w:r>
      <w:bookmarkStart w:id="67" w:name="_GoBack"/>
      <w:bookmarkEnd w:id="67"/>
      <w:r>
        <w:rPr>
          <w:rFonts w:ascii="仿宋_GB2312" w:eastAsia="仿宋_GB2312" w:hAnsi="宋体" w:cs="Arial" w:hint="eastAsia"/>
          <w:sz w:val="24"/>
        </w:rPr>
        <w:t>送资金划拨及其他款项付款指令，基金托管人执行基金管理人的指令、办理基金名下的资金往来等有关事项。</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（一）基金管理人对发送指令人员的书面授权</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1.基金管理人应指定专人向基金托管人发送指令。</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2.基金管理人应向基金托管人提供书面授权文件，内容包括被授权人名单、预留印鉴及被授权人签字样本，授权文件应注明被授权人相应的权限。</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3.基金托管人在收到授权文件原件并经电话确认后，授权文件即生效。如果授权文件中载明具体生效时间的，该生效时间不得早于资产托管人收到授权文件并经电话确认的时点。如早于，则以资产托管人收到授权文件并经电话确认的时</w:t>
      </w:r>
      <w:r>
        <w:rPr>
          <w:rFonts w:ascii="仿宋_GB2312" w:eastAsia="仿宋_GB2312" w:hAnsi="宋体" w:cs="Arial" w:hint="eastAsia"/>
          <w:sz w:val="24"/>
        </w:rPr>
        <w:lastRenderedPageBreak/>
        <w:t>点为授权文件的生效时间。</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4.基金管理人和基金托管人对授权文件负有保密义务，其内容不得向被授权人及相关操作人员以外的任何人泄漏。但法律法规规定或有权机关要求的除外。</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（二）指令的内容</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1.指令包括付款指令以及其他资金划拨指令等。</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2.基金管理人发给基金托管人的指令应写明款项事由、支付时间、到账时间、金额、账户等，加盖预留印鉴并由被授权人签字。</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（三）指令的发送、确认及执行的时间和程序</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1.指令的发送</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基金管理人发送指令应采用加密传真方式或双方协商一致的其他方式。</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指令发出后，基金管理人应及时以电话方式向基金托管人确认。</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基金管理人应在交易结束后将银行间同业市场债券交易成交单加盖印章后及时传真给基金托管人，并电话确认。如果银行间簿记系统已经生成的交易需要取消或终止，基金管理人要书面通知基金托管人。</w:t>
      </w:r>
    </w:p>
    <w:p w:rsidR="008F3B05" w:rsidRDefault="008F3B05">
      <w:pPr>
        <w:adjustRightInd w:val="0"/>
        <w:snapToGrid w:val="0"/>
        <w:ind w:firstLine="480"/>
        <w:rPr>
          <w:rFonts w:ascii="仿宋_GB2312" w:eastAsia="仿宋_GB2312" w:hAnsi="宋体" w:cs="Arial"/>
        </w:rPr>
      </w:pPr>
      <w:r>
        <w:rPr>
          <w:rFonts w:ascii="仿宋_GB2312" w:eastAsia="仿宋_GB2312" w:hAnsi="宋体" w:cs="Arial" w:hint="eastAsia"/>
          <w:sz w:val="24"/>
        </w:rPr>
        <w:t>基金管理人应于划款前一日向基金托管人发送投资划款指令并确认，如需在划款当日下达投资划款指令，在发送指令时，应为基金托管人留出执行指令所必需的时间。指令传输不及时、未能留出足够的划款时间，致使资金未能及时到账所造成的损失由基金管理人承担。</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2.指令的确认</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通知基金管理人。</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3.指令的时间和执行</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基金托管人对指令验证后，应及时办理。指令执行完毕后，基金托管人应及时通知基金管理人。</w:t>
      </w:r>
    </w:p>
    <w:p w:rsidR="008F3B05" w:rsidRDefault="008F3B05">
      <w:pPr>
        <w:pStyle w:val="a7"/>
        <w:spacing w:line="240" w:lineRule="auto"/>
        <w:ind w:firstLineChars="0"/>
        <w:rPr>
          <w:rFonts w:ascii="仿宋_GB2312" w:eastAsia="仿宋_GB2312" w:hAnsi="宋体" w:cs="Arial"/>
          <w:szCs w:val="24"/>
          <w:shd w:val="pct10" w:color="auto" w:fill="FFFFFF"/>
        </w:rPr>
      </w:pPr>
      <w:r>
        <w:rPr>
          <w:rFonts w:ascii="仿宋_GB2312" w:eastAsia="仿宋_GB2312" w:hAnsi="宋体" w:cs="Arial" w:hint="eastAsia"/>
          <w:szCs w:val="24"/>
        </w:rPr>
        <w:t>基金管理人向基金托管人下达指令时，应确保基金资金账户有足够的资金余额，对基金管理人在没有充足资金的情况下向基金托管人发出的指令，基金托管人可不予执行，但应立即通知基金管理人，由基金管理人审核、查明原因，出具书面文件确认此交易指令无效。基金托管人不承担因未执行该指令造成损失的责任。</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（四）基金管理人发送错误指令的情形和处理程序</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基金管理人发送错误指令的情形包括指令违反法律法规和基金合同，指令发送人员无权或超越权限发送指令。</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基金托管人在履行监督职能时，发现基金管理人的指令错误时，有权拒绝执行，并及时通知基金管理人改正。如需撤销指令，基金管理人应出具书面说明，并加盖业务用章。</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（五）基金托管人依照法律法规暂缓、拒绝执行指令的情形和处理程序</w:t>
      </w:r>
    </w:p>
    <w:p w:rsidR="008F3B05" w:rsidRDefault="008F3B05">
      <w:pPr>
        <w:adjustRightInd w:val="0"/>
        <w:snapToGrid w:val="0"/>
        <w:ind w:firstLine="480"/>
        <w:rPr>
          <w:rFonts w:ascii="仿宋_GB2312" w:eastAsia="仿宋_GB2312" w:hAnsi="宋体" w:cs="Arial"/>
          <w:sz w:val="24"/>
        </w:rPr>
      </w:pPr>
      <w:proofErr w:type="gramStart"/>
      <w:r>
        <w:rPr>
          <w:rFonts w:ascii="仿宋_GB2312" w:eastAsia="仿宋_GB2312" w:hAnsi="宋体" w:cs="Arial" w:hint="eastAsia"/>
          <w:sz w:val="24"/>
        </w:rPr>
        <w:lastRenderedPageBreak/>
        <w:t>若基金</w:t>
      </w:r>
      <w:proofErr w:type="gramEnd"/>
      <w:r>
        <w:rPr>
          <w:rFonts w:ascii="仿宋_GB2312" w:eastAsia="仿宋_GB2312" w:hAnsi="宋体" w:cs="Arial" w:hint="eastAsia"/>
          <w:sz w:val="24"/>
        </w:rPr>
        <w:t>托管人发现基金管理人的指令违反法律法规，或者违反基金合同约定的，应当拒绝执行，立即通知基金管理人。</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（六）基金托管人未按照基金管理人指令执行的处理方法</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基金托管人由于自身原因，未按照基金管理人发送的指令执行并对基金财产或投资人造成的直接损失，由基金托管人</w:t>
      </w:r>
      <w:r>
        <w:rPr>
          <w:rFonts w:eastAsia="仿宋_GB2312" w:hint="eastAsia"/>
          <w:sz w:val="24"/>
        </w:rPr>
        <w:t>赔偿由此造成的直接损失</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（七）更换被授权人员的程序</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基金管理人更换被授权人、更改或终止对被授权人的授权，应立即将新的授权文件以传真方式通知资产托管人，并经电话确认后生效，原授权文件同时废止。新的授权文件在传真发出后七个工作日内送达文件正本。新的授权文件生效之后，正本送达之前，资产托管人按照新的授权文件传真</w:t>
      </w:r>
      <w:proofErr w:type="gramStart"/>
      <w:r>
        <w:rPr>
          <w:rFonts w:ascii="仿宋_GB2312" w:eastAsia="仿宋_GB2312" w:hAnsi="宋体" w:cs="Arial" w:hint="eastAsia"/>
          <w:sz w:val="24"/>
        </w:rPr>
        <w:t>件内容</w:t>
      </w:r>
      <w:proofErr w:type="gramEnd"/>
      <w:r>
        <w:rPr>
          <w:rFonts w:ascii="仿宋_GB2312" w:eastAsia="仿宋_GB2312" w:hAnsi="宋体" w:cs="Arial" w:hint="eastAsia"/>
          <w:sz w:val="24"/>
        </w:rPr>
        <w:t>执行有关业务，如果新的授权文件正本与传真</w:t>
      </w:r>
      <w:proofErr w:type="gramStart"/>
      <w:r>
        <w:rPr>
          <w:rFonts w:ascii="仿宋_GB2312" w:eastAsia="仿宋_GB2312" w:hAnsi="宋体" w:cs="Arial" w:hint="eastAsia"/>
          <w:sz w:val="24"/>
        </w:rPr>
        <w:t>件内容</w:t>
      </w:r>
      <w:proofErr w:type="gramEnd"/>
      <w:r>
        <w:rPr>
          <w:rFonts w:ascii="仿宋_GB2312" w:eastAsia="仿宋_GB2312" w:hAnsi="宋体" w:cs="Arial" w:hint="eastAsia"/>
          <w:sz w:val="24"/>
        </w:rPr>
        <w:t>不同，由此产生的责任由资产管理人承担</w:t>
      </w:r>
      <w:r>
        <w:rPr>
          <w:rFonts w:hint="eastAsia"/>
          <w:sz w:val="24"/>
        </w:rPr>
        <w:t>。</w:t>
      </w:r>
      <w:r>
        <w:rPr>
          <w:rFonts w:ascii="仿宋_GB2312" w:eastAsia="仿宋_GB2312" w:hAnsi="宋体" w:cs="Arial" w:hint="eastAsia"/>
          <w:sz w:val="24"/>
        </w:rPr>
        <w:t>基金托管人更换接受基金管理人指令的人员，应提前通过录音电话通知基金管理人。</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（八）其他事项</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8F3B05" w:rsidRDefault="008F3B05">
      <w:pPr>
        <w:adjustRightInd w:val="0"/>
        <w:snapToGrid w:val="0"/>
        <w:rPr>
          <w:rFonts w:ascii="仿宋_GB2312" w:eastAsia="仿宋_GB2312" w:hAnsi="宋体" w:cs="Arial"/>
          <w:sz w:val="24"/>
        </w:rPr>
      </w:pPr>
      <w:r>
        <w:rPr>
          <w:rFonts w:ascii="仿宋_GB2312" w:eastAsia="仿宋_GB2312" w:hAnsi="宋体" w:cs="Arial" w:hint="eastAsia"/>
          <w:sz w:val="24"/>
        </w:rPr>
        <w:t xml:space="preserve">    基金参与认购未上市债券时，基金管理人应代表本基金与对手方签署相关合同或协议，明确约定债券过户具体事宜。否则，基金管理人需对所认购债券的过户事宜承担相应责任。</w:t>
      </w:r>
    </w:p>
    <w:p w:rsidR="008F3B05" w:rsidRDefault="008F3B05">
      <w:pPr>
        <w:pStyle w:val="2"/>
        <w:jc w:val="center"/>
        <w:rPr>
          <w:rFonts w:eastAsia="宋体"/>
          <w:sz w:val="30"/>
        </w:rPr>
      </w:pPr>
      <w:bookmarkStart w:id="68" w:name="_Toc84133788"/>
      <w:bookmarkStart w:id="69" w:name="_Toc84234390"/>
      <w:bookmarkStart w:id="70" w:name="_Toc84234437"/>
      <w:bookmarkStart w:id="71" w:name="_Toc86204791"/>
      <w:bookmarkStart w:id="72" w:name="_Toc86223245"/>
      <w:bookmarkStart w:id="73" w:name="_Toc86225294"/>
      <w:bookmarkStart w:id="74" w:name="_Toc86649725"/>
      <w:bookmarkStart w:id="75" w:name="_Toc86726442"/>
      <w:bookmarkStart w:id="76" w:name="_Toc86727358"/>
      <w:bookmarkStart w:id="77" w:name="_Toc86737932"/>
      <w:bookmarkStart w:id="78" w:name="_Toc89163371"/>
      <w:bookmarkStart w:id="79" w:name="_Toc108512361"/>
      <w:bookmarkStart w:id="80" w:name="_Toc110761799"/>
      <w:bookmarkStart w:id="81" w:name="_Toc110765663"/>
      <w:bookmarkStart w:id="82" w:name="_Toc110830495"/>
      <w:bookmarkStart w:id="83" w:name="_Toc118212953"/>
      <w:bookmarkStart w:id="84" w:name="_Toc118774806"/>
      <w:bookmarkStart w:id="85" w:name="_Toc118972651"/>
      <w:bookmarkStart w:id="86" w:name="_Toc119402713"/>
      <w:bookmarkStart w:id="87" w:name="_Toc120435786"/>
      <w:bookmarkStart w:id="88" w:name="_Toc297031869"/>
      <w:r>
        <w:rPr>
          <w:rFonts w:eastAsia="宋体" w:hint="eastAsia"/>
          <w:sz w:val="30"/>
        </w:rPr>
        <w:t>七、交易及清算交收安排</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（一）选择证券买卖的证券经营机构</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相关协议，基金管理人应提前通知基金托管人，并根据证券交易所的要求提供相关申请表格并及时送达基金托管人，确保基金托管人申请接收结算数据。交易单元保证金由被选中的证券经营机构交付。基金管理人应根据有关规定，在基金的</w:t>
      </w:r>
      <w:r w:rsidR="00FC1F7C">
        <w:rPr>
          <w:rFonts w:ascii="仿宋_GB2312" w:eastAsia="仿宋_GB2312" w:hAnsi="宋体" w:cs="Arial" w:hint="eastAsia"/>
          <w:sz w:val="24"/>
        </w:rPr>
        <w:t>中期</w:t>
      </w:r>
      <w:r>
        <w:rPr>
          <w:rFonts w:ascii="仿宋_GB2312" w:eastAsia="仿宋_GB2312" w:hAnsi="宋体" w:cs="Arial" w:hint="eastAsia"/>
          <w:sz w:val="24"/>
        </w:rPr>
        <w:t>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（二）基金投资证券后的清算交收安排</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1.清算与交割</w:t>
      </w:r>
    </w:p>
    <w:p w:rsidR="008F3B05" w:rsidRDefault="008F3B05">
      <w:pPr>
        <w:adjustRightInd w:val="0"/>
        <w:snapToGrid w:val="0"/>
        <w:ind w:firstLine="480"/>
        <w:rPr>
          <w:rFonts w:ascii="仿宋_GB2312" w:eastAsia="仿宋_GB2312" w:hAnsi="宋体" w:cs="Arial"/>
          <w:sz w:val="24"/>
        </w:rPr>
      </w:pPr>
      <w:r>
        <w:rPr>
          <w:rFonts w:ascii="仿宋_GB2312" w:eastAsia="仿宋_GB2312" w:hint="eastAsia"/>
          <w:sz w:val="24"/>
        </w:rPr>
        <w:t>根据《中国证券登记结算有限责任公司结算备付金管理办法》，在每月前3个工作日内，中国证券登记结算公司对结算参与人的最低结算备付金限额进行重新核算、调整。基金托管人在中国证券登记结算公司调整最低结算备付金当日，在资金调节表中反映调整后的最低备付金。基金管理人应预留最低备付金，并根据中国证券登记结算公司确定的实际下月最低备付金数据为依据安排资金运作，调整所需的现金头寸。</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如果因为基金托管人自身原因在清算上造成基金财产的损失，应由基金托管</w:t>
      </w:r>
      <w:r>
        <w:rPr>
          <w:rFonts w:ascii="仿宋_GB2312" w:eastAsia="仿宋_GB2312" w:hAnsi="宋体" w:cs="Arial" w:hint="eastAsia"/>
          <w:sz w:val="24"/>
        </w:rPr>
        <w:lastRenderedPageBreak/>
        <w:t>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等原因造成基金投资清算困难和风险的，基金托管人发现后应立即通知基金管理人，由基金管理人负责解决，由此给基金托管人、本基金和基金托管人托管的其他资产造成的直接损失由基金管理人承担。</w:t>
      </w:r>
    </w:p>
    <w:p w:rsidR="008F3B05" w:rsidRDefault="008F3B05">
      <w:pPr>
        <w:adjustRightInd w:val="0"/>
        <w:snapToGrid w:val="0"/>
        <w:ind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基金管理人应采取合理、必要措施，确保T日日终有足够的资金头寸完成 T+1日的投资交易资金结算；如因基金管理</w:t>
      </w:r>
      <w:proofErr w:type="gramStart"/>
      <w:r>
        <w:rPr>
          <w:rFonts w:ascii="仿宋_GB2312" w:eastAsia="仿宋_GB2312" w:hAnsi="宋体" w:cs="宋体" w:hint="eastAsia"/>
          <w:color w:val="000000"/>
          <w:kern w:val="0"/>
          <w:sz w:val="24"/>
        </w:rPr>
        <w:t>人原因</w:t>
      </w:r>
      <w:proofErr w:type="gramEnd"/>
      <w:r>
        <w:rPr>
          <w:rFonts w:ascii="仿宋_GB2312" w:eastAsia="仿宋_GB2312" w:hAnsi="宋体" w:cs="宋体" w:hint="eastAsia"/>
          <w:color w:val="000000"/>
          <w:kern w:val="0"/>
          <w:sz w:val="24"/>
        </w:rPr>
        <w:t>导致资金头寸不足，基金管理人应在T+1日上午10：00前补足透支款项，确保资金清算。如果未遵循上述规定备足资金头寸，影响基金资产的清算交收及基金托管人与中国证券登记结算有限公司之间的一级清算，由此给基金托管人、基金资产及基金托管人托管的其他资产造成的直接损失由基金管理人负责。</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基金管理人应保证基金托管人在执行基金管理人发送的划款指令时，基金银行账户或资金交收账户(</w:t>
      </w:r>
      <w:proofErr w:type="gramStart"/>
      <w:r>
        <w:rPr>
          <w:rFonts w:ascii="仿宋_GB2312" w:eastAsia="仿宋_GB2312" w:hAnsi="宋体" w:cs="Arial" w:hint="eastAsia"/>
          <w:sz w:val="24"/>
        </w:rPr>
        <w:t>除登记公司收保或</w:t>
      </w:r>
      <w:proofErr w:type="gramEnd"/>
      <w:r>
        <w:rPr>
          <w:rFonts w:ascii="仿宋_GB2312" w:eastAsia="仿宋_GB2312" w:hAnsi="宋体" w:cs="Arial" w:hint="eastAsia"/>
          <w:sz w:val="24"/>
        </w:rPr>
        <w:t>冻结资金外)上有充足的资金。基金的资金头寸不足时，基金托管人有权拒绝基金管理人发送的划款指令并通知基金管理人。基金管理人在发送划款指令时应充分考虑基金托管人的划款处理时间。在基金资金头寸充足的情况下，基金托管人对基金管理人符合法律法规、基金合同、本协议的指令不得拖延或拒绝执行。</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2. 交易记录、资金和证券账目核对的时间和方式</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（1）交易记录的核对</w:t>
      </w:r>
    </w:p>
    <w:p w:rsidR="008F3B05" w:rsidRDefault="008F3B05">
      <w:pPr>
        <w:adjustRightInd w:val="0"/>
        <w:snapToGrid w:val="0"/>
        <w:rPr>
          <w:rFonts w:ascii="仿宋_GB2312" w:eastAsia="仿宋_GB2312" w:hAnsi="宋体" w:cs="Arial"/>
          <w:sz w:val="24"/>
        </w:rPr>
      </w:pPr>
      <w:r>
        <w:rPr>
          <w:rFonts w:ascii="仿宋_GB2312" w:eastAsia="仿宋_GB2312"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（2）资金账目的核对</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资金账目按日核实。</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（3）证券账目的核对</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基金管理人和基金托管人每交易日结束后核对基金证券账目，确保双方账目相符。基金管理人和基金托管人每月月末核对实物证券账目。</w:t>
      </w:r>
    </w:p>
    <w:p w:rsidR="008F3B05" w:rsidRDefault="008F3B05">
      <w:pPr>
        <w:adjustRightInd w:val="0"/>
        <w:snapToGrid w:val="0"/>
        <w:ind w:firstLine="480"/>
        <w:outlineLvl w:val="0"/>
        <w:rPr>
          <w:rFonts w:ascii="仿宋_GB2312" w:eastAsia="仿宋_GB2312" w:hAnsi="宋体" w:cs="Arial"/>
          <w:sz w:val="24"/>
        </w:rPr>
      </w:pPr>
      <w:r>
        <w:rPr>
          <w:rFonts w:ascii="仿宋_GB2312" w:eastAsia="仿宋_GB2312" w:hAnsi="宋体" w:cs="Arial" w:hint="eastAsia"/>
          <w:sz w:val="24"/>
        </w:rPr>
        <w:t>（三）基金申购和赎回业务处理的基本规定</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1.基金份额申购、赎回的确认、清算由基金管理人或其委托的注册登记机构负责。</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3.基金管理人应保证本基金（或本基金管理人委托）的注册登记机构每个工作日15:00前向基金托管人发送前一开放</w:t>
      </w:r>
      <w:proofErr w:type="gramStart"/>
      <w:r>
        <w:rPr>
          <w:rFonts w:ascii="仿宋_GB2312" w:eastAsia="仿宋_GB2312" w:hAnsi="宋体" w:cs="Arial" w:hint="eastAsia"/>
          <w:sz w:val="24"/>
        </w:rPr>
        <w:t>日上述</w:t>
      </w:r>
      <w:proofErr w:type="gramEnd"/>
      <w:r>
        <w:rPr>
          <w:rFonts w:ascii="仿宋_GB2312" w:eastAsia="仿宋_GB2312" w:hAnsi="宋体" w:cs="Arial" w:hint="eastAsia"/>
          <w:sz w:val="24"/>
        </w:rPr>
        <w:t>有关数据，并保证相关数据的准确、完整。</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lastRenderedPageBreak/>
        <w:t>5.如基金管理人委托其他机构办理本基金的注册登记业务，应保证上述相关事宜按时进行。否则，由基金管理人承担相应的责任。</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6.关于清算专用账户的设立和管理</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为满足申购、赎回及分红资金汇划的需要，由基金管理人开立资金清算的专用账户，该账户由注册登记机构管理。</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8.赎回和分红资金划拨规定</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拨付</w:t>
      </w:r>
      <w:proofErr w:type="gramStart"/>
      <w:r>
        <w:rPr>
          <w:rFonts w:ascii="仿宋_GB2312" w:eastAsia="仿宋_GB2312" w:hAnsi="宋体" w:cs="Arial" w:hint="eastAsia"/>
          <w:sz w:val="24"/>
        </w:rPr>
        <w:t>赎回款</w:t>
      </w:r>
      <w:proofErr w:type="gramEnd"/>
      <w:r>
        <w:rPr>
          <w:rFonts w:ascii="仿宋_GB2312" w:eastAsia="仿宋_GB2312" w:hAnsi="宋体" w:cs="Arial" w:hint="eastAsia"/>
          <w:sz w:val="24"/>
        </w:rPr>
        <w:t>或进行基金分红时，如基金资金账户有足够的资金，基金托管人应按时拨付；因基金资金账户没有足够的资金，导致基金托管人不能按时拨付，如</w:t>
      </w:r>
      <w:proofErr w:type="gramStart"/>
      <w:r>
        <w:rPr>
          <w:rFonts w:ascii="仿宋_GB2312" w:eastAsia="仿宋_GB2312" w:hAnsi="宋体" w:cs="Arial" w:hint="eastAsia"/>
          <w:sz w:val="24"/>
        </w:rPr>
        <w:t>系基金</w:t>
      </w:r>
      <w:proofErr w:type="gramEnd"/>
      <w:r>
        <w:rPr>
          <w:rFonts w:ascii="仿宋_GB2312" w:eastAsia="仿宋_GB2312" w:hAnsi="宋体" w:cs="Arial" w:hint="eastAsia"/>
          <w:sz w:val="24"/>
        </w:rPr>
        <w:t>管理人的原因造成，责任由基金管理人承担，基金托管人不承担垫款义务。</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9.资金指令</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除申购款项到达基金资金账户需双方按约定方式对账外，回购到期付款和与投资有关的付款、赎回和分红资金划拨时，基金管理人需向基金托管人下达指令。</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资金指令的格式、内容、发送、接收和确认方式等与投资指令相同。</w:t>
      </w:r>
    </w:p>
    <w:p w:rsidR="008F3B05" w:rsidRDefault="008F3B05">
      <w:pPr>
        <w:adjustRightInd w:val="0"/>
        <w:snapToGrid w:val="0"/>
        <w:ind w:firstLine="480"/>
        <w:outlineLvl w:val="0"/>
        <w:rPr>
          <w:rFonts w:ascii="仿宋_GB2312" w:eastAsia="仿宋_GB2312" w:hAnsi="宋体" w:cs="Arial"/>
          <w:sz w:val="24"/>
        </w:rPr>
      </w:pPr>
      <w:r>
        <w:rPr>
          <w:rFonts w:ascii="仿宋_GB2312" w:eastAsia="仿宋_GB2312" w:hAnsi="宋体" w:cs="Arial" w:hint="eastAsia"/>
          <w:sz w:val="24"/>
        </w:rPr>
        <w:t>（四）申购资金</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sz w:val="24"/>
        </w:rPr>
        <w:t>1.T+1日15:00前，注册登记机构根据T日基金份额净值计算基金投资者申购基金的份额，并将清算确认的有效数据和资金数据汇总传输给基金托管人。基金管理人和基金托管人据此进行申购的基金会计处理。</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sz w:val="24"/>
        </w:rPr>
        <w:t>2.T+2日15:00前，基金管理人应将确认后的有效申购款划到在基金托管人的营业机构开立的基金银行账户，基金托管人与基金管理人核对申购款是否到账，并对申购资金进行账务处理。如款项不能按时到账，由基金管理人负责处理。</w:t>
      </w:r>
    </w:p>
    <w:p w:rsidR="008F3B05" w:rsidRDefault="008F3B05">
      <w:pPr>
        <w:adjustRightInd w:val="0"/>
        <w:snapToGrid w:val="0"/>
        <w:ind w:firstLine="480"/>
        <w:outlineLvl w:val="0"/>
        <w:rPr>
          <w:rFonts w:ascii="仿宋_GB2312" w:eastAsia="仿宋_GB2312" w:hAnsi="宋体" w:cs="Arial"/>
          <w:sz w:val="24"/>
        </w:rPr>
      </w:pPr>
      <w:r>
        <w:rPr>
          <w:rFonts w:ascii="仿宋_GB2312" w:eastAsia="仿宋_GB2312" w:hAnsi="宋体" w:cs="Arial" w:hint="eastAsia"/>
          <w:sz w:val="24"/>
        </w:rPr>
        <w:t>（五）赎回资金</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sz w:val="24"/>
        </w:rPr>
        <w:t>1.T+1日15:00前，基金管理人将T日赎回确认数据汇总传输给基金托管人，基金管理人和基金托管人据此进行赎回的基金会计处理。</w:t>
      </w:r>
    </w:p>
    <w:p w:rsidR="008F3B05" w:rsidRDefault="008F3B05">
      <w:pPr>
        <w:adjustRightInd w:val="0"/>
        <w:snapToGrid w:val="0"/>
        <w:ind w:firstLine="480"/>
        <w:rPr>
          <w:rFonts w:ascii="仿宋_GB2312" w:eastAsia="仿宋_GB2312" w:hAnsi="宋体" w:cs="Arial"/>
          <w:i/>
          <w:sz w:val="24"/>
        </w:rPr>
      </w:pPr>
      <w:r>
        <w:rPr>
          <w:rFonts w:ascii="仿宋_GB2312" w:eastAsia="仿宋_GB2312" w:hAnsi="宋体" w:cs="Arial"/>
          <w:sz w:val="24"/>
        </w:rPr>
        <w:t>2.基金管理人在账户资金充足、划款指令于T+2日向基金托管人发出的条件下，基金托管人将赎回资金(含赎回费)于T+3日上午</w:t>
      </w:r>
      <w:proofErr w:type="gramStart"/>
      <w:r>
        <w:rPr>
          <w:rFonts w:ascii="仿宋_GB2312" w:eastAsia="仿宋_GB2312" w:hAnsi="宋体" w:cs="Arial"/>
          <w:sz w:val="24"/>
        </w:rPr>
        <w:t>划往基金</w:t>
      </w:r>
      <w:proofErr w:type="gramEnd"/>
      <w:r>
        <w:rPr>
          <w:rFonts w:ascii="仿宋_GB2312" w:eastAsia="仿宋_GB2312" w:hAnsi="宋体" w:cs="Arial"/>
          <w:sz w:val="24"/>
        </w:rPr>
        <w:t>管理人指定的</w:t>
      </w:r>
      <w:r>
        <w:rPr>
          <w:rFonts w:ascii="仿宋_GB2312" w:eastAsia="仿宋_GB2312" w:hAnsi="宋体" w:cs="Arial" w:hint="eastAsia"/>
          <w:sz w:val="24"/>
        </w:rPr>
        <w:t>资金清算的专用账户。特殊情况时，双方协商处理。划款当日基金管理人和基金托管人对赎回资金进行账务处理。</w:t>
      </w:r>
    </w:p>
    <w:p w:rsidR="008F3B05" w:rsidRDefault="008F3B05">
      <w:pPr>
        <w:adjustRightInd w:val="0"/>
        <w:snapToGrid w:val="0"/>
        <w:ind w:firstLine="480"/>
        <w:outlineLvl w:val="0"/>
        <w:rPr>
          <w:rFonts w:ascii="仿宋_GB2312" w:eastAsia="仿宋_GB2312" w:hAnsi="宋体" w:cs="Arial"/>
          <w:sz w:val="24"/>
        </w:rPr>
      </w:pPr>
      <w:r>
        <w:rPr>
          <w:rFonts w:ascii="仿宋_GB2312" w:eastAsia="仿宋_GB2312" w:hAnsi="宋体" w:cs="Arial" w:hint="eastAsia"/>
          <w:sz w:val="24"/>
        </w:rPr>
        <w:t>（六）基金转换</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1.在本基金与基金管理人管理的且由同一注册登记机构办理注册登记的其它基金开展转换业务之前，基金管理人应函告基金托管人并就相关事宜进行协商。</w:t>
      </w:r>
    </w:p>
    <w:p w:rsidR="008F3B05" w:rsidRDefault="008F3B05">
      <w:pPr>
        <w:adjustRightInd w:val="0"/>
        <w:snapToGrid w:val="0"/>
        <w:ind w:firstLine="480"/>
        <w:outlineLvl w:val="0"/>
        <w:rPr>
          <w:rFonts w:ascii="仿宋_GB2312" w:eastAsia="仿宋_GB2312" w:hAnsi="宋体" w:cs="Arial"/>
          <w:sz w:val="24"/>
        </w:rPr>
      </w:pPr>
      <w:r>
        <w:rPr>
          <w:rFonts w:ascii="仿宋_GB2312" w:eastAsia="仿宋_GB2312" w:hAnsi="宋体" w:cs="Arial" w:hint="eastAsia"/>
          <w:sz w:val="24"/>
        </w:rPr>
        <w:t>2.基金托管人将根据基金管理人传送的基金转换数据进行账务处理，</w:t>
      </w:r>
      <w:proofErr w:type="gramStart"/>
      <w:r>
        <w:rPr>
          <w:rFonts w:ascii="仿宋_GB2312" w:eastAsia="仿宋_GB2312" w:hAnsi="宋体" w:cs="Arial" w:hint="eastAsia"/>
          <w:sz w:val="24"/>
        </w:rPr>
        <w:t>具体资金</w:t>
      </w:r>
      <w:proofErr w:type="gramEnd"/>
      <w:r>
        <w:rPr>
          <w:rFonts w:ascii="仿宋_GB2312" w:eastAsia="仿宋_GB2312" w:hAnsi="宋体" w:cs="Arial" w:hint="eastAsia"/>
          <w:sz w:val="24"/>
        </w:rPr>
        <w:t>清算和数据传递的时间、程序及托管协议当事人承担的权责按基金管理人届时的公告执行。</w:t>
      </w:r>
    </w:p>
    <w:p w:rsidR="008F3B05" w:rsidRDefault="008F3B05">
      <w:pPr>
        <w:adjustRightInd w:val="0"/>
        <w:snapToGrid w:val="0"/>
        <w:ind w:firstLine="480"/>
        <w:outlineLvl w:val="0"/>
        <w:rPr>
          <w:rFonts w:ascii="仿宋_GB2312" w:eastAsia="仿宋_GB2312" w:hAnsi="宋体" w:cs="Arial"/>
          <w:sz w:val="24"/>
        </w:rPr>
      </w:pPr>
      <w:r>
        <w:rPr>
          <w:rFonts w:ascii="仿宋_GB2312" w:eastAsia="仿宋_GB2312" w:hAnsi="宋体" w:cs="Arial" w:hint="eastAsia"/>
          <w:sz w:val="24"/>
        </w:rPr>
        <w:t>3.本基金开展基金转换业务应按相关法律法规规定及基金合同的约定进行公告。</w:t>
      </w:r>
    </w:p>
    <w:p w:rsidR="008F3B05" w:rsidRDefault="008F3B05">
      <w:pPr>
        <w:adjustRightInd w:val="0"/>
        <w:snapToGrid w:val="0"/>
        <w:ind w:firstLine="480"/>
        <w:outlineLvl w:val="0"/>
        <w:rPr>
          <w:rFonts w:ascii="仿宋_GB2312" w:eastAsia="仿宋_GB2312" w:hAnsi="宋体" w:cs="Arial"/>
          <w:sz w:val="24"/>
        </w:rPr>
      </w:pPr>
      <w:r>
        <w:rPr>
          <w:rFonts w:ascii="仿宋_GB2312" w:eastAsia="仿宋_GB2312" w:hAnsi="宋体" w:cs="Arial" w:hint="eastAsia"/>
          <w:sz w:val="24"/>
        </w:rPr>
        <w:t>（七）基金现金分红</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1.基金管理人确定分红方案通知基金托管人，双方核定后</w:t>
      </w:r>
      <w:r>
        <w:rPr>
          <w:rFonts w:ascii="仿宋_GB2312" w:eastAsia="仿宋_GB2312" w:hint="eastAsia"/>
          <w:sz w:val="24"/>
          <w:szCs w:val="18"/>
        </w:rPr>
        <w:t>依照《信息披露办法》的有关规定在中国证监会指定</w:t>
      </w:r>
      <w:r w:rsidR="001709A8">
        <w:rPr>
          <w:rFonts w:ascii="仿宋_GB2312" w:eastAsia="仿宋_GB2312" w:hint="eastAsia"/>
          <w:sz w:val="24"/>
          <w:szCs w:val="18"/>
        </w:rPr>
        <w:t>媒介</w:t>
      </w:r>
      <w:r>
        <w:rPr>
          <w:rFonts w:ascii="仿宋_GB2312" w:eastAsia="仿宋_GB2312" w:hint="eastAsia"/>
          <w:sz w:val="24"/>
          <w:szCs w:val="18"/>
        </w:rPr>
        <w:t>上公告</w:t>
      </w:r>
      <w:r>
        <w:rPr>
          <w:rFonts w:ascii="仿宋_GB2312" w:eastAsia="仿宋_GB2312" w:hAnsi="宋体" w:cs="Arial" w:hint="eastAsia"/>
          <w:sz w:val="24"/>
        </w:rPr>
        <w:t>。</w:t>
      </w:r>
    </w:p>
    <w:p w:rsidR="008F3B05" w:rsidRDefault="008F3B05">
      <w:pPr>
        <w:adjustRightInd w:val="0"/>
        <w:snapToGrid w:val="0"/>
        <w:ind w:firstLine="480"/>
        <w:rPr>
          <w:rFonts w:ascii="仿宋_GB2312" w:eastAsia="仿宋_GB2312" w:hAnsi="宋体" w:cs="Arial"/>
          <w:sz w:val="24"/>
        </w:rPr>
      </w:pPr>
      <w:r>
        <w:rPr>
          <w:rFonts w:ascii="仿宋_GB2312" w:eastAsia="仿宋_GB2312" w:hAnsi="宋体" w:cs="Arial" w:hint="eastAsia"/>
          <w:sz w:val="24"/>
        </w:rPr>
        <w:t>2.基金托管人和基金管理人对基金分红进行账务处理并核对后，基金管理人</w:t>
      </w:r>
      <w:r>
        <w:rPr>
          <w:rFonts w:ascii="仿宋_GB2312" w:eastAsia="仿宋_GB2312" w:hAnsi="宋体" w:cs="Arial" w:hint="eastAsia"/>
          <w:sz w:val="24"/>
        </w:rPr>
        <w:lastRenderedPageBreak/>
        <w:t>向基金托管人发送现金红利的划款指令，基金托管人应及时将资金划入专用账户。</w:t>
      </w:r>
    </w:p>
    <w:p w:rsidR="008F3B05" w:rsidRDefault="008F3B05">
      <w:pPr>
        <w:ind w:firstLine="480"/>
        <w:rPr>
          <w:sz w:val="24"/>
        </w:rPr>
      </w:pPr>
      <w:r>
        <w:rPr>
          <w:rFonts w:ascii="仿宋_GB2312" w:eastAsia="仿宋_GB2312" w:hAnsi="宋体" w:cs="Arial" w:hint="eastAsia"/>
          <w:sz w:val="24"/>
        </w:rPr>
        <w:t>3.基金管理人在下达指令时，应给基金托管人留出必需的划款时间。</w:t>
      </w:r>
    </w:p>
    <w:p w:rsidR="008F3B05" w:rsidRDefault="008F3B05">
      <w:pPr>
        <w:ind w:firstLine="480"/>
        <w:rPr>
          <w:rFonts w:ascii="仿宋_GB2312" w:eastAsia="仿宋_GB2312" w:hAnsi="宋体" w:cs="Arial"/>
          <w:sz w:val="24"/>
        </w:rPr>
      </w:pPr>
    </w:p>
    <w:p w:rsidR="008F3B05" w:rsidRDefault="008F3B05">
      <w:pPr>
        <w:pStyle w:val="2"/>
        <w:jc w:val="center"/>
        <w:rPr>
          <w:rFonts w:eastAsia="宋体"/>
          <w:sz w:val="30"/>
        </w:rPr>
      </w:pPr>
      <w:r>
        <w:rPr>
          <w:rFonts w:eastAsia="宋体" w:hint="eastAsia"/>
          <w:sz w:val="30"/>
        </w:rPr>
        <w:t xml:space="preserve"> </w:t>
      </w:r>
      <w:bookmarkStart w:id="89" w:name="_Toc297031870"/>
      <w:r>
        <w:rPr>
          <w:rFonts w:eastAsia="宋体" w:hint="eastAsia"/>
          <w:sz w:val="30"/>
        </w:rPr>
        <w:t>八、基金资产净值计算和会计核算</w:t>
      </w:r>
      <w:bookmarkEnd w:id="89"/>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（一）基金资产净值的计算、复核与完成的时间及程序</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1.基金资产净值</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基金资产净值是指基金资产总值减去负债后的价值。</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基金份额净值是指基金资产净值除以基金份额总数，基金份额净值的计算，精确到0.001元，小数点后第四位四舍五入，国家另有规定的，从其规定。</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基金管理人每个工作日计算基金</w:t>
      </w:r>
      <w:r w:rsidR="00BE4659">
        <w:rPr>
          <w:rFonts w:ascii="仿宋_GB2312" w:eastAsia="仿宋_GB2312" w:hAnsi="宋体" w:cs="Arial" w:hint="eastAsia"/>
          <w:sz w:val="24"/>
        </w:rPr>
        <w:t>资产净值及基金份额</w:t>
      </w:r>
      <w:r>
        <w:rPr>
          <w:rFonts w:ascii="仿宋_GB2312" w:eastAsia="仿宋_GB2312" w:hAnsi="宋体" w:cs="Arial" w:hint="eastAsia"/>
          <w:sz w:val="24"/>
        </w:rPr>
        <w:t>净值，经基金托管人复核，按规定公告。</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2.复核程序</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基金管理人每工作日对基金资产进行估值后，将基金份额净值结果发送基金托管人，经基金托管人复核无误后，由基金管理人对外公布。</w:t>
      </w:r>
    </w:p>
    <w:p w:rsidR="008F3B05" w:rsidRDefault="008F3B05">
      <w:pPr>
        <w:ind w:firstLineChars="200" w:firstLine="480"/>
        <w:rPr>
          <w:rFonts w:ascii="仿宋_GB2312" w:eastAsia="仿宋_GB2312" w:hAnsi="宋体" w:cs="Arial"/>
          <w:sz w:val="24"/>
        </w:rPr>
      </w:pPr>
      <w:r>
        <w:rPr>
          <w:rFonts w:ascii="仿宋_GB2312" w:eastAsia="仿宋_GB2312" w:hAnsi="宋体" w:cs="Arial" w:hint="eastAsia"/>
          <w:sz w:val="24"/>
        </w:rPr>
        <w:t>3.</w:t>
      </w:r>
      <w:r>
        <w:rPr>
          <w:rFonts w:ascii="仿宋_GB2312" w:eastAsia="仿宋_GB2312"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（二）基金资产估值方法和特殊情形的处理</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1.估值对象</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基金所拥有的股票、权证、债券和银行存款本息、应收款项、其它投资等资产。</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2.估值方法</w:t>
      </w:r>
    </w:p>
    <w:p w:rsidR="008F3B05" w:rsidRDefault="008F3B05">
      <w:pPr>
        <w:numPr>
          <w:ilvl w:val="0"/>
          <w:numId w:val="2"/>
        </w:numPr>
        <w:adjustRightInd w:val="0"/>
        <w:snapToGrid w:val="0"/>
        <w:rPr>
          <w:rFonts w:ascii="仿宋_GB2312" w:eastAsia="仿宋_GB2312" w:hAnsi="宋体" w:cs="Arial"/>
          <w:sz w:val="24"/>
        </w:rPr>
      </w:pPr>
      <w:r>
        <w:rPr>
          <w:rFonts w:ascii="仿宋_GB2312" w:eastAsia="仿宋_GB2312" w:hAnsi="宋体" w:cs="Arial" w:hint="eastAsia"/>
          <w:sz w:val="24"/>
        </w:rPr>
        <w:t>证券交易所上市的有价证券的估值</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（4）交易所上市不存在活跃市场的有价证券，采用估值技术确定公允价值。交易所上市的资产支持证券，采用估值技术确定公允价值，在估值技术难以可靠计量公允价值的情况下，按成本估值。</w:t>
      </w:r>
    </w:p>
    <w:p w:rsidR="008F3B05" w:rsidRDefault="008F3B05">
      <w:pPr>
        <w:numPr>
          <w:ilvl w:val="0"/>
          <w:numId w:val="2"/>
        </w:numPr>
        <w:adjustRightInd w:val="0"/>
        <w:snapToGrid w:val="0"/>
        <w:rPr>
          <w:rFonts w:ascii="仿宋_GB2312" w:eastAsia="仿宋_GB2312" w:hAnsi="宋体" w:cs="Arial"/>
          <w:sz w:val="24"/>
        </w:rPr>
      </w:pPr>
      <w:r>
        <w:rPr>
          <w:rFonts w:ascii="仿宋_GB2312" w:eastAsia="仿宋_GB2312" w:hAnsi="宋体" w:cs="Arial" w:hint="eastAsia"/>
          <w:sz w:val="24"/>
        </w:rPr>
        <w:lastRenderedPageBreak/>
        <w:t>处于未上市期间的有价证券应区分如下情况处理：</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（1）送股、转增股、配股和公开增发的新股，按估值日在证券交易所挂牌的同一股票的市价（收盘价）估值；该日无交易的，以最近一日的市价（收盘价）估值；</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（2）首次公开发行未上市的股票、债券和权证，采用估值技术确定公允价值，在估值技术难以可靠计量公允价值的情况下，按成本估值；</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（3）首次公开发行有明确锁定期的股票，同一股票在交易所上市后，按交易所上市的同一股票的市价（收盘价）估值；非公开发行有明确锁定期的股票，按监管机构或行业协会有关规定确定公允价值。</w:t>
      </w:r>
    </w:p>
    <w:p w:rsidR="008F3B05" w:rsidRDefault="008F3B05">
      <w:pPr>
        <w:numPr>
          <w:ilvl w:val="0"/>
          <w:numId w:val="2"/>
        </w:numPr>
        <w:adjustRightInd w:val="0"/>
        <w:snapToGrid w:val="0"/>
        <w:ind w:left="0" w:firstLine="480"/>
        <w:rPr>
          <w:rFonts w:ascii="仿宋_GB2312" w:eastAsia="仿宋_GB2312" w:hAnsi="宋体" w:cs="Arial"/>
          <w:sz w:val="24"/>
        </w:rPr>
      </w:pPr>
      <w:r>
        <w:rPr>
          <w:rFonts w:ascii="仿宋_GB2312" w:eastAsia="仿宋_GB2312" w:hAnsi="宋体" w:cs="Arial" w:hint="eastAsia"/>
          <w:sz w:val="24"/>
        </w:rPr>
        <w:t>全国银行间债券市场交易的债券、资产支持证券等固定收益品种，采用估值技术确定公允价值。</w:t>
      </w:r>
    </w:p>
    <w:p w:rsidR="008F3B05" w:rsidRDefault="008F3B05">
      <w:pPr>
        <w:numPr>
          <w:ilvl w:val="0"/>
          <w:numId w:val="2"/>
        </w:numPr>
        <w:adjustRightInd w:val="0"/>
        <w:snapToGrid w:val="0"/>
        <w:ind w:left="0" w:firstLine="480"/>
        <w:rPr>
          <w:rFonts w:ascii="仿宋_GB2312" w:eastAsia="仿宋_GB2312" w:hAnsi="宋体" w:cs="Arial"/>
          <w:sz w:val="24"/>
        </w:rPr>
      </w:pPr>
      <w:r>
        <w:rPr>
          <w:rFonts w:ascii="仿宋_GB2312" w:eastAsia="仿宋_GB2312" w:hAnsi="宋体" w:cs="Arial" w:hint="eastAsia"/>
          <w:sz w:val="24"/>
        </w:rPr>
        <w:t>同一债券同时在两个或两个以上市场交易的，按债券所处的市场分别估值。</w:t>
      </w:r>
    </w:p>
    <w:p w:rsidR="008F3B05" w:rsidRDefault="008F3B05">
      <w:pPr>
        <w:numPr>
          <w:ilvl w:val="0"/>
          <w:numId w:val="2"/>
        </w:numPr>
        <w:adjustRightInd w:val="0"/>
        <w:snapToGrid w:val="0"/>
        <w:ind w:left="0" w:firstLine="480"/>
        <w:rPr>
          <w:rFonts w:ascii="仿宋_GB2312" w:eastAsia="仿宋_GB2312" w:hAnsi="宋体" w:cs="Arial"/>
          <w:sz w:val="24"/>
        </w:rPr>
      </w:pPr>
      <w:r>
        <w:rPr>
          <w:rFonts w:ascii="仿宋_GB2312" w:eastAsia="仿宋_GB2312" w:hAnsi="宋体" w:cs="Arial" w:hint="eastAsia"/>
          <w:sz w:val="24"/>
        </w:rPr>
        <w:t>如有确凿证据表明按上述方法进行估值不能客观反映其公允价值的，基金管理人可根据具体情况与基金托管人商定后，按最能反映公允价值的价格估值。</w:t>
      </w:r>
    </w:p>
    <w:p w:rsidR="008F3B05" w:rsidRDefault="008F3B05">
      <w:pPr>
        <w:numPr>
          <w:ilvl w:val="0"/>
          <w:numId w:val="2"/>
        </w:numPr>
        <w:adjustRightInd w:val="0"/>
        <w:snapToGrid w:val="0"/>
        <w:ind w:left="0" w:firstLine="480"/>
        <w:rPr>
          <w:rFonts w:ascii="仿宋_GB2312" w:eastAsia="仿宋_GB2312" w:hAnsi="宋体" w:cs="Arial"/>
          <w:sz w:val="24"/>
        </w:rPr>
      </w:pPr>
      <w:r>
        <w:rPr>
          <w:rFonts w:ascii="仿宋_GB2312" w:eastAsia="仿宋_GB2312" w:hAnsi="宋体" w:cs="Arial" w:hint="eastAsia"/>
          <w:sz w:val="24"/>
        </w:rPr>
        <w:t>相关法律法规以及监管部门有强制规定的，从其规定。如有新增事项，按国家最新规定估值。</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8F3B05" w:rsidRDefault="008F3B05">
      <w:pPr>
        <w:adjustRightInd w:val="0"/>
        <w:snapToGrid w:val="0"/>
        <w:rPr>
          <w:rStyle w:val="read"/>
          <w:rFonts w:ascii="仿宋_GB2312" w:eastAsia="仿宋_GB2312" w:hAnsi="宋体" w:cs="Arial"/>
          <w:sz w:val="24"/>
        </w:rPr>
      </w:pPr>
      <w:r>
        <w:rPr>
          <w:rStyle w:val="read"/>
          <w:rFonts w:ascii="仿宋_GB2312" w:eastAsia="仿宋_GB2312" w:hAnsi="宋体" w:cs="Arial" w:hint="eastAsia"/>
          <w:sz w:val="24"/>
        </w:rPr>
        <w:t xml:space="preserve">    3.特殊情形的处理</w:t>
      </w:r>
    </w:p>
    <w:p w:rsidR="00F85BFA" w:rsidRDefault="008F3B05" w:rsidP="00F85BFA">
      <w:pPr>
        <w:adjustRightInd w:val="0"/>
        <w:snapToGrid w:val="0"/>
        <w:spacing w:line="360" w:lineRule="auto"/>
        <w:ind w:firstLine="420"/>
        <w:rPr>
          <w:rStyle w:val="read"/>
          <w:rFonts w:ascii="仿宋_GB2312" w:eastAsia="仿宋_GB2312"/>
          <w:sz w:val="24"/>
        </w:rPr>
      </w:pPr>
      <w:r>
        <w:rPr>
          <w:rStyle w:val="read"/>
          <w:rFonts w:ascii="仿宋_GB2312" w:eastAsia="仿宋_GB2312" w:hAnsi="宋体" w:cs="Arial" w:hint="eastAsia"/>
          <w:sz w:val="24"/>
        </w:rPr>
        <w:t>基金管理人、基金托管人按估值方法的第e项进行估值时，所造成的误差不作为基金份</w:t>
      </w:r>
      <w:r>
        <w:rPr>
          <w:rStyle w:val="read"/>
          <w:rFonts w:ascii="仿宋_GB2312" w:eastAsia="仿宋_GB2312" w:hint="eastAsia"/>
          <w:sz w:val="24"/>
        </w:rPr>
        <w:t>额净值错误处理。</w:t>
      </w:r>
    </w:p>
    <w:p w:rsidR="008F3B05" w:rsidRDefault="008F3B05">
      <w:pPr>
        <w:adjustRightInd w:val="0"/>
        <w:snapToGrid w:val="0"/>
        <w:ind w:firstLineChars="200" w:firstLine="480"/>
        <w:rPr>
          <w:rStyle w:val="read"/>
          <w:rFonts w:ascii="仿宋_GB2312" w:eastAsia="仿宋_GB2312"/>
          <w:sz w:val="24"/>
        </w:rPr>
      </w:pPr>
      <w:r>
        <w:rPr>
          <w:rStyle w:val="read"/>
          <w:rFonts w:ascii="仿宋_GB2312" w:eastAsia="仿宋_GB2312" w:hint="eastAsia"/>
          <w:sz w:val="24"/>
        </w:rPr>
        <w:t>（三）基金份额净值错误的处理方式</w:t>
      </w:r>
    </w:p>
    <w:p w:rsidR="008F3B05" w:rsidRDefault="008F3B05">
      <w:pPr>
        <w:adjustRightInd w:val="0"/>
        <w:snapToGrid w:val="0"/>
        <w:ind w:firstLineChars="200" w:firstLine="480"/>
        <w:rPr>
          <w:rStyle w:val="read"/>
          <w:rFonts w:ascii="仿宋_GB2312" w:eastAsia="仿宋_GB2312"/>
          <w:sz w:val="24"/>
        </w:rPr>
      </w:pPr>
      <w:r>
        <w:rPr>
          <w:rStyle w:val="read"/>
          <w:rFonts w:ascii="仿宋_GB2312" w:eastAsia="仿宋_GB2312" w:hint="eastAsia"/>
          <w:sz w:val="24"/>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Pr>
          <w:rFonts w:ascii="仿宋_GB2312" w:eastAsia="仿宋_GB2312" w:cs="Arial" w:hint="eastAsia"/>
          <w:sz w:val="24"/>
        </w:rPr>
        <w:t>；错误偏差达到基金份额净值的</w:t>
      </w:r>
      <w:r>
        <w:rPr>
          <w:rFonts w:ascii="仿宋_GB2312" w:eastAsia="仿宋_GB2312" w:hAnsi="宋体" w:hint="eastAsia"/>
          <w:sz w:val="24"/>
        </w:rPr>
        <w:t>0.5%时，基金管理人应当公告</w:t>
      </w:r>
      <w:r>
        <w:rPr>
          <w:rStyle w:val="read"/>
          <w:rFonts w:ascii="仿宋_GB2312" w:eastAsia="仿宋_GB2312" w:hint="eastAsia"/>
          <w:sz w:val="24"/>
        </w:rPr>
        <w:t>；当发生净值计算错误时，由基金管理人负责处理，由此给基金份额持有人和基金造成损失的，应由基金管理人先行赔付，基金管理人按差错情形，有权向其他当事人追偿。</w:t>
      </w:r>
    </w:p>
    <w:p w:rsidR="008F3B05" w:rsidRDefault="008F3B05">
      <w:pPr>
        <w:adjustRightInd w:val="0"/>
        <w:snapToGrid w:val="0"/>
        <w:ind w:firstLineChars="200" w:firstLine="480"/>
        <w:rPr>
          <w:rStyle w:val="read"/>
          <w:rFonts w:ascii="仿宋_GB2312" w:eastAsia="仿宋_GB2312"/>
          <w:sz w:val="24"/>
        </w:rPr>
      </w:pPr>
      <w:r>
        <w:rPr>
          <w:rStyle w:val="read"/>
          <w:rFonts w:ascii="仿宋_GB2312" w:eastAsia="仿宋_GB2312" w:hint="eastAsia"/>
          <w:sz w:val="24"/>
        </w:rPr>
        <w:t>（2）当基金份额净值计算差错给基金和基金份额持有人造成损失需要进行赔偿时，基金管理人和基金托管人应根据实际情况界定双方承担的责任，经确认后按以下条款进行赔偿：</w:t>
      </w:r>
    </w:p>
    <w:p w:rsidR="008F3B05" w:rsidRDefault="008F3B05">
      <w:pPr>
        <w:adjustRightInd w:val="0"/>
        <w:snapToGrid w:val="0"/>
        <w:ind w:firstLineChars="200" w:firstLine="480"/>
        <w:rPr>
          <w:rFonts w:ascii="仿宋_GB2312" w:eastAsia="仿宋_GB2312" w:hAnsi="宋体" w:cs="Arial"/>
          <w:sz w:val="24"/>
        </w:rPr>
      </w:pPr>
      <w:r>
        <w:rPr>
          <w:rStyle w:val="read"/>
          <w:rFonts w:ascii="仿宋_GB2312" w:eastAsia="仿宋_GB2312" w:hint="eastAsia"/>
          <w:sz w:val="24"/>
        </w:rPr>
        <w:t>①</w:t>
      </w:r>
      <w:r>
        <w:rPr>
          <w:rStyle w:val="read"/>
          <w:rFonts w:ascii="仿宋_GB2312" w:eastAsia="仿宋_GB2312"/>
          <w:sz w:val="24"/>
        </w:rPr>
        <w:t>本基金的基金会计责任方由基金管理人担任</w:t>
      </w:r>
      <w:r>
        <w:rPr>
          <w:rStyle w:val="read"/>
          <w:rFonts w:ascii="仿宋_GB2312" w:eastAsia="仿宋_GB2312" w:hint="eastAsia"/>
          <w:sz w:val="24"/>
        </w:rPr>
        <w:t>，</w:t>
      </w:r>
      <w:r>
        <w:rPr>
          <w:rStyle w:val="read"/>
          <w:rFonts w:ascii="仿宋_GB2312" w:eastAsia="仿宋_GB2312"/>
          <w:sz w:val="24"/>
        </w:rPr>
        <w:t>与本基金有关的会计问题，如经双方在平等基础上充分讨论后，</w:t>
      </w:r>
      <w:r>
        <w:rPr>
          <w:rStyle w:val="read"/>
          <w:rFonts w:ascii="仿宋_GB2312" w:eastAsia="仿宋_GB2312" w:hint="eastAsia"/>
          <w:sz w:val="24"/>
        </w:rPr>
        <w:t>尚不能达成一致时，</w:t>
      </w:r>
      <w:r>
        <w:rPr>
          <w:rStyle w:val="read"/>
          <w:rFonts w:ascii="仿宋_GB2312" w:eastAsia="仿宋_GB2312"/>
          <w:sz w:val="24"/>
        </w:rPr>
        <w:t>按基金</w:t>
      </w:r>
      <w:r>
        <w:rPr>
          <w:rStyle w:val="read"/>
          <w:rFonts w:ascii="仿宋_GB2312" w:eastAsia="仿宋_GB2312" w:hint="eastAsia"/>
          <w:sz w:val="24"/>
        </w:rPr>
        <w:t>管理人</w:t>
      </w:r>
      <w:r>
        <w:rPr>
          <w:rStyle w:val="read"/>
          <w:rFonts w:ascii="仿宋_GB2312" w:eastAsia="仿宋_GB2312"/>
          <w:sz w:val="24"/>
        </w:rPr>
        <w:t>的建议执行</w:t>
      </w:r>
      <w:r>
        <w:rPr>
          <w:rStyle w:val="read"/>
          <w:rFonts w:ascii="仿宋_GB2312" w:eastAsia="仿宋_GB2312" w:hint="eastAsia"/>
          <w:sz w:val="24"/>
        </w:rPr>
        <w:t>，由此给基金份额持有人和基金财产造成的</w:t>
      </w:r>
      <w:r>
        <w:rPr>
          <w:rFonts w:ascii="仿宋_GB2312" w:eastAsia="仿宋_GB2312" w:hAnsi="宋体" w:cs="Arial" w:hint="eastAsia"/>
          <w:sz w:val="24"/>
        </w:rPr>
        <w:t>损失，由基金管理人负责赔付。</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②</w:t>
      </w:r>
      <w:proofErr w:type="gramStart"/>
      <w:r>
        <w:rPr>
          <w:rFonts w:ascii="仿宋_GB2312" w:eastAsia="仿宋_GB2312" w:hint="eastAsia"/>
          <w:kern w:val="0"/>
          <w:sz w:val="24"/>
        </w:rPr>
        <w:t>若基金</w:t>
      </w:r>
      <w:proofErr w:type="gramEnd"/>
      <w:r>
        <w:rPr>
          <w:rFonts w:ascii="仿宋_GB2312" w:eastAsia="仿宋_GB2312" w:hint="eastAsia"/>
          <w:kern w:val="0"/>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③如基金管理人和基金托管人对基金份额净值的计算结果，虽然多次重新计</w:t>
      </w:r>
      <w:r>
        <w:rPr>
          <w:rFonts w:ascii="仿宋_GB2312" w:eastAsia="仿宋_GB2312" w:hAnsi="宋体" w:cs="Arial" w:hint="eastAsia"/>
          <w:sz w:val="24"/>
        </w:rPr>
        <w:lastRenderedPageBreak/>
        <w:t>算和核对，尚不能达成一致时，为避免不能按时公布基金份额净值的情形，以基金管理人的计算结果对外公布，由此给基金份额持有人和基金造成的损失，由基金管理人负责赔付。</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④</w:t>
      </w:r>
      <w:r>
        <w:rPr>
          <w:rFonts w:ascii="仿宋_GB2312" w:eastAsia="仿宋_GB2312" w:hint="eastAsia"/>
          <w:kern w:val="0"/>
          <w:sz w:val="24"/>
        </w:rPr>
        <w:t>由于基金管理人提供的信息错误（包括但不限于基金申购或赎回金额等），进而导致基金份额净值计算错误而引起的基金份额持有人和基金财产的损失，由基金管理人负责赔付。</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（4）基金管理人和基金托管人由于各自技术系统设置而产生的净值计算尾差，以基金管理人计算结果为准。</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（5）前述内容如法律法规或者监管部门另有规定的，从其规定。如果行业另有通行做法，双方当事人应本着平等和保护基金份额持有人利益的原则进行协商。</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（四）暂停估值与公告基金份额净值的情形</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（1）基金投资所涉及的证券交易所遇法定节假日或因其他原因暂停营业时；</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（2）因不可抗力或其他情形致使基金管理人、基金托管人无法准确评估基金资产价值时；</w:t>
      </w:r>
    </w:p>
    <w:p w:rsidR="00F85BFA" w:rsidRDefault="008F3B05" w:rsidP="00F85BFA">
      <w:pPr>
        <w:adjustRightInd w:val="0"/>
        <w:snapToGrid w:val="0"/>
        <w:spacing w:line="360" w:lineRule="auto"/>
        <w:ind w:firstLineChars="200" w:firstLine="480"/>
        <w:rPr>
          <w:rFonts w:ascii="仿宋_GB2312" w:eastAsia="仿宋_GB2312" w:hAnsi="宋体" w:cs="Arial"/>
          <w:sz w:val="24"/>
        </w:rPr>
      </w:pPr>
      <w:r>
        <w:rPr>
          <w:rFonts w:ascii="仿宋_GB2312" w:eastAsia="仿宋_GB2312" w:hAnsi="宋体" w:cs="Arial" w:hint="eastAsia"/>
          <w:sz w:val="24"/>
        </w:rPr>
        <w:t>（3）</w:t>
      </w:r>
      <w:r>
        <w:rPr>
          <w:rFonts w:ascii="仿宋_GB2312" w:eastAsia="仿宋_GB2312" w:hint="eastAsia"/>
          <w:sz w:val="24"/>
        </w:rPr>
        <w:t>占基金相当比例的投资品种的估值出现重大转变，而基金管理人为保障投资人的利益，已决定延迟估值；</w:t>
      </w:r>
      <w:r>
        <w:rPr>
          <w:rFonts w:ascii="仿宋_GB2312" w:eastAsia="仿宋_GB2312" w:hAnsi="宋体" w:cs="Arial" w:hint="eastAsia"/>
          <w:sz w:val="24"/>
        </w:rPr>
        <w:t>如果出现基金管理人认为属于紧急事故的任何情况，导致基金管理人不能出售或评估基金资产时；</w:t>
      </w:r>
    </w:p>
    <w:p w:rsidR="008F3B05" w:rsidRPr="00F85BFA" w:rsidRDefault="00F85BFA" w:rsidP="00F85BFA">
      <w:pPr>
        <w:adjustRightInd w:val="0"/>
        <w:snapToGrid w:val="0"/>
        <w:spacing w:line="360" w:lineRule="auto"/>
        <w:ind w:firstLineChars="200" w:firstLine="480"/>
        <w:rPr>
          <w:rFonts w:ascii="彩虹粗仿宋" w:eastAsia="彩虹粗仿宋" w:hAnsi="宋体" w:cs="Arial"/>
          <w:sz w:val="24"/>
        </w:rPr>
      </w:pPr>
      <w:r>
        <w:rPr>
          <w:rFonts w:ascii="彩虹粗仿宋" w:eastAsia="彩虹粗仿宋" w:hAnsi="宋体" w:cs="Arial" w:hint="eastAsia"/>
          <w:sz w:val="24"/>
        </w:rPr>
        <w:t>（4）</w:t>
      </w:r>
      <w:r w:rsidRPr="002108DC">
        <w:rPr>
          <w:rFonts w:ascii="彩虹粗仿宋" w:eastAsia="彩虹粗仿宋" w:hAnsi="宋体" w:cs="Arial" w:hint="eastAsia"/>
          <w:sz w:val="24"/>
        </w:rPr>
        <w:t>当前一估值日基金资产净值50%以上的资产出现无可参考的活跃市场价格且采用估值技术</w:t>
      </w:r>
      <w:proofErr w:type="gramStart"/>
      <w:r w:rsidRPr="002108DC">
        <w:rPr>
          <w:rFonts w:ascii="彩虹粗仿宋" w:eastAsia="彩虹粗仿宋" w:hAnsi="宋体" w:cs="Arial" w:hint="eastAsia"/>
          <w:sz w:val="24"/>
        </w:rPr>
        <w:t>仍导致</w:t>
      </w:r>
      <w:proofErr w:type="gramEnd"/>
      <w:r w:rsidRPr="002108DC">
        <w:rPr>
          <w:rFonts w:ascii="彩虹粗仿宋" w:eastAsia="彩虹粗仿宋" w:hAnsi="宋体" w:cs="Arial" w:hint="eastAsia"/>
          <w:sz w:val="24"/>
        </w:rPr>
        <w:t>公允价值存在重大不确定性时，经与基金托管人协商确认后，基金管理人应当暂停基金估值</w:t>
      </w:r>
      <w:r>
        <w:rPr>
          <w:rFonts w:ascii="仿宋_GB2312" w:eastAsia="仿宋_GB2312" w:hAnsi="宋体" w:cs="Arial" w:hint="eastAsia"/>
          <w:sz w:val="24"/>
        </w:rPr>
        <w:t>；</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w:t>
      </w:r>
      <w:r w:rsidR="00F85BFA">
        <w:rPr>
          <w:rFonts w:ascii="仿宋_GB2312" w:eastAsia="仿宋_GB2312" w:hAnsi="宋体" w:cs="Arial" w:hint="eastAsia"/>
          <w:sz w:val="24"/>
        </w:rPr>
        <w:t>5</w:t>
      </w:r>
      <w:r>
        <w:rPr>
          <w:rFonts w:ascii="仿宋_GB2312" w:eastAsia="仿宋_GB2312" w:hAnsi="宋体" w:cs="Arial" w:hint="eastAsia"/>
          <w:sz w:val="24"/>
        </w:rPr>
        <w:t>）中国证监会和基金合同认定的其他情形。</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（五）基金会计制度</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按国家有关部门规定的会计制度执行。</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（六）基金账册的建立</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基金管理人进行基金会计核算并编制基金财务会计报告。基金管理人独立地设置、记录和保管本基金的全套账册。</w:t>
      </w:r>
      <w:proofErr w:type="gramStart"/>
      <w:r>
        <w:rPr>
          <w:rFonts w:ascii="仿宋_GB2312" w:eastAsia="仿宋_GB2312" w:hAnsi="宋体" w:cs="Arial" w:hint="eastAsia"/>
          <w:sz w:val="24"/>
        </w:rPr>
        <w:t>若基金</w:t>
      </w:r>
      <w:proofErr w:type="gramEnd"/>
      <w:r>
        <w:rPr>
          <w:rFonts w:ascii="仿宋_GB2312" w:eastAsia="仿宋_GB2312" w:hAnsi="宋体" w:cs="Arial" w:hint="eastAsia"/>
          <w:sz w:val="24"/>
        </w:rPr>
        <w:t>管理人和基金托管人对会计处理方法存在分歧，应以基金管理人的处理方法为准。若当日核对不符，暂时无法查找到错账的原因而影响到基金净值的计算和公告的，以基金管理人的账册为准。</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（七）基金财务报表与报告的编制和复核</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1.财务报表的编制</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基金财务报表由基金管理人编制，基金托管人复核。</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2.报表复核</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基金托管人在收到基金管理人编制的基金财务报表后，进行独立的复核。核对不符时，应及时通知基金管理人共同查出原因，进行调整，直至双方数据完全一致。</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3.财务报表的编制与复核时间安排</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lastRenderedPageBreak/>
        <w:t>（1）报表的编制</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基金管理人应当在每月结束后5个工作日内完成月度报表的编制；在每个季度结束之日起15个工作日内完成基金季度报告的编制；在上半年结束之日起</w:t>
      </w:r>
      <w:r w:rsidR="00BE4659">
        <w:rPr>
          <w:rFonts w:ascii="仿宋_GB2312" w:eastAsia="仿宋_GB2312" w:hAnsi="宋体" w:cs="Arial" w:hint="eastAsia"/>
          <w:sz w:val="24"/>
        </w:rPr>
        <w:t>两个月</w:t>
      </w:r>
      <w:r>
        <w:rPr>
          <w:rFonts w:ascii="仿宋_GB2312" w:eastAsia="仿宋_GB2312" w:hAnsi="宋体" w:cs="Arial" w:hint="eastAsia"/>
          <w:sz w:val="24"/>
        </w:rPr>
        <w:t>内完成基金</w:t>
      </w:r>
      <w:r w:rsidR="00FC1F7C">
        <w:rPr>
          <w:rFonts w:ascii="仿宋_GB2312" w:eastAsia="仿宋_GB2312" w:hAnsi="宋体" w:cs="Arial" w:hint="eastAsia"/>
          <w:sz w:val="24"/>
        </w:rPr>
        <w:t>中期</w:t>
      </w:r>
      <w:r>
        <w:rPr>
          <w:rFonts w:ascii="仿宋_GB2312" w:eastAsia="仿宋_GB2312" w:hAnsi="宋体" w:cs="Arial" w:hint="eastAsia"/>
          <w:sz w:val="24"/>
        </w:rPr>
        <w:t>报告的编制；在每年结束之日起</w:t>
      </w:r>
      <w:r w:rsidR="00BE4659">
        <w:rPr>
          <w:rFonts w:ascii="仿宋_GB2312" w:eastAsia="仿宋_GB2312" w:hAnsi="宋体" w:cs="Arial" w:hint="eastAsia"/>
          <w:sz w:val="24"/>
        </w:rPr>
        <w:t>三个月</w:t>
      </w:r>
      <w:r>
        <w:rPr>
          <w:rFonts w:ascii="仿宋_GB2312" w:eastAsia="仿宋_GB2312" w:hAnsi="宋体" w:cs="Arial" w:hint="eastAsia"/>
          <w:sz w:val="24"/>
        </w:rPr>
        <w:t>内完成基金年度报告的编制。基金年度报告的财务会计报告应当经过审计。基金合同生效不足两个月的，基金管理人可以不编制当期季度报告、</w:t>
      </w:r>
      <w:r w:rsidR="00FC1F7C">
        <w:rPr>
          <w:rFonts w:ascii="仿宋_GB2312" w:eastAsia="仿宋_GB2312" w:hAnsi="宋体" w:cs="Arial" w:hint="eastAsia"/>
          <w:sz w:val="24"/>
        </w:rPr>
        <w:t>中期</w:t>
      </w:r>
      <w:r>
        <w:rPr>
          <w:rFonts w:ascii="仿宋_GB2312" w:eastAsia="仿宋_GB2312" w:hAnsi="宋体" w:cs="Arial" w:hint="eastAsia"/>
          <w:sz w:val="24"/>
        </w:rPr>
        <w:t>报告或者年度报告。</w:t>
      </w:r>
    </w:p>
    <w:p w:rsidR="008F3B05" w:rsidRDefault="008F3B05">
      <w:pPr>
        <w:pStyle w:val="a0"/>
        <w:adjustRightInd w:val="0"/>
        <w:snapToGrid w:val="0"/>
        <w:ind w:firstLine="480"/>
        <w:rPr>
          <w:rFonts w:ascii="仿宋_GB2312" w:eastAsia="仿宋_GB2312" w:hAnsi="宋体" w:cs="Arial"/>
          <w:sz w:val="24"/>
        </w:rPr>
      </w:pPr>
      <w:r>
        <w:rPr>
          <w:rFonts w:ascii="仿宋_GB2312" w:eastAsia="仿宋_GB2312" w:hAnsi="宋体" w:cs="Arial" w:hint="eastAsia"/>
          <w:sz w:val="24"/>
        </w:rPr>
        <w:t>（2）报表的复核</w:t>
      </w:r>
    </w:p>
    <w:p w:rsidR="008F3B05" w:rsidRDefault="008F3B05">
      <w:pPr>
        <w:pStyle w:val="a0"/>
        <w:adjustRightInd w:val="0"/>
        <w:snapToGrid w:val="0"/>
        <w:ind w:firstLine="480"/>
        <w:rPr>
          <w:rFonts w:ascii="仿宋_GB2312" w:eastAsia="仿宋_GB2312" w:hAnsi="宋体" w:cs="Arial"/>
          <w:sz w:val="24"/>
        </w:rPr>
      </w:pPr>
      <w:r>
        <w:rPr>
          <w:rFonts w:ascii="仿宋_GB2312" w:eastAsia="仿宋_GB2312"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8F3B05" w:rsidRDefault="008F3B05">
      <w:pPr>
        <w:pStyle w:val="a0"/>
        <w:adjustRightInd w:val="0"/>
        <w:snapToGrid w:val="0"/>
        <w:ind w:firstLine="480"/>
        <w:rPr>
          <w:rFonts w:ascii="仿宋_GB2312" w:eastAsia="仿宋_GB2312" w:hAnsi="宋体" w:cs="Arial"/>
          <w:sz w:val="24"/>
        </w:rPr>
      </w:pPr>
      <w:r>
        <w:rPr>
          <w:rFonts w:ascii="仿宋_GB2312" w:eastAsia="仿宋_GB2312" w:hAnsi="宋体" w:cs="Arial" w:hint="eastAsia"/>
          <w:sz w:val="24"/>
        </w:rPr>
        <w:t>基金管理人应留足充分的时间，便于基金托管人复核相关报表及报告。</w:t>
      </w:r>
    </w:p>
    <w:p w:rsidR="008F3B05" w:rsidRDefault="008F3B05">
      <w:pPr>
        <w:pStyle w:val="a0"/>
        <w:adjustRightInd w:val="0"/>
        <w:snapToGrid w:val="0"/>
        <w:ind w:firstLine="480"/>
        <w:rPr>
          <w:rFonts w:ascii="仿宋_GB2312" w:eastAsia="仿宋_GB2312" w:hAnsi="宋体" w:cs="Arial"/>
          <w:sz w:val="24"/>
        </w:rPr>
      </w:pPr>
      <w:r>
        <w:rPr>
          <w:rFonts w:ascii="仿宋_GB2312" w:eastAsia="仿宋_GB2312" w:hAnsi="宋体" w:cs="Arial" w:hint="eastAsia"/>
          <w:sz w:val="24"/>
        </w:rPr>
        <w:t>（八）基金管理人应在编制季度报告、</w:t>
      </w:r>
      <w:r w:rsidR="00FC1F7C">
        <w:rPr>
          <w:rFonts w:ascii="仿宋_GB2312" w:eastAsia="仿宋_GB2312" w:hAnsi="宋体" w:cs="Arial" w:hint="eastAsia"/>
          <w:sz w:val="24"/>
        </w:rPr>
        <w:t>中期</w:t>
      </w:r>
      <w:r>
        <w:rPr>
          <w:rFonts w:ascii="仿宋_GB2312" w:eastAsia="仿宋_GB2312" w:hAnsi="宋体" w:cs="Arial" w:hint="eastAsia"/>
          <w:sz w:val="24"/>
        </w:rPr>
        <w:t>报告或者年度报告之前及时向基金托管人提供基金业绩比较基准的基础数据和编制结果。</w:t>
      </w:r>
    </w:p>
    <w:p w:rsidR="008F3B05" w:rsidRDefault="008F3B05">
      <w:pPr>
        <w:pStyle w:val="a0"/>
        <w:adjustRightInd w:val="0"/>
        <w:snapToGrid w:val="0"/>
        <w:ind w:firstLineChars="0" w:firstLine="0"/>
        <w:rPr>
          <w:rFonts w:ascii="仿宋_GB2312" w:eastAsia="仿宋_GB2312" w:hAnsi="宋体" w:cs="Arial"/>
          <w:sz w:val="24"/>
        </w:rPr>
      </w:pPr>
    </w:p>
    <w:p w:rsidR="008F3B05" w:rsidRDefault="008F3B05">
      <w:pPr>
        <w:pStyle w:val="2"/>
        <w:jc w:val="center"/>
        <w:rPr>
          <w:rFonts w:eastAsia="宋体"/>
          <w:sz w:val="30"/>
        </w:rPr>
      </w:pPr>
      <w:bookmarkStart w:id="90" w:name="_Toc297031871"/>
      <w:r>
        <w:rPr>
          <w:rFonts w:eastAsia="宋体" w:hint="eastAsia"/>
          <w:sz w:val="30"/>
        </w:rPr>
        <w:t>九、基金收益分配</w:t>
      </w:r>
      <w:bookmarkEnd w:id="90"/>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基金收益分配是指按规定将基金的可分配收益按基金份额进行比例分配。</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（一）基金收益分配的原则</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基金收益分配应遵循下列原则：</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1.</w:t>
      </w:r>
      <w:r>
        <w:rPr>
          <w:rFonts w:ascii="仿宋_GB2312" w:eastAsia="仿宋_GB2312" w:hAnsi="宋体" w:cs="Arial"/>
          <w:sz w:val="24"/>
        </w:rPr>
        <w:t>本基金的每份基金份额享有同等分配权；</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2.</w:t>
      </w:r>
      <w:r>
        <w:rPr>
          <w:rFonts w:ascii="仿宋_GB2312" w:eastAsia="仿宋_GB2312" w:hAnsi="宋体" w:cs="Arial"/>
          <w:sz w:val="24"/>
        </w:rPr>
        <w:t>收益分配时所发生的银行转账或其他手续费用由投资</w:t>
      </w:r>
      <w:r>
        <w:rPr>
          <w:rFonts w:ascii="仿宋_GB2312" w:eastAsia="仿宋_GB2312" w:hAnsi="宋体" w:cs="Arial" w:hint="eastAsia"/>
          <w:sz w:val="24"/>
        </w:rPr>
        <w:t>人</w:t>
      </w:r>
      <w:r>
        <w:rPr>
          <w:rFonts w:ascii="仿宋_GB2312" w:eastAsia="仿宋_GB2312" w:hAnsi="宋体" w:cs="Arial"/>
          <w:sz w:val="24"/>
        </w:rPr>
        <w:t>自行承担。当投资</w:t>
      </w:r>
      <w:r>
        <w:rPr>
          <w:rFonts w:ascii="仿宋_GB2312" w:eastAsia="仿宋_GB2312" w:hAnsi="宋体" w:cs="Arial" w:hint="eastAsia"/>
          <w:sz w:val="24"/>
        </w:rPr>
        <w:t>人</w:t>
      </w:r>
      <w:r>
        <w:rPr>
          <w:rFonts w:ascii="仿宋_GB2312" w:eastAsia="仿宋_GB2312" w:hAnsi="宋体" w:cs="Arial"/>
          <w:sz w:val="24"/>
        </w:rPr>
        <w:t>的现金红利小于一定金额，不足以支付银行转账或其他手续费用时，基金</w:t>
      </w:r>
      <w:r>
        <w:rPr>
          <w:rFonts w:ascii="仿宋_GB2312" w:eastAsia="仿宋_GB2312" w:hAnsi="宋体" w:cs="Arial" w:hint="eastAsia"/>
          <w:sz w:val="24"/>
        </w:rPr>
        <w:t>注册</w:t>
      </w:r>
      <w:r>
        <w:rPr>
          <w:rFonts w:ascii="仿宋_GB2312" w:eastAsia="仿宋_GB2312" w:hAnsi="宋体" w:cs="Arial"/>
          <w:sz w:val="24"/>
        </w:rPr>
        <w:t>登记</w:t>
      </w:r>
      <w:r>
        <w:rPr>
          <w:rFonts w:ascii="仿宋_GB2312" w:eastAsia="仿宋_GB2312" w:hAnsi="宋体" w:cs="Arial" w:hint="eastAsia"/>
          <w:sz w:val="24"/>
        </w:rPr>
        <w:t>机构</w:t>
      </w:r>
      <w:r>
        <w:rPr>
          <w:rFonts w:ascii="仿宋_GB2312" w:eastAsia="仿宋_GB2312" w:hAnsi="宋体" w:cs="Arial"/>
          <w:sz w:val="24"/>
        </w:rPr>
        <w:t>可将投资</w:t>
      </w:r>
      <w:r>
        <w:rPr>
          <w:rFonts w:ascii="仿宋_GB2312" w:eastAsia="仿宋_GB2312" w:hAnsi="宋体" w:cs="Arial" w:hint="eastAsia"/>
          <w:sz w:val="24"/>
        </w:rPr>
        <w:t>人</w:t>
      </w:r>
      <w:r>
        <w:rPr>
          <w:rFonts w:ascii="仿宋_GB2312" w:eastAsia="仿宋_GB2312" w:hAnsi="宋体" w:cs="Arial"/>
          <w:sz w:val="24"/>
        </w:rPr>
        <w:t>的现金红利按</w:t>
      </w:r>
      <w:r>
        <w:rPr>
          <w:rFonts w:ascii="仿宋_GB2312" w:eastAsia="仿宋_GB2312" w:hAnsi="宋体" w:cs="Arial" w:hint="eastAsia"/>
          <w:sz w:val="24"/>
        </w:rPr>
        <w:t>分红除权后的单位净值</w:t>
      </w:r>
      <w:r>
        <w:rPr>
          <w:rFonts w:ascii="仿宋_GB2312" w:eastAsia="仿宋_GB2312" w:hAnsi="宋体" w:cs="Arial"/>
          <w:sz w:val="24"/>
        </w:rPr>
        <w:t>自动转为基金份额</w:t>
      </w:r>
      <w:r>
        <w:rPr>
          <w:rFonts w:ascii="仿宋_GB2312" w:eastAsia="仿宋_GB2312" w:hAnsi="宋体" w:cs="Arial" w:hint="eastAsia"/>
          <w:sz w:val="24"/>
        </w:rPr>
        <w:t>；</w:t>
      </w:r>
    </w:p>
    <w:p w:rsidR="008F3B05" w:rsidRDefault="008F3B05">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本基金收益每年最多分配</w:t>
      </w:r>
      <w:r>
        <w:rPr>
          <w:rFonts w:ascii="仿宋_GB2312" w:eastAsia="仿宋_GB2312" w:hint="eastAsia"/>
          <w:sz w:val="24"/>
        </w:rPr>
        <w:t>四</w:t>
      </w:r>
      <w:r>
        <w:rPr>
          <w:rFonts w:ascii="仿宋_GB2312" w:eastAsia="仿宋_GB2312"/>
          <w:sz w:val="24"/>
        </w:rPr>
        <w:t>次，每次基金收益分配比例不低于</w:t>
      </w:r>
      <w:r>
        <w:rPr>
          <w:rFonts w:ascii="仿宋_GB2312" w:eastAsia="仿宋_GB2312" w:hint="eastAsia"/>
          <w:sz w:val="24"/>
        </w:rPr>
        <w:t>收益分配基准日可供分配利润</w:t>
      </w:r>
      <w:r>
        <w:rPr>
          <w:rFonts w:ascii="仿宋_GB2312" w:eastAsia="仿宋_GB2312"/>
          <w:sz w:val="24"/>
        </w:rPr>
        <w:t>的</w:t>
      </w:r>
      <w:r>
        <w:rPr>
          <w:rFonts w:ascii="仿宋_GB2312" w:eastAsia="仿宋_GB2312" w:hint="eastAsia"/>
          <w:sz w:val="24"/>
        </w:rPr>
        <w:t>80</w:t>
      </w:r>
      <w:r>
        <w:rPr>
          <w:rFonts w:ascii="仿宋_GB2312" w:eastAsia="仿宋_GB2312"/>
          <w:sz w:val="24"/>
        </w:rPr>
        <w:t>%；</w:t>
      </w:r>
    </w:p>
    <w:p w:rsidR="008F3B05" w:rsidRDefault="008F3B05">
      <w:pPr>
        <w:spacing w:line="360" w:lineRule="auto"/>
        <w:ind w:firstLineChars="200" w:firstLine="480"/>
        <w:rPr>
          <w:rFonts w:ascii="仿宋_GB2312" w:eastAsia="仿宋_GB2312"/>
          <w:sz w:val="24"/>
        </w:rPr>
      </w:pPr>
      <w:r>
        <w:rPr>
          <w:rFonts w:ascii="仿宋_GB2312" w:eastAsia="仿宋_GB2312" w:hint="eastAsia"/>
          <w:sz w:val="24"/>
        </w:rPr>
        <w:t>4.</w:t>
      </w:r>
      <w:proofErr w:type="gramStart"/>
      <w:r>
        <w:rPr>
          <w:rFonts w:ascii="仿宋_GB2312" w:eastAsia="仿宋_GB2312" w:hint="eastAsia"/>
          <w:sz w:val="24"/>
        </w:rPr>
        <w:t>若基金</w:t>
      </w:r>
      <w:proofErr w:type="gramEnd"/>
      <w:r>
        <w:rPr>
          <w:rFonts w:ascii="仿宋_GB2312" w:eastAsia="仿宋_GB2312" w:hint="eastAsia"/>
          <w:sz w:val="24"/>
        </w:rPr>
        <w:t>合同生效不满3个月则可不进行收益分配；</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5.本基金收益分配方式分为两种：现金分红与红利再投资，投资人可选择现金红利或将现金红利按分红除权</w:t>
      </w:r>
      <w:r>
        <w:rPr>
          <w:rFonts w:ascii="仿宋_GB2312" w:eastAsia="仿宋_GB2312" w:hint="eastAsia"/>
          <w:sz w:val="24"/>
        </w:rPr>
        <w:t>日的基金份额</w:t>
      </w:r>
      <w:r>
        <w:rPr>
          <w:rFonts w:ascii="仿宋_GB2312" w:eastAsia="仿宋_GB2312" w:hAnsi="宋体" w:cs="Arial" w:hint="eastAsia"/>
          <w:sz w:val="24"/>
        </w:rPr>
        <w:t>净值自动转为基金份额进行再投资；若投资人不选择，本基金默认的收益分配方式是现金分红；</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6.</w:t>
      </w:r>
      <w:r>
        <w:rPr>
          <w:rFonts w:ascii="仿宋_GB2312" w:eastAsia="仿宋_GB2312" w:hint="eastAsia"/>
          <w:sz w:val="24"/>
        </w:rPr>
        <w:t xml:space="preserve"> 基金红利发放</w:t>
      </w:r>
      <w:proofErr w:type="gramStart"/>
      <w:r>
        <w:rPr>
          <w:rFonts w:ascii="仿宋_GB2312" w:eastAsia="仿宋_GB2312" w:hint="eastAsia"/>
          <w:sz w:val="24"/>
        </w:rPr>
        <w:t>日距离</w:t>
      </w:r>
      <w:proofErr w:type="gramEnd"/>
      <w:r>
        <w:rPr>
          <w:rFonts w:ascii="仿宋_GB2312" w:eastAsia="仿宋_GB2312" w:hint="eastAsia"/>
          <w:sz w:val="24"/>
        </w:rPr>
        <w:t>收益分配基准日（即可供分配利润计算截至日）的时间不得超过15个工作日</w:t>
      </w:r>
      <w:r>
        <w:rPr>
          <w:rFonts w:ascii="仿宋_GB2312" w:eastAsia="仿宋_GB2312" w:hAnsi="宋体" w:cs="Arial" w:hint="eastAsia"/>
          <w:sz w:val="24"/>
        </w:rPr>
        <w:t>；</w:t>
      </w:r>
    </w:p>
    <w:p w:rsidR="008F3B05" w:rsidRDefault="008F3B05">
      <w:pPr>
        <w:ind w:firstLineChars="200" w:firstLine="480"/>
        <w:rPr>
          <w:rFonts w:ascii="仿宋_GB2312" w:eastAsia="仿宋_GB2312"/>
          <w:sz w:val="24"/>
        </w:rPr>
      </w:pPr>
      <w:r>
        <w:rPr>
          <w:rFonts w:ascii="仿宋_GB2312" w:eastAsia="仿宋_GB2312" w:hAnsi="宋体" w:cs="Arial" w:hint="eastAsia"/>
          <w:sz w:val="24"/>
        </w:rPr>
        <w:t>7. 基金收益分配后每一基金份额净值不能低于面值，即基金收益分配基准日的基金份额净值减去每单位基金份额收益分配金额后不能低于面值；</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8.</w:t>
      </w:r>
      <w:r>
        <w:rPr>
          <w:rFonts w:ascii="仿宋_GB2312" w:eastAsia="仿宋_GB2312" w:hAnsi="宋体" w:cs="Arial"/>
          <w:sz w:val="24"/>
        </w:rPr>
        <w:t>法律法规或监管机构另有规定的从其规定。</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（二）基金收益分配的时间和程序</w:t>
      </w:r>
    </w:p>
    <w:p w:rsidR="008F3B05" w:rsidRDefault="008F3B05">
      <w:pPr>
        <w:adjustRightInd w:val="0"/>
        <w:snapToGrid w:val="0"/>
        <w:ind w:firstLineChars="200" w:firstLine="480"/>
        <w:outlineLvl w:val="0"/>
        <w:rPr>
          <w:rFonts w:ascii="仿宋_GB2312" w:eastAsia="仿宋_GB2312" w:hAnsi="宋体" w:cs="Arial"/>
          <w:sz w:val="24"/>
          <w:highlight w:val="green"/>
        </w:rPr>
      </w:pPr>
      <w:r>
        <w:rPr>
          <w:rFonts w:ascii="仿宋_GB2312" w:eastAsia="仿宋_GB2312" w:hAnsi="宋体" w:cs="Arial" w:hint="eastAsia"/>
          <w:sz w:val="24"/>
        </w:rPr>
        <w:t>本基金收益分配方案由基金管理人拟订、基金托管人复核。基金收益分配方案公告后</w:t>
      </w:r>
      <w:r>
        <w:rPr>
          <w:rFonts w:ascii="仿宋_GB2312" w:eastAsia="仿宋_GB2312" w:hAnsi="宋体" w:cs="Arial"/>
          <w:sz w:val="24"/>
        </w:rPr>
        <w:t>(依据具体方案的规定)，基金管理人就支付的现金红利向基金托管人发送划款指令，基金托管人按照基金管理人的指令及时进行分红资金的划付。</w:t>
      </w:r>
    </w:p>
    <w:p w:rsidR="008F3B05" w:rsidRDefault="008F3B05">
      <w:pPr>
        <w:pStyle w:val="2"/>
        <w:jc w:val="center"/>
        <w:rPr>
          <w:rFonts w:eastAsia="宋体"/>
          <w:sz w:val="30"/>
        </w:rPr>
      </w:pPr>
      <w:bookmarkStart w:id="91" w:name="_Toc297031872"/>
      <w:r>
        <w:rPr>
          <w:rFonts w:eastAsia="宋体" w:hint="eastAsia"/>
          <w:sz w:val="30"/>
        </w:rPr>
        <w:lastRenderedPageBreak/>
        <w:t>十、基金信息披露</w:t>
      </w:r>
      <w:bookmarkEnd w:id="91"/>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（一）保密义务</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1.非因基金管理人和基金托管人的原因导致保密信息被披露、泄露或公开；</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2.基金管理人和基金托管人为遵守和服从法院判决或裁定、仲裁裁决或中国证监会等监管机构的命令、决定所做出的信息披露或公开。</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（二）信息披露的内容</w:t>
      </w:r>
    </w:p>
    <w:p w:rsidR="008F3B05" w:rsidRDefault="008F3B05">
      <w:pPr>
        <w:ind w:firstLineChars="200" w:firstLine="480"/>
        <w:rPr>
          <w:rFonts w:ascii="仿宋_GB2312" w:eastAsia="仿宋_GB2312" w:hAnsi="宋体" w:cs="Arial"/>
          <w:sz w:val="24"/>
        </w:rPr>
      </w:pPr>
      <w:r>
        <w:rPr>
          <w:rFonts w:ascii="仿宋_GB2312" w:eastAsia="仿宋_GB2312" w:hAnsi="宋体" w:cs="Arial" w:hint="eastAsia"/>
          <w:sz w:val="24"/>
        </w:rPr>
        <w:t>基金的信息披露内容主要包括基金招募说明书、</w:t>
      </w:r>
      <w:r w:rsidR="007801CE" w:rsidRPr="007801CE">
        <w:rPr>
          <w:rFonts w:ascii="仿宋_GB2312" w:eastAsia="仿宋_GB2312" w:hAnsi="宋体" w:cs="Arial" w:hint="eastAsia"/>
          <w:sz w:val="24"/>
        </w:rPr>
        <w:t>基金产品资料概要、</w:t>
      </w:r>
      <w:r>
        <w:rPr>
          <w:rFonts w:ascii="仿宋_GB2312" w:eastAsia="仿宋_GB2312" w:hAnsi="宋体" w:cs="Arial" w:hint="eastAsia"/>
          <w:sz w:val="24"/>
        </w:rPr>
        <w:t>基金合同、托管协议、基金份额发售公告、基金募集情况、基金合同生效公告、基金净值</w:t>
      </w:r>
      <w:r w:rsidR="00C30952">
        <w:rPr>
          <w:rFonts w:ascii="仿宋_GB2312" w:eastAsia="仿宋_GB2312" w:hAnsi="宋体" w:cs="Arial" w:hint="eastAsia"/>
          <w:sz w:val="24"/>
        </w:rPr>
        <w:t>信息</w:t>
      </w:r>
      <w:r>
        <w:rPr>
          <w:rFonts w:ascii="仿宋_GB2312" w:eastAsia="仿宋_GB2312" w:hAnsi="宋体" w:cs="Arial" w:hint="eastAsia"/>
          <w:sz w:val="24"/>
        </w:rPr>
        <w:t>、基金份额申购、赎回价格、基金定期报告、包括基金年度报告、基金</w:t>
      </w:r>
      <w:r w:rsidR="00FC1F7C">
        <w:rPr>
          <w:rFonts w:ascii="仿宋_GB2312" w:eastAsia="仿宋_GB2312" w:hAnsi="宋体" w:cs="Arial" w:hint="eastAsia"/>
          <w:sz w:val="24"/>
        </w:rPr>
        <w:t>中期</w:t>
      </w:r>
      <w:r>
        <w:rPr>
          <w:rFonts w:ascii="仿宋_GB2312" w:eastAsia="仿宋_GB2312" w:hAnsi="宋体" w:cs="Arial" w:hint="eastAsia"/>
          <w:sz w:val="24"/>
        </w:rPr>
        <w:t>报告和基金季度报告</w:t>
      </w:r>
      <w:r w:rsidR="00BE4659" w:rsidRPr="00BE4659">
        <w:rPr>
          <w:rFonts w:ascii="仿宋_GB2312" w:eastAsia="仿宋_GB2312" w:hAnsi="宋体" w:cs="Arial" w:hint="eastAsia"/>
          <w:sz w:val="24"/>
        </w:rPr>
        <w:t>（含资产组合季度报告）</w:t>
      </w:r>
      <w:r>
        <w:rPr>
          <w:rFonts w:ascii="仿宋_GB2312" w:eastAsia="仿宋_GB2312" w:hAnsi="宋体" w:cs="Arial" w:hint="eastAsia"/>
          <w:sz w:val="24"/>
        </w:rPr>
        <w:t>、临时报告、澄清公告、</w:t>
      </w:r>
      <w:r w:rsidR="00BE4659" w:rsidRPr="00BE4659">
        <w:rPr>
          <w:rFonts w:ascii="仿宋_GB2312" w:eastAsia="仿宋_GB2312" w:hAnsi="宋体" w:cs="Arial" w:hint="eastAsia"/>
          <w:sz w:val="24"/>
        </w:rPr>
        <w:t>清算报告、</w:t>
      </w:r>
      <w:r>
        <w:rPr>
          <w:rFonts w:ascii="仿宋_GB2312" w:eastAsia="仿宋_GB2312" w:hAnsi="宋体" w:cs="Arial" w:hint="eastAsia"/>
          <w:sz w:val="24"/>
        </w:rPr>
        <w:t>基金份额持有人大会决议、中国证监会规定的其他信息。基金年度报告需经具有从事证券</w:t>
      </w:r>
      <w:r w:rsidR="00BE4659">
        <w:rPr>
          <w:rFonts w:ascii="仿宋_GB2312" w:eastAsia="仿宋_GB2312" w:hAnsi="宋体" w:cs="Arial" w:hint="eastAsia"/>
          <w:sz w:val="24"/>
        </w:rPr>
        <w:t>、期货</w:t>
      </w:r>
      <w:r>
        <w:rPr>
          <w:rFonts w:ascii="仿宋_GB2312" w:eastAsia="仿宋_GB2312" w:hAnsi="宋体" w:cs="Arial" w:hint="eastAsia"/>
          <w:sz w:val="24"/>
        </w:rPr>
        <w:t>相关业务资格的会计师事务所审计后，方可披露。</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（三）基金托管人和基金管理人在信息披露中的职责和信息披露程序</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1.职责</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对于不需要基金托管人(或基金管理人)复核的信息，基金管理人(或基金托管人)在公告前应告知基金托管人(或基金管理人)。</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基金管理人和基金托管人应积极配合、互相监督，保证其履行按照法定方式和限时披露的义务。</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基金管理人应当在中国证监会规定的时间内，将应予披露的基金信息通过中国证监会指定媒介披露。根据法律法规应由基金托管人公开披露的信息，基金托管人将通过指定</w:t>
      </w:r>
      <w:r w:rsidR="001709A8">
        <w:rPr>
          <w:rFonts w:ascii="仿宋_GB2312" w:eastAsia="仿宋_GB2312" w:hAnsi="宋体" w:cs="Arial" w:hint="eastAsia"/>
          <w:sz w:val="24"/>
        </w:rPr>
        <w:t>媒介</w:t>
      </w:r>
      <w:r>
        <w:rPr>
          <w:rFonts w:ascii="仿宋_GB2312" w:eastAsia="仿宋_GB2312" w:hAnsi="宋体" w:cs="Arial" w:hint="eastAsia"/>
          <w:sz w:val="24"/>
        </w:rPr>
        <w:t>披露。</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当出现下述情况时，基金管理人和基金托管人可暂停或延迟披露基金相关信息：</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(1)不可抗力；</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(2)基金投资所涉及的证券交易市场遇法定节假日或因其他原因暂停营业时；</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(3)出现基金管理人认为属于会导致基金管理人不能出售或评估基金资产的紧急事故的任何情况；</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(4)法律法规、基金合同或中国证监会规定的情况。</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2.程序</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3.信息文本的存放</w:t>
      </w:r>
    </w:p>
    <w:p w:rsidR="008F3B05" w:rsidRDefault="008F3B05">
      <w:pPr>
        <w:pStyle w:val="a0"/>
        <w:ind w:firstLine="480"/>
        <w:rPr>
          <w:rFonts w:ascii="仿宋_GB2312" w:eastAsia="仿宋_GB2312" w:hAnsi="宋体" w:cs="Arial"/>
          <w:sz w:val="24"/>
        </w:rPr>
      </w:pPr>
      <w:r>
        <w:rPr>
          <w:rFonts w:ascii="仿宋_GB2312" w:eastAsia="仿宋_GB2312" w:hAnsi="宋体" w:cs="Arial" w:hint="eastAsia"/>
          <w:sz w:val="24"/>
        </w:rPr>
        <w:lastRenderedPageBreak/>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8F3B05" w:rsidRDefault="008F3B05">
      <w:pPr>
        <w:pStyle w:val="a0"/>
        <w:ind w:firstLineChars="0" w:firstLine="0"/>
        <w:rPr>
          <w:rFonts w:ascii="仿宋_GB2312" w:eastAsia="仿宋_GB2312" w:hAnsi="宋体" w:cs="Arial"/>
          <w:sz w:val="24"/>
        </w:rPr>
      </w:pPr>
    </w:p>
    <w:p w:rsidR="008F3B05" w:rsidRDefault="008F3B05">
      <w:pPr>
        <w:pStyle w:val="2"/>
        <w:jc w:val="center"/>
        <w:rPr>
          <w:rFonts w:eastAsia="宋体"/>
          <w:sz w:val="30"/>
        </w:rPr>
      </w:pPr>
      <w:bookmarkStart w:id="92" w:name="_Toc297031873"/>
      <w:r>
        <w:rPr>
          <w:rFonts w:eastAsia="宋体" w:hint="eastAsia"/>
          <w:sz w:val="30"/>
        </w:rPr>
        <w:t>十一、基金费用</w:t>
      </w:r>
      <w:bookmarkEnd w:id="92"/>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（一）基金管理费的计提比例和计提方法</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在通常情况下，基金管理费按前一日基金资产净值1.5%年费率计提。计算方法如下：</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H＝E×年管理费率÷当年天数</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H为每日应计提的基金管理费</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E为前一日的基金资产净值</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（二）基金托管费的计提比例和计提方法</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在通常情况下，基金托管费按前一日基金资产净值的0.25%年费率计提。计算方法如下：</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H＝E×年托管费率÷当年天数</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H为每日应计提的基金托管费</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E为前一日的基金资产净值</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（三）证券账户开户费用、证券交易费用、基金财产划拨支付的银行费用、银行账户维护费、基金合同生效后的信息披露费用</w:t>
      </w:r>
      <w:r w:rsidR="00C30952" w:rsidRPr="00C30952">
        <w:rPr>
          <w:rFonts w:ascii="仿宋_GB2312" w:eastAsia="仿宋_GB2312" w:hAnsi="宋体" w:cs="Arial" w:hint="eastAsia"/>
          <w:sz w:val="24"/>
        </w:rPr>
        <w:t>（法律法规或中国证监会另有规定的除外）</w:t>
      </w:r>
      <w:r>
        <w:rPr>
          <w:rFonts w:ascii="仿宋_GB2312" w:eastAsia="仿宋_GB2312" w:hAnsi="宋体" w:cs="Arial" w:hint="eastAsia"/>
          <w:sz w:val="24"/>
        </w:rPr>
        <w:t>、基金份额持有人大会费用、基金合同生效后与基金有关的会计师费和律师费等根据有关法律法规、基金合同及相应协议的规定，列入当期基金费用。</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（四）不列入基金费用的项目</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合同生效前的律师费、会计师费和信息披露费用不得从基金财产中列支。基金管理人与基金托管人因未履行或未完全履行义务导致的费用支出或基金财产的损失，以及处理与基金运作无关的事项发生的费用等不列入基金费用。</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（五）基金管理费和基金托管费的调整</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基金管理人和基金托管人可协商酌情降低基金管理费和基金托管费，此项调整不需要基金份额持有人大会决议通过。基金管理人必须最迟于新的费率实施日</w:t>
      </w:r>
      <w:r w:rsidR="00BE4659">
        <w:rPr>
          <w:rFonts w:ascii="仿宋_GB2312" w:eastAsia="仿宋_GB2312" w:hAnsi="宋体" w:cs="Arial" w:hint="eastAsia"/>
          <w:sz w:val="24"/>
        </w:rPr>
        <w:t>2日</w:t>
      </w:r>
      <w:r>
        <w:rPr>
          <w:rFonts w:ascii="仿宋_GB2312" w:eastAsia="仿宋_GB2312" w:hAnsi="宋体" w:cs="Arial" w:hint="eastAsia"/>
          <w:sz w:val="24"/>
        </w:rPr>
        <w:t>前在指定</w:t>
      </w:r>
      <w:r w:rsidR="001709A8">
        <w:rPr>
          <w:rFonts w:ascii="仿宋_GB2312" w:eastAsia="仿宋_GB2312" w:hAnsi="宋体" w:cs="Arial" w:hint="eastAsia"/>
          <w:sz w:val="24"/>
        </w:rPr>
        <w:t>媒介</w:t>
      </w:r>
      <w:r>
        <w:rPr>
          <w:rFonts w:ascii="仿宋_GB2312" w:eastAsia="仿宋_GB2312" w:hAnsi="宋体" w:cs="Arial" w:hint="eastAsia"/>
          <w:sz w:val="24"/>
        </w:rPr>
        <w:t>上刊登公告。</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（六）基金管理费和基金托管费的复核程序、支付方式和时间</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1.复核程序</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基金托管人对基金管理人计提的基金管理费和基金托管费等，根据本托管协议和基金合同的有关规定进行复核。</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2.支付方式和时间</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管理费、基金托管费每日计提，按月支付。由基金管理人向基金托管人发送基金管理费、基金托管费划付指令,经基金托管人复核后于次月首日起5个工作日内从基金财产中一次性支付给基金管理人和基金托管人。</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若遇法定节假日、休息日或不可抗力致使无法按时支付的，顺延至最近可支付日支付。</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（七）违规处理方式</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基金托管人发现基金管理人违反《基金法》、基金合同、《运作办法》及其他有关规定从基金财产中列支费用时，基金托管人可要求基金管理人予以说明解释，</w:t>
      </w:r>
      <w:r>
        <w:rPr>
          <w:rFonts w:ascii="仿宋_GB2312" w:eastAsia="仿宋_GB2312" w:hAnsi="宋体" w:cs="Arial" w:hint="eastAsia"/>
          <w:sz w:val="24"/>
        </w:rPr>
        <w:lastRenderedPageBreak/>
        <w:t>如基金管理人无正当理由，基金托管人可拒绝支付。</w:t>
      </w:r>
    </w:p>
    <w:p w:rsidR="008F3B05" w:rsidRDefault="008F3B05">
      <w:pPr>
        <w:adjustRightInd w:val="0"/>
        <w:snapToGrid w:val="0"/>
        <w:rPr>
          <w:rFonts w:ascii="仿宋_GB2312" w:eastAsia="仿宋_GB2312" w:hAnsi="宋体" w:cs="Arial"/>
          <w:sz w:val="24"/>
        </w:rPr>
      </w:pPr>
    </w:p>
    <w:p w:rsidR="008F3B05" w:rsidRDefault="008F3B05">
      <w:pPr>
        <w:pStyle w:val="2"/>
        <w:jc w:val="center"/>
        <w:rPr>
          <w:rFonts w:eastAsia="宋体"/>
          <w:sz w:val="30"/>
        </w:rPr>
      </w:pPr>
      <w:bookmarkStart w:id="93" w:name="_Toc297031874"/>
      <w:r>
        <w:rPr>
          <w:rFonts w:eastAsia="宋体" w:hint="eastAsia"/>
          <w:sz w:val="30"/>
        </w:rPr>
        <w:t>十二、基金份额持有人名册的保管</w:t>
      </w:r>
      <w:bookmarkEnd w:id="93"/>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在基金托管人要求或编制</w:t>
      </w:r>
      <w:r w:rsidR="00BE4659">
        <w:rPr>
          <w:rFonts w:ascii="仿宋_GB2312" w:eastAsia="仿宋_GB2312" w:hAnsi="宋体" w:cs="Arial" w:hint="eastAsia"/>
          <w:sz w:val="24"/>
        </w:rPr>
        <w:t>中期报告</w:t>
      </w:r>
      <w:r>
        <w:rPr>
          <w:rFonts w:ascii="仿宋_GB2312" w:eastAsia="仿宋_GB2312" w:hAnsi="宋体" w:cs="Arial" w:hint="eastAsia"/>
          <w:sz w:val="24"/>
        </w:rPr>
        <w:t>和年报前，基金管理人应将有关资料送交基金托管人，不得无故拒绝或延误提供，并保证其的真实性、准确性和完整性。</w:t>
      </w:r>
      <w:r>
        <w:rPr>
          <w:rFonts w:ascii="仿宋_GB2312" w:eastAsia="仿宋_GB2312" w:hAnsi="宋体" w:hint="eastAsia"/>
          <w:kern w:val="0"/>
          <w:sz w:val="24"/>
        </w:rPr>
        <w:t>基金托管人不得将所保管的基金份额持有人名册用于基金托管业务以外的其他用途，并应遵守保密义务, 法律法规另有规定或有权机关另有要求的除外。</w:t>
      </w:r>
    </w:p>
    <w:p w:rsidR="008F3B05" w:rsidRDefault="008F3B05">
      <w:pPr>
        <w:adjustRightInd w:val="0"/>
        <w:snapToGrid w:val="0"/>
        <w:rPr>
          <w:rFonts w:ascii="仿宋_GB2312" w:eastAsia="仿宋_GB2312" w:hAnsi="宋体" w:cs="Arial"/>
          <w:sz w:val="24"/>
        </w:rPr>
      </w:pPr>
    </w:p>
    <w:p w:rsidR="008F3B05" w:rsidRDefault="008F3B05">
      <w:pPr>
        <w:pStyle w:val="2"/>
        <w:jc w:val="center"/>
        <w:rPr>
          <w:rFonts w:eastAsia="宋体"/>
          <w:sz w:val="30"/>
        </w:rPr>
      </w:pPr>
      <w:bookmarkStart w:id="94" w:name="_Toc297031875"/>
      <w:r>
        <w:rPr>
          <w:rFonts w:eastAsia="宋体" w:hint="eastAsia"/>
          <w:sz w:val="30"/>
        </w:rPr>
        <w:t>十三、基金有关文件档案的保存</w:t>
      </w:r>
      <w:bookmarkEnd w:id="94"/>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（一）档案保存</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（二）合同档案的建立</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1.基金管理人签署重大合同文本后，应及时将合同文本正本送达基金托管人处。</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2.基金管理人应及时将与本基金账务处理、资金划拨等有关的合同、协议传真基金托管人。</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（三）变更与协助</w:t>
      </w:r>
    </w:p>
    <w:p w:rsidR="008F3B05" w:rsidRDefault="008F3B05">
      <w:pPr>
        <w:adjustRightInd w:val="0"/>
        <w:snapToGrid w:val="0"/>
        <w:ind w:firstLineChars="200" w:firstLine="480"/>
        <w:rPr>
          <w:rFonts w:eastAsia="方正仿宋简体"/>
          <w:b/>
          <w:bCs/>
          <w:sz w:val="30"/>
          <w:szCs w:val="30"/>
        </w:rPr>
      </w:pPr>
      <w:proofErr w:type="gramStart"/>
      <w:r>
        <w:rPr>
          <w:rFonts w:ascii="仿宋_GB2312" w:eastAsia="仿宋_GB2312" w:hAnsi="宋体" w:cs="Arial" w:hint="eastAsia"/>
          <w:sz w:val="24"/>
        </w:rPr>
        <w:t>若基金</w:t>
      </w:r>
      <w:proofErr w:type="gramEnd"/>
      <w:r>
        <w:rPr>
          <w:rFonts w:ascii="仿宋_GB2312" w:eastAsia="仿宋_GB2312" w:hAnsi="宋体" w:cs="Arial" w:hint="eastAsia"/>
          <w:sz w:val="24"/>
        </w:rPr>
        <w:t>管理人/基金托管人发生变更，未变更的一方有义务协助变更后的接任人接收相应文件。</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（四）基金管理人和基金托管人应按各自职责完整保存原始凭证、记账凭证、基金账册、交易记录和重要合同等，承担保密义务并保存至少十五年以上，</w:t>
      </w:r>
      <w:r>
        <w:rPr>
          <w:rFonts w:ascii="仿宋_GB2312" w:eastAsia="仿宋_GB2312" w:hAnsi="宋体" w:hint="eastAsia"/>
          <w:kern w:val="0"/>
          <w:sz w:val="24"/>
        </w:rPr>
        <w:t>法律法规另有规定或有权机关另有要求的除外</w:t>
      </w:r>
      <w:r>
        <w:rPr>
          <w:rFonts w:ascii="仿宋_GB2312" w:eastAsia="仿宋_GB2312" w:hAnsi="宋体" w:cs="Arial" w:hint="eastAsia"/>
          <w:sz w:val="24"/>
        </w:rPr>
        <w:t>。</w:t>
      </w:r>
    </w:p>
    <w:p w:rsidR="008F3B05" w:rsidRDefault="008F3B05">
      <w:pPr>
        <w:adjustRightInd w:val="0"/>
        <w:snapToGrid w:val="0"/>
        <w:rPr>
          <w:rFonts w:eastAsia="方正仿宋简体"/>
          <w:sz w:val="30"/>
          <w:szCs w:val="30"/>
        </w:rPr>
      </w:pPr>
    </w:p>
    <w:p w:rsidR="008F3B05" w:rsidRDefault="008F3B05">
      <w:pPr>
        <w:pStyle w:val="2"/>
        <w:jc w:val="center"/>
        <w:rPr>
          <w:rFonts w:eastAsia="宋体"/>
          <w:sz w:val="30"/>
        </w:rPr>
      </w:pPr>
      <w:bookmarkStart w:id="95" w:name="_Toc297031876"/>
      <w:r>
        <w:rPr>
          <w:rFonts w:eastAsia="宋体" w:hint="eastAsia"/>
          <w:sz w:val="30"/>
        </w:rPr>
        <w:t>十四、基金管理人和基金托管人的更换</w:t>
      </w:r>
      <w:bookmarkEnd w:id="95"/>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（一）基金管理人的更换</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1.基金管理人的更换条件</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有下列情形之一的，基金管理人职责终止：</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w:t>
      </w:r>
      <w:r>
        <w:rPr>
          <w:rFonts w:ascii="仿宋_GB2312" w:eastAsia="仿宋_GB2312" w:hAnsi="宋体" w:cs="Arial"/>
          <w:sz w:val="24"/>
        </w:rPr>
        <w:t>基金管理人被依法取消基金管理资格</w:t>
      </w:r>
      <w:r>
        <w:rPr>
          <w:rFonts w:ascii="仿宋_GB2312" w:eastAsia="仿宋_GB2312" w:hAnsi="宋体" w:cs="Arial" w:hint="eastAsia"/>
          <w:sz w:val="24"/>
        </w:rPr>
        <w:t>；</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(2)基金管理人依法解散、被依法撤销或者被依法宣告破产；</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(3)基金管理人被基金份额持有人大会解任；</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lastRenderedPageBreak/>
        <w:t>(4)</w:t>
      </w:r>
      <w:r>
        <w:rPr>
          <w:rFonts w:ascii="仿宋_GB2312" w:eastAsia="仿宋_GB2312" w:hAnsi="宋体" w:cs="Arial"/>
          <w:sz w:val="24"/>
        </w:rPr>
        <w:t>法律法规和基金合同规定的其他情形</w:t>
      </w:r>
      <w:r>
        <w:rPr>
          <w:rFonts w:ascii="仿宋_GB2312" w:eastAsia="仿宋_GB2312" w:hAnsi="宋体" w:cs="Arial" w:hint="eastAsia"/>
          <w:sz w:val="24"/>
        </w:rPr>
        <w:t>。</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2.基金管理人的更换程序</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更换基金管理人必须依照如下程序进行：</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(1)提名：</w:t>
      </w:r>
      <w:proofErr w:type="gramStart"/>
      <w:r>
        <w:rPr>
          <w:rFonts w:ascii="仿宋_GB2312" w:eastAsia="仿宋_GB2312" w:hAnsi="宋体" w:cs="Arial" w:hint="eastAsia"/>
          <w:sz w:val="24"/>
        </w:rPr>
        <w:t>新任基金</w:t>
      </w:r>
      <w:proofErr w:type="gramEnd"/>
      <w:r>
        <w:rPr>
          <w:rFonts w:ascii="仿宋_GB2312" w:eastAsia="仿宋_GB2312" w:hAnsi="宋体" w:cs="Arial" w:hint="eastAsia"/>
          <w:sz w:val="24"/>
        </w:rPr>
        <w:t>管理人由基金托管人</w:t>
      </w:r>
      <w:r>
        <w:rPr>
          <w:rFonts w:ascii="仿宋_GB2312" w:eastAsia="仿宋_GB2312" w:hint="eastAsia"/>
          <w:sz w:val="24"/>
        </w:rPr>
        <w:t>或者单独或合计持有基金总份额10%以上的基金份额持有人</w:t>
      </w:r>
      <w:r>
        <w:rPr>
          <w:rFonts w:ascii="仿宋_GB2312" w:eastAsia="仿宋_GB2312" w:hAnsi="宋体" w:cs="Arial" w:hint="eastAsia"/>
          <w:sz w:val="24"/>
        </w:rPr>
        <w:t>提名；</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(2)决议：基金份额持有人大会在</w:t>
      </w:r>
      <w:proofErr w:type="gramStart"/>
      <w:r>
        <w:rPr>
          <w:rFonts w:ascii="仿宋_GB2312" w:eastAsia="仿宋_GB2312" w:hAnsi="宋体" w:cs="Arial" w:hint="eastAsia"/>
          <w:sz w:val="24"/>
        </w:rPr>
        <w:t>原基金</w:t>
      </w:r>
      <w:proofErr w:type="gramEnd"/>
      <w:r>
        <w:rPr>
          <w:rFonts w:ascii="仿宋_GB2312" w:eastAsia="仿宋_GB2312" w:hAnsi="宋体" w:cs="Arial" w:hint="eastAsia"/>
          <w:sz w:val="24"/>
        </w:rPr>
        <w:t>管理人职责终止后6个月内对被提名的</w:t>
      </w:r>
      <w:proofErr w:type="gramStart"/>
      <w:r>
        <w:rPr>
          <w:rFonts w:ascii="仿宋_GB2312" w:eastAsia="仿宋_GB2312" w:hAnsi="宋体" w:cs="Arial" w:hint="eastAsia"/>
          <w:sz w:val="24"/>
        </w:rPr>
        <w:t>新任基金</w:t>
      </w:r>
      <w:proofErr w:type="gramEnd"/>
      <w:r>
        <w:rPr>
          <w:rFonts w:ascii="仿宋_GB2312" w:eastAsia="仿宋_GB2312" w:hAnsi="宋体" w:cs="Arial" w:hint="eastAsia"/>
          <w:sz w:val="24"/>
        </w:rPr>
        <w:t>管理人形成决议，</w:t>
      </w:r>
      <w:proofErr w:type="gramStart"/>
      <w:r>
        <w:rPr>
          <w:rFonts w:ascii="仿宋_GB2312" w:eastAsia="仿宋_GB2312" w:hAnsi="宋体" w:cs="Arial" w:hint="eastAsia"/>
          <w:sz w:val="24"/>
        </w:rPr>
        <w:t>新任基金</w:t>
      </w:r>
      <w:proofErr w:type="gramEnd"/>
      <w:r>
        <w:rPr>
          <w:rFonts w:ascii="仿宋_GB2312" w:eastAsia="仿宋_GB2312" w:hAnsi="宋体" w:cs="Arial" w:hint="eastAsia"/>
          <w:sz w:val="24"/>
        </w:rPr>
        <w:t>管理人应当符合法律法规及中国证监会规定的资格条件；</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(3)核准：</w:t>
      </w:r>
      <w:proofErr w:type="gramStart"/>
      <w:r>
        <w:rPr>
          <w:rFonts w:ascii="仿宋_GB2312" w:eastAsia="仿宋_GB2312" w:hAnsi="宋体" w:cs="Arial" w:hint="eastAsia"/>
          <w:sz w:val="24"/>
        </w:rPr>
        <w:t>新任基金</w:t>
      </w:r>
      <w:proofErr w:type="gramEnd"/>
      <w:r>
        <w:rPr>
          <w:rFonts w:ascii="仿宋_GB2312" w:eastAsia="仿宋_GB2312" w:hAnsi="宋体" w:cs="Arial" w:hint="eastAsia"/>
          <w:sz w:val="24"/>
        </w:rPr>
        <w:t>管理人产生之前，由中国证监会指定临时基金管理人，</w:t>
      </w:r>
      <w:r>
        <w:rPr>
          <w:rFonts w:ascii="仿宋_GB2312" w:eastAsia="仿宋_GB2312" w:hint="eastAsia"/>
          <w:sz w:val="24"/>
        </w:rPr>
        <w:t>更换基金管理人的基金份额持有人大会决议应经中国证监会核准生效后方可执行</w:t>
      </w:r>
      <w:r>
        <w:rPr>
          <w:rFonts w:ascii="仿宋_GB2312" w:eastAsia="仿宋_GB2312" w:hAnsi="宋体" w:cs="Arial" w:hint="eastAsia"/>
          <w:sz w:val="24"/>
        </w:rPr>
        <w:t>；</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(4)交接：</w:t>
      </w:r>
      <w:proofErr w:type="gramStart"/>
      <w:r>
        <w:rPr>
          <w:rFonts w:ascii="仿宋_GB2312" w:eastAsia="仿宋_GB2312" w:hAnsi="宋体" w:cs="Arial" w:hint="eastAsia"/>
          <w:sz w:val="24"/>
        </w:rPr>
        <w:t>原基金</w:t>
      </w:r>
      <w:proofErr w:type="gramEnd"/>
      <w:r>
        <w:rPr>
          <w:rFonts w:ascii="仿宋_GB2312" w:eastAsia="仿宋_GB2312" w:hAnsi="宋体" w:cs="Arial" w:hint="eastAsia"/>
          <w:sz w:val="24"/>
        </w:rPr>
        <w:t>管理人职责终止的，应当妥善保管基金管理业务资料，及时办理基金管理业务的移交手续，</w:t>
      </w:r>
      <w:proofErr w:type="gramStart"/>
      <w:r>
        <w:rPr>
          <w:rFonts w:ascii="仿宋_GB2312" w:eastAsia="仿宋_GB2312" w:hAnsi="宋体" w:cs="Arial" w:hint="eastAsia"/>
          <w:sz w:val="24"/>
        </w:rPr>
        <w:t>新任基金</w:t>
      </w:r>
      <w:proofErr w:type="gramEnd"/>
      <w:r>
        <w:rPr>
          <w:rFonts w:ascii="仿宋_GB2312" w:eastAsia="仿宋_GB2312" w:hAnsi="宋体" w:cs="Arial" w:hint="eastAsia"/>
          <w:sz w:val="24"/>
        </w:rPr>
        <w:t>管理人或临时基金管理人应当及时接收，并与基金托管人核对基金资产总值；</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(5)审计：</w:t>
      </w:r>
      <w:proofErr w:type="gramStart"/>
      <w:r>
        <w:rPr>
          <w:rFonts w:ascii="仿宋_GB2312" w:eastAsia="仿宋_GB2312" w:hAnsi="宋体" w:cs="Arial" w:hint="eastAsia"/>
          <w:sz w:val="24"/>
        </w:rPr>
        <w:t>原基金</w:t>
      </w:r>
      <w:proofErr w:type="gramEnd"/>
      <w:r>
        <w:rPr>
          <w:rFonts w:ascii="仿宋_GB2312" w:eastAsia="仿宋_GB2312" w:hAnsi="宋体" w:cs="Arial" w:hint="eastAsia"/>
          <w:sz w:val="24"/>
        </w:rPr>
        <w:t>管理人职责终止的，应当按照法律法规规定聘请会计师事务所对基金财产进行审计，并将审计结果予以公告，同时报中国证监会备案，审计费用在基金财产中列支；</w:t>
      </w:r>
    </w:p>
    <w:p w:rsidR="008F3B05" w:rsidRDefault="008F3B05">
      <w:pPr>
        <w:adjustRightInd w:val="0"/>
        <w:snapToGrid w:val="0"/>
        <w:ind w:firstLineChars="200" w:firstLine="480"/>
        <w:rPr>
          <w:rFonts w:ascii="仿宋_GB2312" w:eastAsia="仿宋_GB2312" w:hAnsi="宋体" w:cs="Arial"/>
        </w:rPr>
      </w:pPr>
      <w:r>
        <w:rPr>
          <w:rFonts w:ascii="仿宋_GB2312" w:eastAsia="仿宋_GB2312" w:hAnsi="宋体" w:cs="Arial" w:hint="eastAsia"/>
          <w:sz w:val="24"/>
        </w:rPr>
        <w:t>(6)公告：基金管理人更换后，由基金托管人在</w:t>
      </w:r>
      <w:proofErr w:type="gramStart"/>
      <w:r>
        <w:rPr>
          <w:rFonts w:ascii="仿宋_GB2312" w:eastAsia="仿宋_GB2312" w:hAnsi="宋体" w:cs="Arial" w:hint="eastAsia"/>
          <w:sz w:val="24"/>
        </w:rPr>
        <w:t>新任基金</w:t>
      </w:r>
      <w:proofErr w:type="gramEnd"/>
      <w:r>
        <w:rPr>
          <w:rFonts w:ascii="仿宋_GB2312" w:eastAsia="仿宋_GB2312" w:hAnsi="宋体" w:cs="Arial" w:hint="eastAsia"/>
          <w:sz w:val="24"/>
        </w:rPr>
        <w:t>管理人获得中国证监会核准后</w:t>
      </w:r>
      <w:r w:rsidR="008D3858" w:rsidRPr="008D3858">
        <w:rPr>
          <w:rFonts w:ascii="仿宋_GB2312" w:eastAsia="仿宋_GB2312" w:hAnsi="宋体" w:cs="Arial" w:hint="eastAsia"/>
          <w:sz w:val="24"/>
        </w:rPr>
        <w:t>按规定</w:t>
      </w:r>
      <w:r>
        <w:rPr>
          <w:rFonts w:ascii="仿宋_GB2312" w:eastAsia="仿宋_GB2312" w:hAnsi="宋体" w:cs="Arial" w:hint="eastAsia"/>
          <w:sz w:val="24"/>
        </w:rPr>
        <w:t>公告；</w:t>
      </w:r>
    </w:p>
    <w:p w:rsidR="008F3B05" w:rsidRDefault="008F3B05">
      <w:pPr>
        <w:ind w:firstLineChars="200" w:firstLine="480"/>
        <w:rPr>
          <w:rFonts w:eastAsia="方正仿宋简体"/>
          <w:sz w:val="30"/>
          <w:szCs w:val="30"/>
        </w:rPr>
      </w:pPr>
      <w:r>
        <w:rPr>
          <w:rFonts w:ascii="仿宋_GB2312" w:eastAsia="仿宋_GB2312" w:hAnsi="宋体" w:cs="Arial" w:hint="eastAsia"/>
          <w:sz w:val="24"/>
        </w:rPr>
        <w:t>(7)基金名称变更：基金管理人更换后，如果原任或</w:t>
      </w:r>
      <w:proofErr w:type="gramStart"/>
      <w:r>
        <w:rPr>
          <w:rFonts w:ascii="仿宋_GB2312" w:eastAsia="仿宋_GB2312" w:hAnsi="宋体" w:cs="Arial" w:hint="eastAsia"/>
          <w:sz w:val="24"/>
        </w:rPr>
        <w:t>新任基金</w:t>
      </w:r>
      <w:proofErr w:type="gramEnd"/>
      <w:r>
        <w:rPr>
          <w:rFonts w:ascii="仿宋_GB2312" w:eastAsia="仿宋_GB2312" w:hAnsi="宋体" w:cs="Arial" w:hint="eastAsia"/>
          <w:sz w:val="24"/>
        </w:rPr>
        <w:t>管理人要求，应按其要求替换或删除基金名称中与原任基金管理人有关的名称字样。</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（二）基金托管人的更换</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1.基金托管人的更换条件</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有下列情形之一的，基金托管人职责终止：</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w:t>
      </w:r>
      <w:r>
        <w:rPr>
          <w:rFonts w:ascii="仿宋_GB2312" w:eastAsia="仿宋_GB2312" w:hAnsi="宋体" w:cs="Arial"/>
          <w:sz w:val="24"/>
        </w:rPr>
        <w:t>基金托管人被依法取消基金托管资格</w:t>
      </w:r>
      <w:r>
        <w:rPr>
          <w:rFonts w:ascii="仿宋_GB2312" w:eastAsia="仿宋_GB2312" w:hAnsi="宋体" w:cs="Arial" w:hint="eastAsia"/>
          <w:sz w:val="24"/>
        </w:rPr>
        <w:t>；</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(2)基金托管人依法解散、被依法撤销或者被依法宣布破产；</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(3)基金托管人被基金份额持有人大会解任；</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(4)</w:t>
      </w:r>
      <w:r>
        <w:rPr>
          <w:rFonts w:ascii="仿宋_GB2312" w:eastAsia="仿宋_GB2312" w:hAnsi="宋体" w:cs="Arial"/>
          <w:sz w:val="24"/>
        </w:rPr>
        <w:t>法律法规和基金合同规定的其他情形</w:t>
      </w:r>
      <w:r>
        <w:rPr>
          <w:rFonts w:ascii="仿宋_GB2312" w:eastAsia="仿宋_GB2312" w:hAnsi="宋体" w:cs="Arial" w:hint="eastAsia"/>
          <w:sz w:val="24"/>
        </w:rPr>
        <w:t>。</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2.基金托管人的更换程序</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(1)提名：</w:t>
      </w:r>
      <w:proofErr w:type="gramStart"/>
      <w:r>
        <w:rPr>
          <w:rFonts w:ascii="仿宋_GB2312" w:eastAsia="仿宋_GB2312" w:hAnsi="宋体" w:cs="Arial" w:hint="eastAsia"/>
          <w:sz w:val="24"/>
        </w:rPr>
        <w:t>新任基金</w:t>
      </w:r>
      <w:proofErr w:type="gramEnd"/>
      <w:r>
        <w:rPr>
          <w:rFonts w:ascii="仿宋_GB2312" w:eastAsia="仿宋_GB2312" w:hAnsi="宋体" w:cs="Arial" w:hint="eastAsia"/>
          <w:sz w:val="24"/>
        </w:rPr>
        <w:t>托管人由基金管理人</w:t>
      </w:r>
      <w:r>
        <w:rPr>
          <w:rFonts w:ascii="仿宋_GB2312" w:eastAsia="仿宋_GB2312" w:hint="eastAsia"/>
          <w:sz w:val="24"/>
        </w:rPr>
        <w:t>或者单独或合计持有基金总份额10%以上的基金份额持有人</w:t>
      </w:r>
      <w:r>
        <w:rPr>
          <w:rFonts w:ascii="仿宋_GB2312" w:eastAsia="仿宋_GB2312" w:hAnsi="宋体" w:cs="Arial" w:hint="eastAsia"/>
          <w:sz w:val="24"/>
        </w:rPr>
        <w:t>提名；</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(2)决议：基金份额持有人大会在</w:t>
      </w:r>
      <w:proofErr w:type="gramStart"/>
      <w:r>
        <w:rPr>
          <w:rFonts w:ascii="仿宋_GB2312" w:eastAsia="仿宋_GB2312" w:hAnsi="宋体" w:cs="Arial" w:hint="eastAsia"/>
          <w:sz w:val="24"/>
        </w:rPr>
        <w:t>原基金</w:t>
      </w:r>
      <w:proofErr w:type="gramEnd"/>
      <w:r>
        <w:rPr>
          <w:rFonts w:ascii="仿宋_GB2312" w:eastAsia="仿宋_GB2312" w:hAnsi="宋体" w:cs="Arial" w:hint="eastAsia"/>
          <w:sz w:val="24"/>
        </w:rPr>
        <w:t>托管人职责终止后6个月内对被提名的</w:t>
      </w:r>
      <w:proofErr w:type="gramStart"/>
      <w:r>
        <w:rPr>
          <w:rFonts w:ascii="仿宋_GB2312" w:eastAsia="仿宋_GB2312" w:hAnsi="宋体" w:cs="Arial" w:hint="eastAsia"/>
          <w:sz w:val="24"/>
        </w:rPr>
        <w:t>新任基金</w:t>
      </w:r>
      <w:proofErr w:type="gramEnd"/>
      <w:r>
        <w:rPr>
          <w:rFonts w:ascii="仿宋_GB2312" w:eastAsia="仿宋_GB2312" w:hAnsi="宋体" w:cs="Arial" w:hint="eastAsia"/>
          <w:sz w:val="24"/>
        </w:rPr>
        <w:t>托管人形成决议，</w:t>
      </w:r>
      <w:proofErr w:type="gramStart"/>
      <w:r>
        <w:rPr>
          <w:rFonts w:ascii="仿宋_GB2312" w:eastAsia="仿宋_GB2312" w:hAnsi="宋体" w:cs="Arial" w:hint="eastAsia"/>
          <w:sz w:val="24"/>
        </w:rPr>
        <w:t>新任基金</w:t>
      </w:r>
      <w:proofErr w:type="gramEnd"/>
      <w:r>
        <w:rPr>
          <w:rFonts w:ascii="仿宋_GB2312" w:eastAsia="仿宋_GB2312" w:hAnsi="宋体" w:cs="Arial" w:hint="eastAsia"/>
          <w:sz w:val="24"/>
        </w:rPr>
        <w:t>托管人应当符合法律法规及中国证监会规定的资格条件；</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(3)核准：</w:t>
      </w:r>
      <w:proofErr w:type="gramStart"/>
      <w:r>
        <w:rPr>
          <w:rFonts w:ascii="仿宋_GB2312" w:eastAsia="仿宋_GB2312" w:hAnsi="宋体" w:cs="Arial" w:hint="eastAsia"/>
          <w:sz w:val="24"/>
        </w:rPr>
        <w:t>新任基金</w:t>
      </w:r>
      <w:proofErr w:type="gramEnd"/>
      <w:r>
        <w:rPr>
          <w:rFonts w:ascii="仿宋_GB2312" w:eastAsia="仿宋_GB2312" w:hAnsi="宋体" w:cs="Arial" w:hint="eastAsia"/>
          <w:sz w:val="24"/>
        </w:rPr>
        <w:t>托管人产生之前，由中国证监会指定临时基金托管人，</w:t>
      </w:r>
      <w:r>
        <w:rPr>
          <w:rFonts w:ascii="仿宋_GB2312" w:eastAsia="仿宋_GB2312" w:hint="eastAsia"/>
          <w:sz w:val="24"/>
        </w:rPr>
        <w:t>更换基金托管人的基金份额持有人大会决议应经中国证监会核准生效后方可执行</w:t>
      </w:r>
      <w:r>
        <w:rPr>
          <w:rFonts w:ascii="仿宋_GB2312" w:eastAsia="仿宋_GB2312" w:hAnsi="宋体" w:cs="Arial" w:hint="eastAsia"/>
          <w:sz w:val="24"/>
        </w:rPr>
        <w:t>；</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(4)交接：</w:t>
      </w:r>
      <w:proofErr w:type="gramStart"/>
      <w:r>
        <w:rPr>
          <w:rFonts w:ascii="仿宋_GB2312" w:eastAsia="仿宋_GB2312" w:hAnsi="宋体" w:cs="Arial" w:hint="eastAsia"/>
          <w:sz w:val="24"/>
        </w:rPr>
        <w:t>原基金</w:t>
      </w:r>
      <w:proofErr w:type="gramEnd"/>
      <w:r>
        <w:rPr>
          <w:rFonts w:ascii="仿宋_GB2312" w:eastAsia="仿宋_GB2312" w:hAnsi="宋体" w:cs="Arial" w:hint="eastAsia"/>
          <w:sz w:val="24"/>
        </w:rPr>
        <w:t>托管人职责终止的，应当妥善保管基金财产和基金托管业务资料，及时办理基金财产和托管业务移交手续，</w:t>
      </w:r>
      <w:proofErr w:type="gramStart"/>
      <w:r>
        <w:rPr>
          <w:rFonts w:ascii="仿宋_GB2312" w:eastAsia="仿宋_GB2312" w:hAnsi="宋体" w:cs="Arial" w:hint="eastAsia"/>
          <w:sz w:val="24"/>
        </w:rPr>
        <w:t>新任基金</w:t>
      </w:r>
      <w:proofErr w:type="gramEnd"/>
      <w:r>
        <w:rPr>
          <w:rFonts w:ascii="仿宋_GB2312" w:eastAsia="仿宋_GB2312" w:hAnsi="宋体" w:cs="Arial" w:hint="eastAsia"/>
          <w:sz w:val="24"/>
        </w:rPr>
        <w:t>托管人或临时基金托管人应当及时接收，并与基金管理人核对基金资产总值；</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(5)审计：</w:t>
      </w:r>
      <w:proofErr w:type="gramStart"/>
      <w:r>
        <w:rPr>
          <w:rFonts w:ascii="仿宋_GB2312" w:eastAsia="仿宋_GB2312" w:hAnsi="宋体" w:cs="Arial" w:hint="eastAsia"/>
          <w:sz w:val="24"/>
        </w:rPr>
        <w:t>原基金</w:t>
      </w:r>
      <w:proofErr w:type="gramEnd"/>
      <w:r>
        <w:rPr>
          <w:rFonts w:ascii="仿宋_GB2312" w:eastAsia="仿宋_GB2312" w:hAnsi="宋体" w:cs="Arial" w:hint="eastAsia"/>
          <w:sz w:val="24"/>
        </w:rPr>
        <w:t>托管人职责终止的，应当按照法律法规规定聘请会计师事务所对基金财产进行审计，并将审计结果予以公告，同时报中国证监会备案，审计费用从基金财产中列支；</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(6)公告：基金托管人更换后，由基金管理人在</w:t>
      </w:r>
      <w:proofErr w:type="gramStart"/>
      <w:r>
        <w:rPr>
          <w:rFonts w:ascii="仿宋_GB2312" w:eastAsia="仿宋_GB2312" w:hAnsi="宋体" w:cs="Arial" w:hint="eastAsia"/>
          <w:sz w:val="24"/>
        </w:rPr>
        <w:t>新任基金</w:t>
      </w:r>
      <w:proofErr w:type="gramEnd"/>
      <w:r>
        <w:rPr>
          <w:rFonts w:ascii="仿宋_GB2312" w:eastAsia="仿宋_GB2312" w:hAnsi="宋体" w:cs="Arial" w:hint="eastAsia"/>
          <w:sz w:val="24"/>
        </w:rPr>
        <w:t>托管人获得中国证监会核准后</w:t>
      </w:r>
      <w:r w:rsidR="00BE4659">
        <w:rPr>
          <w:rFonts w:ascii="仿宋_GB2312" w:eastAsia="仿宋_GB2312" w:hAnsi="宋体" w:cs="Arial" w:hint="eastAsia"/>
          <w:sz w:val="24"/>
        </w:rPr>
        <w:t>按规定</w:t>
      </w:r>
      <w:r>
        <w:rPr>
          <w:rFonts w:ascii="仿宋_GB2312" w:eastAsia="仿宋_GB2312" w:hAnsi="宋体" w:cs="Arial" w:hint="eastAsia"/>
          <w:sz w:val="24"/>
        </w:rPr>
        <w:t>公告。</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（三）基金管理人与基金托管人同时更换</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lastRenderedPageBreak/>
        <w:t>1.</w:t>
      </w:r>
      <w:r>
        <w:rPr>
          <w:rFonts w:ascii="仿宋_GB2312" w:eastAsia="仿宋_GB2312" w:hAnsi="宋体" w:cs="Arial"/>
          <w:sz w:val="24"/>
        </w:rPr>
        <w:t>提名：如果基金管理人和基金托管人同时更换，由单独或合计持有基金总份额10%以上的基金份额持有人提名新的基金管理人和基金托管人；</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w:t>
      </w:r>
      <w:r>
        <w:rPr>
          <w:rFonts w:ascii="仿宋_GB2312" w:eastAsia="仿宋_GB2312" w:hAnsi="宋体" w:cs="Arial"/>
          <w:sz w:val="24"/>
        </w:rPr>
        <w:t>基金管理人和基金托管人的更换分别按上述程序进行；</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w:t>
      </w:r>
      <w:r>
        <w:rPr>
          <w:rFonts w:ascii="仿宋_GB2312" w:eastAsia="仿宋_GB2312" w:hAnsi="宋体" w:cs="Arial"/>
          <w:sz w:val="24"/>
        </w:rPr>
        <w:t>公告：</w:t>
      </w:r>
      <w:proofErr w:type="gramStart"/>
      <w:r>
        <w:rPr>
          <w:rFonts w:ascii="仿宋_GB2312" w:eastAsia="仿宋_GB2312" w:hAnsi="宋体" w:cs="Arial"/>
          <w:sz w:val="24"/>
        </w:rPr>
        <w:t>新任基金</w:t>
      </w:r>
      <w:proofErr w:type="gramEnd"/>
      <w:r>
        <w:rPr>
          <w:rFonts w:ascii="仿宋_GB2312" w:eastAsia="仿宋_GB2312" w:hAnsi="宋体" w:cs="Arial"/>
          <w:sz w:val="24"/>
        </w:rPr>
        <w:t>管理人和</w:t>
      </w:r>
      <w:proofErr w:type="gramStart"/>
      <w:r>
        <w:rPr>
          <w:rFonts w:ascii="仿宋_GB2312" w:eastAsia="仿宋_GB2312" w:hAnsi="宋体" w:cs="Arial"/>
          <w:sz w:val="24"/>
        </w:rPr>
        <w:t>新任基金</w:t>
      </w:r>
      <w:proofErr w:type="gramEnd"/>
      <w:r>
        <w:rPr>
          <w:rFonts w:ascii="仿宋_GB2312" w:eastAsia="仿宋_GB2312" w:hAnsi="宋体" w:cs="Arial"/>
          <w:sz w:val="24"/>
        </w:rPr>
        <w:t>托管人</w:t>
      </w:r>
      <w:r>
        <w:rPr>
          <w:rFonts w:ascii="仿宋_GB2312" w:eastAsia="仿宋_GB2312" w:hAnsi="宋体" w:cs="Arial" w:hint="eastAsia"/>
          <w:sz w:val="24"/>
        </w:rPr>
        <w:t>应</w:t>
      </w:r>
      <w:r>
        <w:rPr>
          <w:rFonts w:ascii="仿宋_GB2312" w:eastAsia="仿宋_GB2312" w:hAnsi="宋体" w:cs="Arial"/>
          <w:sz w:val="24"/>
        </w:rPr>
        <w:t>在</w:t>
      </w:r>
      <w:r>
        <w:rPr>
          <w:rFonts w:ascii="仿宋_GB2312" w:eastAsia="仿宋_GB2312" w:hAnsi="宋体" w:cs="Arial" w:hint="eastAsia"/>
          <w:sz w:val="24"/>
        </w:rPr>
        <w:t>更换基金管理人和基金托管人的基金份额持有人大会决议</w:t>
      </w:r>
      <w:r>
        <w:rPr>
          <w:rFonts w:ascii="仿宋_GB2312" w:eastAsia="仿宋_GB2312" w:hAnsi="宋体" w:cs="Arial"/>
          <w:sz w:val="24"/>
        </w:rPr>
        <w:t>获得中国证监会核准后</w:t>
      </w:r>
      <w:r w:rsidR="008517D0" w:rsidRPr="008517D0">
        <w:rPr>
          <w:rFonts w:ascii="仿宋_GB2312" w:eastAsia="仿宋_GB2312" w:hAnsi="宋体" w:cs="Arial" w:hint="eastAsia"/>
          <w:sz w:val="24"/>
        </w:rPr>
        <w:t>按规定</w:t>
      </w:r>
      <w:r>
        <w:rPr>
          <w:rFonts w:ascii="仿宋_GB2312" w:eastAsia="仿宋_GB2312" w:hAnsi="宋体" w:cs="Arial"/>
          <w:sz w:val="24"/>
        </w:rPr>
        <w:t>在指定</w:t>
      </w:r>
      <w:r w:rsidR="001709A8">
        <w:rPr>
          <w:rFonts w:ascii="仿宋_GB2312" w:eastAsia="仿宋_GB2312" w:hAnsi="宋体" w:cs="Arial"/>
          <w:sz w:val="24"/>
        </w:rPr>
        <w:t>媒介</w:t>
      </w:r>
      <w:r>
        <w:rPr>
          <w:rFonts w:ascii="仿宋_GB2312" w:eastAsia="仿宋_GB2312" w:hAnsi="宋体" w:cs="Arial"/>
          <w:sz w:val="24"/>
        </w:rPr>
        <w:t>上联合公告。</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（四）新基金管理人接收基金管理业务或新基金托管人接收基金财产和基金托管业务前，</w:t>
      </w:r>
      <w:proofErr w:type="gramStart"/>
      <w:r>
        <w:rPr>
          <w:rFonts w:ascii="仿宋_GB2312" w:eastAsia="仿宋_GB2312" w:hAnsi="宋体" w:cs="Arial" w:hint="eastAsia"/>
          <w:sz w:val="24"/>
        </w:rPr>
        <w:t>原基金</w:t>
      </w:r>
      <w:proofErr w:type="gramEnd"/>
      <w:r>
        <w:rPr>
          <w:rFonts w:ascii="仿宋_GB2312" w:eastAsia="仿宋_GB2312" w:hAnsi="宋体" w:cs="Arial" w:hint="eastAsia"/>
          <w:sz w:val="24"/>
        </w:rPr>
        <w:t>管理人或</w:t>
      </w:r>
      <w:proofErr w:type="gramStart"/>
      <w:r>
        <w:rPr>
          <w:rFonts w:ascii="仿宋_GB2312" w:eastAsia="仿宋_GB2312" w:hAnsi="宋体" w:cs="Arial" w:hint="eastAsia"/>
          <w:sz w:val="24"/>
        </w:rPr>
        <w:t>原基金</w:t>
      </w:r>
      <w:proofErr w:type="gramEnd"/>
      <w:r>
        <w:rPr>
          <w:rFonts w:ascii="仿宋_GB2312" w:eastAsia="仿宋_GB2312" w:hAnsi="宋体" w:cs="Arial" w:hint="eastAsia"/>
          <w:sz w:val="24"/>
        </w:rPr>
        <w:t>托管人应继续履行相关职责，并保证不做出对基金份额持有人的利益造成损害的行为。</w:t>
      </w:r>
    </w:p>
    <w:p w:rsidR="008F3B05" w:rsidRDefault="008F3B05">
      <w:pPr>
        <w:adjustRightInd w:val="0"/>
        <w:snapToGrid w:val="0"/>
        <w:rPr>
          <w:rFonts w:ascii="仿宋_GB2312" w:eastAsia="仿宋_GB2312" w:hAnsi="宋体" w:cs="Arial"/>
          <w:sz w:val="24"/>
        </w:rPr>
      </w:pPr>
    </w:p>
    <w:p w:rsidR="008F3B05" w:rsidRDefault="008F3B05">
      <w:pPr>
        <w:pStyle w:val="2"/>
        <w:jc w:val="center"/>
        <w:rPr>
          <w:rFonts w:eastAsia="宋体"/>
          <w:sz w:val="30"/>
        </w:rPr>
      </w:pPr>
      <w:bookmarkStart w:id="96" w:name="_Toc297031877"/>
      <w:r>
        <w:rPr>
          <w:rFonts w:eastAsia="宋体" w:hint="eastAsia"/>
          <w:sz w:val="30"/>
        </w:rPr>
        <w:t>十五、禁止行为</w:t>
      </w:r>
      <w:bookmarkEnd w:id="96"/>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本协议当事人禁止从事的行为，包括但不限于：</w:t>
      </w:r>
    </w:p>
    <w:p w:rsidR="008F3B05" w:rsidRDefault="008F3B05">
      <w:pPr>
        <w:ind w:firstLineChars="200" w:firstLine="480"/>
        <w:rPr>
          <w:rFonts w:ascii="宋体" w:eastAsia="仿宋_GB2312"/>
          <w:sz w:val="24"/>
        </w:rPr>
      </w:pPr>
      <w:r>
        <w:rPr>
          <w:rFonts w:ascii="宋体" w:eastAsia="仿宋_GB2312" w:hint="eastAsia"/>
          <w:sz w:val="24"/>
        </w:rPr>
        <w:t>（一）基金管理人、基金托管人将其固有财产或者他人财产混同于基金财产从事证券投资。</w:t>
      </w:r>
    </w:p>
    <w:p w:rsidR="008F3B05" w:rsidRDefault="008F3B05">
      <w:pPr>
        <w:ind w:firstLineChars="200" w:firstLine="480"/>
        <w:rPr>
          <w:rFonts w:ascii="宋体" w:eastAsia="仿宋_GB2312"/>
        </w:rPr>
      </w:pPr>
      <w:r>
        <w:rPr>
          <w:rFonts w:ascii="宋体" w:eastAsia="仿宋_GB2312" w:hint="eastAsia"/>
          <w:sz w:val="24"/>
        </w:rPr>
        <w:t>（二）基金管理人不公平地对待其管理的不同基金财产，基金托管人不公平地对待其托管的不同基金财产。</w:t>
      </w:r>
    </w:p>
    <w:p w:rsidR="008F3B05" w:rsidRDefault="008F3B05">
      <w:pPr>
        <w:ind w:firstLineChars="200" w:firstLine="480"/>
        <w:rPr>
          <w:rFonts w:ascii="宋体" w:eastAsia="仿宋_GB2312"/>
          <w:sz w:val="24"/>
        </w:rPr>
      </w:pPr>
      <w:r>
        <w:rPr>
          <w:rFonts w:ascii="宋体" w:eastAsia="仿宋_GB2312" w:hint="eastAsia"/>
          <w:sz w:val="24"/>
        </w:rPr>
        <w:t>（三）基金管理人、基金托管人利用基金财产为基金份额持有人以外的第三人牟取利益。</w:t>
      </w:r>
    </w:p>
    <w:p w:rsidR="008F3B05" w:rsidRDefault="008F3B05">
      <w:pPr>
        <w:ind w:firstLineChars="200" w:firstLine="480"/>
        <w:rPr>
          <w:rFonts w:ascii="宋体" w:eastAsia="仿宋_GB2312"/>
          <w:sz w:val="24"/>
        </w:rPr>
      </w:pPr>
      <w:r>
        <w:rPr>
          <w:rFonts w:ascii="宋体" w:eastAsia="仿宋_GB2312" w:hint="eastAsia"/>
          <w:sz w:val="24"/>
        </w:rPr>
        <w:t>（四）基金管理人、基金托管人向基金份额持有人违规承诺收益或者承担损失。</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（五）基金管理人、基金托管人对他人泄漏基金运作和管理过程中任何尚未按法律法规规定的方式公开披露的信息。</w:t>
      </w:r>
    </w:p>
    <w:p w:rsidR="008F3B05" w:rsidRDefault="008F3B05">
      <w:pPr>
        <w:pStyle w:val="a7"/>
        <w:spacing w:line="240" w:lineRule="auto"/>
        <w:outlineLvl w:val="0"/>
        <w:rPr>
          <w:rFonts w:ascii="仿宋_GB2312" w:eastAsia="仿宋_GB2312" w:hAnsi="宋体" w:cs="Arial"/>
          <w:szCs w:val="24"/>
        </w:rPr>
      </w:pPr>
      <w:r>
        <w:rPr>
          <w:rFonts w:ascii="仿宋_GB2312" w:eastAsia="仿宋_GB2312" w:hAnsi="宋体" w:cs="Arial" w:hint="eastAsia"/>
          <w:szCs w:val="24"/>
        </w:rPr>
        <w:t>（六）基金管理人在没有充足资金的情况下向基金托管人发出投资指令和赎回、分红资金的划拨指令，或违规向基金托管人发出指令。</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（七）基金管理人、基金托管人在行政上、财务上不</w:t>
      </w:r>
      <w:proofErr w:type="gramStart"/>
      <w:r>
        <w:rPr>
          <w:rFonts w:ascii="仿宋_GB2312" w:eastAsia="仿宋_GB2312" w:hAnsi="宋体" w:cs="Arial" w:hint="eastAsia"/>
          <w:sz w:val="24"/>
        </w:rPr>
        <w:t>独立,</w:t>
      </w:r>
      <w:proofErr w:type="gramEnd"/>
      <w:r>
        <w:rPr>
          <w:rFonts w:ascii="仿宋_GB2312" w:eastAsia="仿宋_GB2312" w:hAnsi="宋体" w:cs="Arial" w:hint="eastAsia"/>
          <w:sz w:val="24"/>
        </w:rPr>
        <w:t xml:space="preserve"> 其高级管理人员和其他从业人员相互兼职。</w:t>
      </w:r>
    </w:p>
    <w:p w:rsidR="008F3B05" w:rsidRDefault="008F3B05">
      <w:pPr>
        <w:ind w:firstLineChars="200" w:firstLine="480"/>
        <w:rPr>
          <w:rFonts w:ascii="仿宋_GB2312" w:eastAsia="仿宋_GB2312" w:hAnsi="宋体" w:cs="Arial"/>
          <w:sz w:val="24"/>
        </w:rPr>
      </w:pPr>
      <w:r>
        <w:rPr>
          <w:rFonts w:ascii="仿宋_GB2312" w:eastAsia="仿宋_GB2312" w:hAnsi="宋体" w:cs="Arial" w:hint="eastAsia"/>
          <w:sz w:val="24"/>
        </w:rPr>
        <w:t>（八）基金托管人私自动用或处分基金财产，根据基金管理人的合法指令、基金合同或托管协议的规定进行处分的除外。</w:t>
      </w:r>
    </w:p>
    <w:p w:rsidR="008F3B05" w:rsidRDefault="008F3B05">
      <w:pPr>
        <w:ind w:firstLineChars="200" w:firstLine="480"/>
        <w:rPr>
          <w:rFonts w:ascii="仿宋_GB2312" w:eastAsia="仿宋_GB2312" w:hAnsi="宋体" w:cs="Arial"/>
          <w:sz w:val="24"/>
        </w:rPr>
      </w:pPr>
      <w:r>
        <w:rPr>
          <w:rFonts w:ascii="宋体" w:eastAsia="仿宋_GB2312" w:hint="eastAsia"/>
          <w:sz w:val="24"/>
        </w:rPr>
        <w:t>（九）</w:t>
      </w:r>
      <w:r>
        <w:rPr>
          <w:rFonts w:ascii="仿宋_GB2312" w:eastAsia="仿宋_GB2312" w:hAnsi="宋体" w:cs="Arial" w:hint="eastAsia"/>
          <w:sz w:val="24"/>
        </w:rPr>
        <w:t>基金财产</w:t>
      </w:r>
      <w:r>
        <w:rPr>
          <w:rFonts w:ascii="宋体" w:eastAsia="仿宋_GB2312" w:hint="eastAsia"/>
          <w:sz w:val="24"/>
        </w:rPr>
        <w:t>用于下列投资或者活动：（</w:t>
      </w:r>
      <w:r>
        <w:rPr>
          <w:rFonts w:ascii="宋体" w:eastAsia="仿宋_GB2312" w:hint="eastAsia"/>
          <w:sz w:val="24"/>
        </w:rPr>
        <w:t>1</w:t>
      </w:r>
      <w:r>
        <w:rPr>
          <w:rFonts w:ascii="宋体" w:eastAsia="仿宋_GB2312" w:hint="eastAsia"/>
          <w:sz w:val="24"/>
        </w:rPr>
        <w:t>）承销证券；（</w:t>
      </w:r>
      <w:r>
        <w:rPr>
          <w:rFonts w:ascii="宋体" w:eastAsia="仿宋_GB2312" w:hint="eastAsia"/>
          <w:sz w:val="24"/>
        </w:rPr>
        <w:t>2</w:t>
      </w:r>
      <w:r>
        <w:rPr>
          <w:rFonts w:ascii="宋体" w:eastAsia="仿宋_GB2312" w:hint="eastAsia"/>
          <w:sz w:val="24"/>
        </w:rPr>
        <w:t>）向他人贷款或者提供担保；（</w:t>
      </w:r>
      <w:r>
        <w:rPr>
          <w:rFonts w:ascii="宋体" w:eastAsia="仿宋_GB2312" w:hint="eastAsia"/>
          <w:sz w:val="24"/>
        </w:rPr>
        <w:t>3</w:t>
      </w:r>
      <w:r>
        <w:rPr>
          <w:rFonts w:ascii="宋体" w:eastAsia="仿宋_GB2312" w:hint="eastAsia"/>
          <w:sz w:val="24"/>
        </w:rPr>
        <w:t>）从事承担无限责任的投资；（</w:t>
      </w:r>
      <w:r>
        <w:rPr>
          <w:rFonts w:ascii="宋体" w:eastAsia="仿宋_GB2312" w:hint="eastAsia"/>
          <w:sz w:val="24"/>
        </w:rPr>
        <w:t>4</w:t>
      </w:r>
      <w:r>
        <w:rPr>
          <w:rFonts w:ascii="宋体" w:eastAsia="仿宋_GB2312" w:hint="eastAsia"/>
          <w:sz w:val="24"/>
        </w:rPr>
        <w:t>）买卖其他基金份额，但是国务院另有规定的除外；（</w:t>
      </w:r>
      <w:r>
        <w:rPr>
          <w:rFonts w:ascii="宋体" w:eastAsia="仿宋_GB2312" w:hint="eastAsia"/>
          <w:sz w:val="24"/>
        </w:rPr>
        <w:t>5</w:t>
      </w:r>
      <w:r>
        <w:rPr>
          <w:rFonts w:ascii="宋体" w:eastAsia="仿宋_GB2312" w:hint="eastAsia"/>
          <w:sz w:val="24"/>
        </w:rPr>
        <w:t>）向其基金管理人、基金托管人出资或者买卖其基金管理人、基金托管人发行的股票或者债券；（</w:t>
      </w:r>
      <w:r>
        <w:rPr>
          <w:rFonts w:ascii="宋体" w:eastAsia="仿宋_GB2312" w:hint="eastAsia"/>
          <w:sz w:val="24"/>
        </w:rPr>
        <w:t>6</w:t>
      </w:r>
      <w:r>
        <w:rPr>
          <w:rFonts w:ascii="宋体" w:eastAsia="仿宋_GB2312" w:hint="eastAsia"/>
          <w:sz w:val="24"/>
        </w:rPr>
        <w:t>）买卖与其基金管理人、基金托管人有控股关系的股东或者与其基金管理人、基金托管人有其他重大利害关系的公司发行的证券或者承销期内承销的证券；（</w:t>
      </w:r>
      <w:r>
        <w:rPr>
          <w:rFonts w:ascii="宋体" w:eastAsia="仿宋_GB2312" w:hint="eastAsia"/>
          <w:sz w:val="24"/>
        </w:rPr>
        <w:t>7</w:t>
      </w:r>
      <w:r>
        <w:rPr>
          <w:rFonts w:ascii="宋体" w:eastAsia="仿宋_GB2312" w:hint="eastAsia"/>
          <w:sz w:val="24"/>
        </w:rPr>
        <w:t>）从事内幕交易、操纵证券交易价格及其他不正当的证券交易活动；（</w:t>
      </w:r>
      <w:r>
        <w:rPr>
          <w:rFonts w:ascii="宋体" w:eastAsia="仿宋_GB2312" w:hint="eastAsia"/>
          <w:sz w:val="24"/>
        </w:rPr>
        <w:t>8</w:t>
      </w:r>
      <w:r>
        <w:rPr>
          <w:rFonts w:ascii="宋体" w:eastAsia="仿宋_GB2312" w:hint="eastAsia"/>
          <w:sz w:val="24"/>
        </w:rPr>
        <w:t>）依照法律、行政法规有关规定，由</w:t>
      </w:r>
      <w:r>
        <w:rPr>
          <w:rFonts w:ascii="仿宋_GB2312" w:eastAsia="仿宋_GB2312" w:hAnsi="宋体" w:cs="Arial" w:hint="eastAsia"/>
          <w:sz w:val="24"/>
        </w:rPr>
        <w:t>中国证监会</w:t>
      </w:r>
      <w:r>
        <w:rPr>
          <w:rFonts w:ascii="宋体" w:eastAsia="仿宋_GB2312" w:hint="eastAsia"/>
          <w:sz w:val="24"/>
        </w:rPr>
        <w:t>规定禁止的其他活动。</w:t>
      </w:r>
      <w:r>
        <w:rPr>
          <w:rFonts w:ascii="仿宋_GB2312" w:eastAsia="仿宋_GB2312" w:cs="Arial"/>
          <w:sz w:val="24"/>
        </w:rPr>
        <w:t>法律法规或</w:t>
      </w:r>
      <w:r>
        <w:rPr>
          <w:rFonts w:ascii="仿宋_GB2312" w:eastAsia="仿宋_GB2312" w:cs="Arial" w:hint="eastAsia"/>
          <w:sz w:val="24"/>
        </w:rPr>
        <w:t>监管部门取消</w:t>
      </w:r>
      <w:r>
        <w:rPr>
          <w:rFonts w:ascii="仿宋_GB2312" w:eastAsia="仿宋_GB2312" w:cs="Arial"/>
          <w:sz w:val="24"/>
        </w:rPr>
        <w:t>上述限制，</w:t>
      </w:r>
      <w:r>
        <w:rPr>
          <w:rFonts w:ascii="仿宋_GB2312" w:eastAsia="仿宋_GB2312" w:cs="Arial" w:hint="eastAsia"/>
          <w:sz w:val="24"/>
        </w:rPr>
        <w:t>如适用于本基金，则本基金投资不再受相关限制</w:t>
      </w:r>
      <w:r>
        <w:rPr>
          <w:rFonts w:ascii="宋体" w:eastAsia="仿宋_GB2312" w:hint="eastAsia"/>
          <w:sz w:val="24"/>
        </w:rPr>
        <w:t>。</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（十）法律法规和基金合同禁止的其他行为，以及</w:t>
      </w:r>
      <w:r>
        <w:rPr>
          <w:rFonts w:ascii="宋体" w:eastAsia="仿宋_GB2312" w:hint="eastAsia"/>
          <w:sz w:val="24"/>
        </w:rPr>
        <w:t>依照法律、行政法规有关规定，由</w:t>
      </w:r>
      <w:r>
        <w:rPr>
          <w:rFonts w:ascii="仿宋_GB2312" w:eastAsia="仿宋_GB2312" w:hAnsi="宋体" w:cs="Arial" w:hint="eastAsia"/>
          <w:sz w:val="24"/>
        </w:rPr>
        <w:t>中国证监会</w:t>
      </w:r>
      <w:r>
        <w:rPr>
          <w:rFonts w:ascii="宋体" w:eastAsia="仿宋_GB2312" w:hint="eastAsia"/>
          <w:sz w:val="24"/>
        </w:rPr>
        <w:t>规定禁止基金管理人、基金托管人从事的其他行为。</w:t>
      </w:r>
    </w:p>
    <w:p w:rsidR="008F3B05" w:rsidRDefault="008F3B05">
      <w:pPr>
        <w:adjustRightInd w:val="0"/>
        <w:snapToGrid w:val="0"/>
        <w:rPr>
          <w:rFonts w:eastAsia="方正仿宋简体"/>
          <w:sz w:val="30"/>
          <w:szCs w:val="30"/>
        </w:rPr>
      </w:pPr>
    </w:p>
    <w:p w:rsidR="008F3B05" w:rsidRDefault="008F3B05">
      <w:pPr>
        <w:pStyle w:val="2"/>
        <w:jc w:val="center"/>
        <w:rPr>
          <w:rFonts w:eastAsia="宋体"/>
          <w:sz w:val="30"/>
        </w:rPr>
      </w:pPr>
      <w:bookmarkStart w:id="97" w:name="_Toc297031878"/>
      <w:r>
        <w:rPr>
          <w:rFonts w:eastAsia="宋体" w:hint="eastAsia"/>
          <w:sz w:val="30"/>
        </w:rPr>
        <w:lastRenderedPageBreak/>
        <w:t>十六、托管协议的变更、终止与基金财产的清算</w:t>
      </w:r>
      <w:bookmarkEnd w:id="97"/>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（一）托管协议的变更程序</w:t>
      </w:r>
    </w:p>
    <w:p w:rsidR="008F3B05" w:rsidRDefault="008F3B05">
      <w:pPr>
        <w:adjustRightInd w:val="0"/>
        <w:snapToGrid w:val="0"/>
        <w:ind w:firstLineChars="200" w:firstLine="480"/>
        <w:rPr>
          <w:rFonts w:eastAsia="方正仿宋简体"/>
          <w:sz w:val="30"/>
          <w:szCs w:val="30"/>
        </w:rPr>
      </w:pPr>
      <w:r>
        <w:rPr>
          <w:rFonts w:ascii="仿宋_GB2312" w:eastAsia="仿宋_GB2312" w:hAnsi="宋体" w:cs="Arial" w:hint="eastAsia"/>
          <w:sz w:val="24"/>
        </w:rPr>
        <w:t>本协议双方当事人经协商一致，可以对协议进行修改。修改后的新协议，其内容不得与基金合同的规定有任何冲突。基金托管协议的变更报中国证监会核准或备案后生效。</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（二）基金托管协议终止出现的情形</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1.基金合同终止；</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2.基金托管人解散、依法被撤销、破产或由其他基金托管人接管基金资产；</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3.基金管理人解散、依法被撤销、破产或由其他基金管理人接管基金管理权；</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4.发生法律法规或基金合同规定的终止事项。</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（三）基金财产的清算</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1.基金财产清算组</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(1)基金合同终止情形发生时，成立基金财产清算组，基金财产清算组在中国证监会的监督下进行基金清算。</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(2)基金财产清算组成员由基金管理人、基金托管人、具有从事证券</w:t>
      </w:r>
      <w:r w:rsidR="00BE4659">
        <w:rPr>
          <w:rFonts w:ascii="仿宋_GB2312" w:eastAsia="仿宋_GB2312" w:hAnsi="宋体" w:cs="Arial" w:hint="eastAsia"/>
          <w:sz w:val="24"/>
        </w:rPr>
        <w:t>、期货</w:t>
      </w:r>
      <w:r>
        <w:rPr>
          <w:rFonts w:ascii="仿宋_GB2312" w:eastAsia="仿宋_GB2312" w:hAnsi="宋体" w:cs="Arial" w:hint="eastAsia"/>
          <w:sz w:val="24"/>
        </w:rPr>
        <w:t>相关业务资格的注册会计师、律师以及中国证监会指定的人员组成。基金财产清算组可以聘用必要的工作人员。</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(3)在基金财产清算过程中，基金管理人和基金托管人应各自履行职责，继续忠实、勤勉、尽责地履行基金合同和本托管协议规定的义务，维护基金份额持有人的合法权益。</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(4)基金财产清算组负责基金财产的保管、清理、估价、变现和分配。基金财产清算组可以依法进行必要的民事活动。</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2.基金财产清算程序</w:t>
      </w:r>
    </w:p>
    <w:p w:rsidR="008F3B05" w:rsidRDefault="008F3B05">
      <w:pPr>
        <w:adjustRightInd w:val="0"/>
        <w:snapToGrid w:val="0"/>
        <w:ind w:firstLineChars="200" w:firstLine="480"/>
        <w:rPr>
          <w:rFonts w:eastAsia="仿宋_GB2312"/>
          <w:sz w:val="24"/>
        </w:rPr>
      </w:pPr>
      <w:r>
        <w:rPr>
          <w:rFonts w:eastAsia="仿宋_GB2312" w:hint="eastAsia"/>
          <w:sz w:val="24"/>
        </w:rPr>
        <w:t>基金合同终止</w:t>
      </w:r>
      <w:r>
        <w:rPr>
          <w:rFonts w:ascii="仿宋_GB2312" w:eastAsia="仿宋_GB2312" w:hAnsi="宋体" w:cs="Arial" w:hint="eastAsia"/>
          <w:sz w:val="24"/>
        </w:rPr>
        <w:t>情形发生时</w:t>
      </w:r>
      <w:r>
        <w:rPr>
          <w:rFonts w:eastAsia="仿宋_GB2312" w:hint="eastAsia"/>
          <w:sz w:val="24"/>
        </w:rPr>
        <w:t>，应当按法律法规和基金合同的有关规定对基金财产进行清算。基金财产清算程序主要包括：</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w:t>
      </w:r>
      <w:r>
        <w:rPr>
          <w:rFonts w:ascii="仿宋_GB2312" w:eastAsia="仿宋_GB2312" w:hAnsi="宋体" w:cs="Arial"/>
          <w:sz w:val="24"/>
        </w:rPr>
        <w:t>基金合同终止</w:t>
      </w:r>
      <w:r>
        <w:rPr>
          <w:rFonts w:ascii="仿宋_GB2312" w:eastAsia="仿宋_GB2312" w:hAnsi="宋体" w:cs="Arial" w:hint="eastAsia"/>
          <w:sz w:val="24"/>
        </w:rPr>
        <w:t>情形发生</w:t>
      </w:r>
      <w:r>
        <w:rPr>
          <w:rFonts w:ascii="仿宋_GB2312" w:eastAsia="仿宋_GB2312" w:hAnsi="宋体" w:cs="Arial"/>
          <w:sz w:val="24"/>
        </w:rPr>
        <w:t>后，发布基金</w:t>
      </w:r>
      <w:r>
        <w:rPr>
          <w:rFonts w:ascii="仿宋_GB2312" w:eastAsia="仿宋_GB2312" w:hAnsi="宋体" w:cs="Arial" w:hint="eastAsia"/>
          <w:sz w:val="24"/>
        </w:rPr>
        <w:t>财产</w:t>
      </w:r>
      <w:r>
        <w:rPr>
          <w:rFonts w:ascii="仿宋_GB2312" w:eastAsia="仿宋_GB2312" w:hAnsi="宋体" w:cs="Arial"/>
          <w:sz w:val="24"/>
        </w:rPr>
        <w:t>清算公告；</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(2)基金合同终止情形发生时，由基金财产清算组统一接管基金财产；</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(3)对基金财产进行清理和确认；</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(4)对基金财产进行估价和变现；</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(5)</w:t>
      </w:r>
      <w:r>
        <w:rPr>
          <w:rFonts w:ascii="仿宋_GB2312" w:eastAsia="仿宋_GB2312" w:hAnsi="宋体" w:cs="Arial"/>
          <w:sz w:val="24"/>
        </w:rPr>
        <w:t>聘请会计师事务所对清算报告进行审计</w:t>
      </w:r>
      <w:r>
        <w:rPr>
          <w:rFonts w:ascii="仿宋_GB2312" w:eastAsia="仿宋_GB2312" w:hAnsi="宋体" w:cs="Arial" w:hint="eastAsia"/>
          <w:sz w:val="24"/>
        </w:rPr>
        <w:t>；</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(6)</w:t>
      </w:r>
      <w:r>
        <w:rPr>
          <w:rFonts w:ascii="仿宋_GB2312" w:eastAsia="仿宋_GB2312" w:hAnsi="宋体" w:cs="Arial"/>
          <w:sz w:val="24"/>
        </w:rPr>
        <w:t>聘请律师事务所出具法律意见书</w:t>
      </w:r>
      <w:r>
        <w:rPr>
          <w:rFonts w:ascii="仿宋_GB2312" w:eastAsia="仿宋_GB2312" w:hAnsi="宋体" w:cs="Arial" w:hint="eastAsia"/>
          <w:sz w:val="24"/>
        </w:rPr>
        <w:t>；</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(7)将基金财产清算结果报告中国证监会；</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(8)</w:t>
      </w:r>
      <w:r>
        <w:rPr>
          <w:rFonts w:ascii="仿宋_GB2312" w:eastAsia="仿宋_GB2312" w:hAnsi="宋体" w:cs="Arial"/>
          <w:sz w:val="24"/>
        </w:rPr>
        <w:t>参加与基金</w:t>
      </w:r>
      <w:r>
        <w:rPr>
          <w:rFonts w:ascii="仿宋_GB2312" w:eastAsia="仿宋_GB2312" w:hAnsi="宋体" w:cs="Arial" w:hint="eastAsia"/>
          <w:sz w:val="24"/>
        </w:rPr>
        <w:t>财产</w:t>
      </w:r>
      <w:r>
        <w:rPr>
          <w:rFonts w:ascii="仿宋_GB2312" w:eastAsia="仿宋_GB2312" w:hAnsi="宋体" w:cs="Arial"/>
          <w:sz w:val="24"/>
        </w:rPr>
        <w:t>有关的民事诉讼</w:t>
      </w:r>
      <w:r>
        <w:rPr>
          <w:rFonts w:ascii="仿宋_GB2312" w:eastAsia="仿宋_GB2312" w:hAnsi="宋体" w:cs="Arial" w:hint="eastAsia"/>
          <w:sz w:val="24"/>
        </w:rPr>
        <w:t>；</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(9)公布基金财产清算结果；</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(10)对基金剩余财产进行分配。</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3.清算费用</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清算费用是指基金财产清算组在进行基金财产清算过程中发生的所有合理费用，清算费用由基金财产清算组优先从基金财产中支付。</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4.基金财产按下列顺序清偿：</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(1)支付清算费用；</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(2)交纳所欠税款；</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(3)清偿基金债务；</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(4)按基金份额持有人持有的基金份额比例进行分配。</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lastRenderedPageBreak/>
        <w:t>基金财产未按前款(1)－(</w:t>
      </w:r>
      <w:r>
        <w:rPr>
          <w:rFonts w:ascii="仿宋_GB2312" w:eastAsia="仿宋_GB2312" w:hAnsi="宋体" w:cs="Arial"/>
          <w:sz w:val="24"/>
        </w:rPr>
        <w:t>3</w:t>
      </w:r>
      <w:r>
        <w:rPr>
          <w:rFonts w:ascii="仿宋_GB2312" w:eastAsia="仿宋_GB2312" w:hAnsi="宋体" w:cs="Arial" w:hint="eastAsia"/>
          <w:sz w:val="24"/>
        </w:rPr>
        <w:t>)项规定清偿前，不分配给基金份额持有人。</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5.基金财产清算的公告</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sz w:val="24"/>
        </w:rPr>
        <w:t>基金财产清算公告于</w:t>
      </w:r>
      <w:r>
        <w:rPr>
          <w:rFonts w:ascii="仿宋_GB2312" w:eastAsia="仿宋_GB2312" w:hAnsi="宋体" w:cs="Arial" w:hint="eastAsia"/>
          <w:sz w:val="24"/>
        </w:rPr>
        <w:t>基金合同终止情形发生并报中国证监会备案后</w:t>
      </w:r>
      <w:r>
        <w:rPr>
          <w:rFonts w:ascii="仿宋_GB2312" w:eastAsia="仿宋_GB2312" w:hAnsi="宋体" w:cs="Arial"/>
          <w:sz w:val="24"/>
        </w:rPr>
        <w:t>5</w:t>
      </w:r>
      <w:r>
        <w:rPr>
          <w:rFonts w:ascii="仿宋_GB2312" w:eastAsia="仿宋_GB2312" w:hAnsi="宋体" w:cs="Arial" w:hint="eastAsia"/>
          <w:sz w:val="24"/>
        </w:rPr>
        <w:t>个工作日内由基金财产清算组公告；清算过程中的有关重大事项须及时公告；基金财产清算结果经会计师事务所审计，律师事务所出具法律意见书后，由基金财产清算组报中国证监会备案并公告。</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6.基金财产清算账册及文件的保存</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基金财产清算账册及有关文件由基金托管人保存</w:t>
      </w:r>
      <w:r>
        <w:rPr>
          <w:rFonts w:ascii="仿宋_GB2312" w:eastAsia="仿宋_GB2312" w:hAnsi="宋体" w:cs="Arial"/>
          <w:sz w:val="24"/>
        </w:rPr>
        <w:t>15</w:t>
      </w:r>
      <w:r>
        <w:rPr>
          <w:rFonts w:ascii="仿宋_GB2312" w:eastAsia="仿宋_GB2312" w:hAnsi="宋体" w:cs="Arial" w:hint="eastAsia"/>
          <w:sz w:val="24"/>
        </w:rPr>
        <w:t>年以上。</w:t>
      </w:r>
    </w:p>
    <w:p w:rsidR="008F3B05" w:rsidRDefault="008F3B05">
      <w:pPr>
        <w:adjustRightInd w:val="0"/>
        <w:snapToGrid w:val="0"/>
        <w:rPr>
          <w:rFonts w:ascii="仿宋_GB2312" w:eastAsia="仿宋_GB2312" w:hAnsi="宋体" w:cs="Arial"/>
          <w:sz w:val="24"/>
        </w:rPr>
      </w:pPr>
    </w:p>
    <w:p w:rsidR="008F3B05" w:rsidRDefault="008F3B05">
      <w:pPr>
        <w:pStyle w:val="2"/>
        <w:jc w:val="center"/>
        <w:rPr>
          <w:rFonts w:eastAsia="宋体"/>
          <w:sz w:val="30"/>
        </w:rPr>
      </w:pPr>
      <w:bookmarkStart w:id="98" w:name="_Toc297031879"/>
      <w:r>
        <w:rPr>
          <w:rFonts w:eastAsia="宋体" w:hint="eastAsia"/>
          <w:sz w:val="30"/>
        </w:rPr>
        <w:t>十七、违约责任</w:t>
      </w:r>
      <w:bookmarkEnd w:id="98"/>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（一）</w:t>
      </w:r>
      <w:r>
        <w:rPr>
          <w:rFonts w:ascii="仿宋_GB2312" w:eastAsia="仿宋_GB2312" w:hAnsi="宋体" w:cs="Arial"/>
          <w:sz w:val="24"/>
        </w:rPr>
        <w:t>基金管理人、基金托管人</w:t>
      </w:r>
      <w:r>
        <w:rPr>
          <w:rFonts w:ascii="仿宋_GB2312" w:eastAsia="仿宋_GB2312" w:hAnsi="宋体" w:cs="Arial" w:hint="eastAsia"/>
          <w:sz w:val="24"/>
        </w:rPr>
        <w:t>不</w:t>
      </w:r>
      <w:r>
        <w:rPr>
          <w:rFonts w:ascii="仿宋_GB2312" w:eastAsia="仿宋_GB2312" w:hAnsi="宋体" w:cs="Arial"/>
          <w:sz w:val="24"/>
        </w:rPr>
        <w:t>履行</w:t>
      </w:r>
      <w:r>
        <w:rPr>
          <w:rFonts w:ascii="仿宋_GB2312" w:eastAsia="仿宋_GB2312" w:hAnsi="宋体" w:cs="Arial" w:hint="eastAsia"/>
          <w:sz w:val="24"/>
        </w:rPr>
        <w:t>本协议或履行本协议不符合约定的，应当承担违约责任。</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（二）</w:t>
      </w:r>
      <w:r>
        <w:rPr>
          <w:rFonts w:ascii="仿宋_GB2312" w:eastAsia="仿宋_GB2312" w:hAnsi="宋体" w:cs="Arial"/>
          <w:sz w:val="24"/>
        </w:rPr>
        <w:t>基金管理人、基金托管人在履行各自职责的过程中，违反</w:t>
      </w:r>
      <w:r>
        <w:rPr>
          <w:rFonts w:ascii="仿宋_GB2312" w:eastAsia="仿宋_GB2312" w:hAnsi="宋体" w:cs="Arial" w:hint="eastAsia"/>
          <w:sz w:val="24"/>
        </w:rPr>
        <w:t>《基金法》</w:t>
      </w:r>
      <w:r>
        <w:rPr>
          <w:rFonts w:ascii="仿宋_GB2312" w:eastAsia="仿宋_GB2312" w:hAnsi="宋体" w:cs="Arial"/>
          <w:sz w:val="24"/>
        </w:rPr>
        <w:t>或者</w:t>
      </w:r>
      <w:r>
        <w:rPr>
          <w:rFonts w:ascii="仿宋_GB2312" w:eastAsia="仿宋_GB2312" w:hAnsi="宋体" w:cs="Arial" w:hint="eastAsia"/>
          <w:sz w:val="24"/>
        </w:rPr>
        <w:t>基金合同和本托管协议</w:t>
      </w:r>
      <w:r>
        <w:rPr>
          <w:rFonts w:ascii="仿宋_GB2312" w:eastAsia="仿宋_GB2312" w:hAnsi="宋体" w:cs="Arial"/>
          <w:sz w:val="24"/>
        </w:rPr>
        <w:t>约定，给基金财产或者基金份额持有人造成损害的，应当分别对各自的行为依法承担赔偿责任；因共同行为给基金财产或者基金份额持有人造成损害的，应当承担连带赔偿责任。</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1.不可抗力；</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2.基金管理人、基金托管人按照当时有效的法律法规或中国证监会的规定作为或不作为而造成的损失等；</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3.在没有过错的情况下，基金管理人由于按照基金合同规定的投资原则投资或不投资造成的直接损失或潜在损失等；</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（四）一方当事人违约，另一方当事人在职责范围内有义务及时采取必要的措施，尽力防止损失的扩大</w:t>
      </w:r>
      <w:r>
        <w:rPr>
          <w:rFonts w:ascii="仿宋_GB2312" w:eastAsia="仿宋_GB2312" w:hAnsi="宋体" w:cs="Arial"/>
          <w:sz w:val="24"/>
        </w:rPr>
        <w:t>；没有采取适当措施致使损失扩大的，不得就扩大的损失要求赔偿。守约方因防止损失扩大而支出的合理费用由违约方承担</w:t>
      </w:r>
      <w:r>
        <w:rPr>
          <w:rFonts w:ascii="仿宋_GB2312" w:eastAsia="仿宋_GB2312" w:hAnsi="宋体" w:cs="Arial" w:hint="eastAsia"/>
          <w:sz w:val="24"/>
        </w:rPr>
        <w:t>。</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（五）违约行为虽已发生，但本托管协议能够继续履行的，在最大限度地保护基金份额持有人利益的前提下，基金管理人和基金托管人应当继续履行本协议。</w:t>
      </w:r>
    </w:p>
    <w:p w:rsidR="008F3B05" w:rsidRDefault="008F3B05">
      <w:pPr>
        <w:adjustRightInd w:val="0"/>
        <w:snapToGrid w:val="0"/>
        <w:ind w:firstLineChars="200" w:firstLine="480"/>
        <w:outlineLvl w:val="0"/>
        <w:rPr>
          <w:rFonts w:ascii="仿宋_GB2312" w:eastAsia="仿宋_GB2312" w:hAnsi="宋体" w:cs="Arial"/>
          <w:sz w:val="24"/>
        </w:rPr>
      </w:pPr>
      <w:r>
        <w:rPr>
          <w:rFonts w:ascii="仿宋_GB2312" w:eastAsia="仿宋_GB2312"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8F3B05" w:rsidRDefault="008F3B05">
      <w:pPr>
        <w:adjustRightInd w:val="0"/>
        <w:snapToGrid w:val="0"/>
        <w:outlineLvl w:val="0"/>
        <w:rPr>
          <w:rFonts w:ascii="仿宋_GB2312" w:eastAsia="仿宋_GB2312" w:hAnsi="宋体" w:cs="Arial"/>
          <w:sz w:val="24"/>
        </w:rPr>
      </w:pPr>
    </w:p>
    <w:p w:rsidR="008F3B05" w:rsidRDefault="008F3B05">
      <w:pPr>
        <w:pStyle w:val="2"/>
        <w:jc w:val="center"/>
        <w:rPr>
          <w:rFonts w:eastAsia="宋体"/>
          <w:sz w:val="30"/>
        </w:rPr>
      </w:pPr>
      <w:bookmarkStart w:id="99" w:name="_Toc297031880"/>
      <w:r>
        <w:rPr>
          <w:rFonts w:eastAsia="宋体" w:hint="eastAsia"/>
          <w:sz w:val="30"/>
        </w:rPr>
        <w:t>十八、争议解决方式</w:t>
      </w:r>
      <w:bookmarkEnd w:id="99"/>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w:t>
      </w:r>
      <w:r>
        <w:rPr>
          <w:rFonts w:ascii="仿宋_GB2312" w:eastAsia="仿宋_GB2312" w:hAnsi="宋体" w:cs="Arial" w:hint="eastAsia"/>
          <w:sz w:val="24"/>
        </w:rPr>
        <w:lastRenderedPageBreak/>
        <w:t>裁。仲裁裁决是终局的，对当事人均有约束力，仲裁费用由败诉方承担。</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争议处理期间，双方当事人应恪守基金管理人和基金托管人职责，各自继续忠实、勤勉、尽责地履行基金合同和本托管协议规定的义务，维护基金份额持有人的合法权益。</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本协议受中国法律管辖。</w:t>
      </w:r>
    </w:p>
    <w:p w:rsidR="008F3B05" w:rsidRDefault="008F3B05">
      <w:pPr>
        <w:adjustRightInd w:val="0"/>
        <w:snapToGrid w:val="0"/>
        <w:rPr>
          <w:rFonts w:ascii="仿宋_GB2312" w:eastAsia="仿宋_GB2312" w:hAnsi="宋体" w:cs="Arial"/>
          <w:sz w:val="24"/>
        </w:rPr>
      </w:pPr>
    </w:p>
    <w:p w:rsidR="008F3B05" w:rsidRDefault="008F3B05">
      <w:pPr>
        <w:pStyle w:val="2"/>
        <w:jc w:val="center"/>
        <w:rPr>
          <w:rFonts w:eastAsia="宋体"/>
          <w:sz w:val="30"/>
        </w:rPr>
      </w:pPr>
      <w:bookmarkStart w:id="100" w:name="_Toc297031881"/>
      <w:r>
        <w:rPr>
          <w:rFonts w:eastAsia="宋体" w:hint="eastAsia"/>
          <w:sz w:val="30"/>
        </w:rPr>
        <w:t>十九、托管协议的效力</w:t>
      </w:r>
      <w:bookmarkEnd w:id="100"/>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双方对托管协议的效力约定如下：</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一）基金管理人在向中国证监会申请发售基金份额时提交的托管协议草案，应经托管协议当事人双方盖章以及双方法定代表人或授权代表签字，协议当事人双方根据中国证监会的意见修改托管协议草案。托管协议以中国证监会核准的文本为正式文本。</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（二）托管协议自基金合同成立之日起成立，自基金合同生效之日起生效。托管协议的有效期自其生效之日起至基金财产清算结果报中国证监会备案并公告之日止。</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（三）托管协议自生效之日起对托管协议当事人具有同等的法律约束力。</w:t>
      </w:r>
    </w:p>
    <w:p w:rsidR="008F3B05" w:rsidRDefault="008F3B05">
      <w:pPr>
        <w:adjustRightInd w:val="0"/>
        <w:snapToGrid w:val="0"/>
        <w:ind w:firstLineChars="200" w:firstLine="480"/>
        <w:rPr>
          <w:rFonts w:eastAsia="方正仿宋简体"/>
          <w:sz w:val="30"/>
          <w:szCs w:val="30"/>
        </w:rPr>
      </w:pPr>
      <w:r>
        <w:rPr>
          <w:rFonts w:ascii="仿宋_GB2312" w:eastAsia="仿宋_GB2312" w:hAnsi="宋体" w:cs="Arial" w:hint="eastAsia"/>
          <w:sz w:val="24"/>
        </w:rPr>
        <w:t>（四）本协议一式八份，协议双方各持二份，备存二份，上报中国证监会和银行业监督管理机构各一份，每份具有同等法律效力。</w:t>
      </w:r>
    </w:p>
    <w:p w:rsidR="008F3B05" w:rsidRDefault="008F3B05">
      <w:pPr>
        <w:adjustRightInd w:val="0"/>
        <w:snapToGrid w:val="0"/>
        <w:rPr>
          <w:rFonts w:ascii="仿宋_GB2312" w:eastAsia="仿宋_GB2312" w:hAnsi="宋体" w:cs="Arial"/>
          <w:sz w:val="24"/>
        </w:rPr>
      </w:pPr>
    </w:p>
    <w:p w:rsidR="008F3B05" w:rsidRDefault="008F3B05">
      <w:pPr>
        <w:pStyle w:val="2"/>
        <w:jc w:val="center"/>
        <w:rPr>
          <w:rFonts w:eastAsia="宋体"/>
          <w:sz w:val="30"/>
        </w:rPr>
      </w:pPr>
      <w:bookmarkStart w:id="101" w:name="_Toc297031882"/>
      <w:r>
        <w:rPr>
          <w:rFonts w:eastAsia="宋体" w:hint="eastAsia"/>
          <w:sz w:val="30"/>
        </w:rPr>
        <w:t>二十、其他事项</w:t>
      </w:r>
      <w:bookmarkEnd w:id="101"/>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如发生有权司法机关依法冻结基金份额持有人的基金份额时，基金管理人应予以配合，承担司法协助义务。</w:t>
      </w:r>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除本协议有明确定义外，本协议的用语定义适用基金合同的约定。本协议未尽事宜，当事人依据基金合同、有关法律法规等规定协商办理。</w:t>
      </w:r>
    </w:p>
    <w:p w:rsidR="008F3B05" w:rsidRDefault="008F3B05">
      <w:pPr>
        <w:adjustRightInd w:val="0"/>
        <w:snapToGrid w:val="0"/>
        <w:rPr>
          <w:b/>
          <w:bCs/>
        </w:rPr>
      </w:pPr>
    </w:p>
    <w:p w:rsidR="008F3B05" w:rsidRDefault="008F3B05">
      <w:pPr>
        <w:pStyle w:val="2"/>
        <w:jc w:val="center"/>
        <w:rPr>
          <w:rFonts w:eastAsia="宋体"/>
          <w:sz w:val="30"/>
        </w:rPr>
      </w:pPr>
      <w:bookmarkStart w:id="102" w:name="_Toc297031883"/>
      <w:r>
        <w:rPr>
          <w:rFonts w:eastAsia="宋体" w:hint="eastAsia"/>
          <w:sz w:val="30"/>
        </w:rPr>
        <w:t>二十一、托管协议的签订</w:t>
      </w:r>
      <w:bookmarkEnd w:id="102"/>
    </w:p>
    <w:p w:rsidR="008F3B05" w:rsidRDefault="008F3B05">
      <w:pPr>
        <w:adjustRightInd w:val="0"/>
        <w:snapToGrid w:val="0"/>
        <w:ind w:firstLineChars="200" w:firstLine="480"/>
        <w:rPr>
          <w:rFonts w:ascii="仿宋_GB2312" w:eastAsia="仿宋_GB2312" w:hAnsi="宋体" w:cs="Arial"/>
          <w:sz w:val="24"/>
        </w:rPr>
      </w:pPr>
      <w:r>
        <w:rPr>
          <w:rFonts w:ascii="仿宋_GB2312" w:eastAsia="仿宋_GB2312" w:hAnsi="宋体" w:cs="Arial" w:hint="eastAsia"/>
          <w:sz w:val="24"/>
        </w:rPr>
        <w:t>本协议双方法定代表人或授权代表人签章、签订地、签订日</w:t>
      </w:r>
    </w:p>
    <w:p w:rsidR="008F3B05" w:rsidRDefault="008F3B05">
      <w:pPr>
        <w:spacing w:line="360" w:lineRule="auto"/>
        <w:ind w:right="26"/>
        <w:rPr>
          <w:rFonts w:ascii="仿宋_GB2312" w:eastAsia="仿宋_GB2312"/>
          <w:sz w:val="24"/>
        </w:rPr>
      </w:pPr>
    </w:p>
    <w:p w:rsidR="008F3B05" w:rsidRDefault="008F3B05"/>
    <w:p w:rsidR="008F3B05" w:rsidRDefault="008F3B05"/>
    <w:sectPr w:rsidR="008F3B05" w:rsidSect="00556552">
      <w:headerReference w:type="default" r:id="rId9"/>
      <w:footerReference w:type="default" r:id="rId10"/>
      <w:pgSz w:w="11906" w:h="16838"/>
      <w:pgMar w:top="1418" w:right="1701" w:bottom="1418" w:left="1701"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498BB" w16cid:durableId="2148BE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9D0" w:rsidRDefault="001C09D0">
      <w:r>
        <w:separator/>
      </w:r>
    </w:p>
  </w:endnote>
  <w:endnote w:type="continuationSeparator" w:id="0">
    <w:p w:rsidR="001C09D0" w:rsidRDefault="001C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彩虹粗仿宋">
    <w:altName w:val="宋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06" w:rsidRDefault="009848CC">
    <w:pPr>
      <w:pStyle w:val="a8"/>
      <w:framePr w:wrap="around" w:vAnchor="text" w:hAnchor="margin" w:xAlign="center" w:y="2"/>
      <w:rPr>
        <w:rStyle w:val="a5"/>
      </w:rPr>
    </w:pPr>
    <w:r>
      <w:fldChar w:fldCharType="begin"/>
    </w:r>
    <w:r w:rsidR="00B22106">
      <w:rPr>
        <w:rStyle w:val="a5"/>
      </w:rPr>
      <w:instrText xml:space="preserve">PAGE  </w:instrText>
    </w:r>
    <w:r>
      <w:fldChar w:fldCharType="end"/>
    </w:r>
  </w:p>
  <w:p w:rsidR="00B22106" w:rsidRDefault="00B221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06" w:rsidRDefault="00B22106">
    <w:pPr>
      <w:pStyle w:val="a8"/>
      <w:jc w:val="center"/>
    </w:pPr>
  </w:p>
  <w:p w:rsidR="00B22106" w:rsidRDefault="00B221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06" w:rsidRDefault="00B221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9D0" w:rsidRDefault="001C09D0">
      <w:r>
        <w:separator/>
      </w:r>
    </w:p>
  </w:footnote>
  <w:footnote w:type="continuationSeparator" w:id="0">
    <w:p w:rsidR="001C09D0" w:rsidRDefault="001C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06" w:rsidRDefault="00B22106">
    <w:pPr>
      <w:pStyle w:val="a6"/>
      <w:jc w:val="right"/>
    </w:pPr>
    <w:r>
      <w:rPr>
        <w:rFonts w:hint="eastAsia"/>
      </w:rPr>
      <w:t>华商主题精选混合型基金托管协议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97BFB"/>
    <w:multiLevelType w:val="multilevel"/>
    <w:tmpl w:val="54C97BFB"/>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6A477C1D"/>
    <w:multiLevelType w:val="multilevel"/>
    <w:tmpl w:val="6A477C1D"/>
    <w:lvl w:ilvl="0">
      <w:start w:val="1"/>
      <w:numFmt w:val="low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51D53"/>
    <w:rsid w:val="00091AE9"/>
    <w:rsid w:val="000D6F8D"/>
    <w:rsid w:val="00120768"/>
    <w:rsid w:val="001709A8"/>
    <w:rsid w:val="00172A27"/>
    <w:rsid w:val="001A0A69"/>
    <w:rsid w:val="001C09D0"/>
    <w:rsid w:val="001C7E24"/>
    <w:rsid w:val="001F0B39"/>
    <w:rsid w:val="002714CD"/>
    <w:rsid w:val="00273372"/>
    <w:rsid w:val="00275572"/>
    <w:rsid w:val="002F3E97"/>
    <w:rsid w:val="003563DB"/>
    <w:rsid w:val="00422139"/>
    <w:rsid w:val="00423D17"/>
    <w:rsid w:val="0045607B"/>
    <w:rsid w:val="00556552"/>
    <w:rsid w:val="00595395"/>
    <w:rsid w:val="005D2A95"/>
    <w:rsid w:val="00602E70"/>
    <w:rsid w:val="006C2EDB"/>
    <w:rsid w:val="007801CE"/>
    <w:rsid w:val="0079335B"/>
    <w:rsid w:val="007B00DA"/>
    <w:rsid w:val="00817955"/>
    <w:rsid w:val="008517D0"/>
    <w:rsid w:val="008D3858"/>
    <w:rsid w:val="008F3B05"/>
    <w:rsid w:val="00912562"/>
    <w:rsid w:val="009848CC"/>
    <w:rsid w:val="00A14662"/>
    <w:rsid w:val="00A63519"/>
    <w:rsid w:val="00AF2491"/>
    <w:rsid w:val="00B01127"/>
    <w:rsid w:val="00B11913"/>
    <w:rsid w:val="00B22106"/>
    <w:rsid w:val="00BE4659"/>
    <w:rsid w:val="00C30952"/>
    <w:rsid w:val="00C614E0"/>
    <w:rsid w:val="00CB6025"/>
    <w:rsid w:val="00CC20EA"/>
    <w:rsid w:val="00CE5A19"/>
    <w:rsid w:val="00D34B72"/>
    <w:rsid w:val="00D3639F"/>
    <w:rsid w:val="00D907E4"/>
    <w:rsid w:val="00DE2D28"/>
    <w:rsid w:val="00E3412F"/>
    <w:rsid w:val="00E568C4"/>
    <w:rsid w:val="00EB165B"/>
    <w:rsid w:val="00F85BFA"/>
    <w:rsid w:val="00FC1F7C"/>
    <w:rsid w:val="00FD5B54"/>
    <w:rsid w:val="5D4D785C"/>
    <w:rsid w:val="5DF8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2CB78362-0BF7-4BB4-B02B-BF8AEE97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552"/>
    <w:pPr>
      <w:widowControl w:val="0"/>
      <w:jc w:val="both"/>
    </w:pPr>
    <w:rPr>
      <w:kern w:val="2"/>
      <w:sz w:val="21"/>
      <w:szCs w:val="24"/>
    </w:rPr>
  </w:style>
  <w:style w:type="paragraph" w:styleId="2">
    <w:name w:val="heading 2"/>
    <w:basedOn w:val="a"/>
    <w:next w:val="a0"/>
    <w:uiPriority w:val="9"/>
    <w:qFormat/>
    <w:rsid w:val="00556552"/>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556552"/>
    <w:rPr>
      <w:color w:val="0000FF"/>
      <w:u w:val="single"/>
    </w:rPr>
  </w:style>
  <w:style w:type="character" w:styleId="a5">
    <w:name w:val="page number"/>
    <w:basedOn w:val="a1"/>
    <w:uiPriority w:val="99"/>
    <w:unhideWhenUsed/>
    <w:rsid w:val="00556552"/>
  </w:style>
  <w:style w:type="character" w:customStyle="1" w:styleId="read">
    <w:name w:val="read"/>
    <w:basedOn w:val="a1"/>
    <w:rsid w:val="00556552"/>
  </w:style>
  <w:style w:type="paragraph" w:styleId="a6">
    <w:name w:val="header"/>
    <w:basedOn w:val="a"/>
    <w:rsid w:val="0055655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uiPriority w:val="39"/>
    <w:unhideWhenUsed/>
    <w:rsid w:val="00556552"/>
    <w:pPr>
      <w:ind w:leftChars="200" w:left="420"/>
    </w:pPr>
  </w:style>
  <w:style w:type="paragraph" w:styleId="a7">
    <w:name w:val="Body Text Indent"/>
    <w:basedOn w:val="a"/>
    <w:uiPriority w:val="99"/>
    <w:unhideWhenUsed/>
    <w:rsid w:val="00556552"/>
    <w:pPr>
      <w:adjustRightInd w:val="0"/>
      <w:snapToGrid w:val="0"/>
      <w:spacing w:line="560" w:lineRule="exact"/>
      <w:ind w:firstLineChars="200" w:firstLine="480"/>
    </w:pPr>
    <w:rPr>
      <w:rFonts w:eastAsia="方正仿宋简体"/>
      <w:sz w:val="24"/>
      <w:szCs w:val="30"/>
    </w:rPr>
  </w:style>
  <w:style w:type="paragraph" w:styleId="a8">
    <w:name w:val="footer"/>
    <w:basedOn w:val="a"/>
    <w:rsid w:val="00556552"/>
    <w:pPr>
      <w:tabs>
        <w:tab w:val="center" w:pos="4153"/>
        <w:tab w:val="right" w:pos="8306"/>
      </w:tabs>
      <w:snapToGrid w:val="0"/>
      <w:jc w:val="left"/>
    </w:pPr>
    <w:rPr>
      <w:sz w:val="18"/>
    </w:rPr>
  </w:style>
  <w:style w:type="paragraph" w:styleId="a0">
    <w:name w:val="Normal Indent"/>
    <w:basedOn w:val="a"/>
    <w:uiPriority w:val="99"/>
    <w:unhideWhenUsed/>
    <w:rsid w:val="00556552"/>
    <w:pPr>
      <w:ind w:firstLineChars="200" w:firstLine="420"/>
    </w:pPr>
  </w:style>
  <w:style w:type="paragraph" w:styleId="a9">
    <w:name w:val="List Paragraph"/>
    <w:basedOn w:val="a"/>
    <w:uiPriority w:val="34"/>
    <w:qFormat/>
    <w:rsid w:val="00556552"/>
    <w:pPr>
      <w:ind w:firstLineChars="200" w:firstLine="420"/>
    </w:pPr>
    <w:rPr>
      <w:rFonts w:ascii="Arial" w:hAnsi="Arial"/>
      <w:sz w:val="18"/>
    </w:rPr>
  </w:style>
  <w:style w:type="paragraph" w:styleId="aa">
    <w:name w:val="Balloon Text"/>
    <w:basedOn w:val="a"/>
    <w:link w:val="ab"/>
    <w:uiPriority w:val="99"/>
    <w:semiHidden/>
    <w:unhideWhenUsed/>
    <w:rsid w:val="006C2EDB"/>
    <w:rPr>
      <w:sz w:val="18"/>
      <w:szCs w:val="18"/>
    </w:rPr>
  </w:style>
  <w:style w:type="character" w:customStyle="1" w:styleId="ab">
    <w:name w:val="批注框文本 字符"/>
    <w:link w:val="aa"/>
    <w:uiPriority w:val="99"/>
    <w:semiHidden/>
    <w:rsid w:val="006C2EDB"/>
    <w:rPr>
      <w:kern w:val="2"/>
      <w:sz w:val="18"/>
      <w:szCs w:val="18"/>
    </w:rPr>
  </w:style>
  <w:style w:type="character" w:styleId="ac">
    <w:name w:val="annotation reference"/>
    <w:uiPriority w:val="99"/>
    <w:semiHidden/>
    <w:unhideWhenUsed/>
    <w:rsid w:val="00423D17"/>
    <w:rPr>
      <w:sz w:val="21"/>
      <w:szCs w:val="21"/>
    </w:rPr>
  </w:style>
  <w:style w:type="paragraph" w:styleId="ad">
    <w:name w:val="annotation text"/>
    <w:basedOn w:val="a"/>
    <w:link w:val="ae"/>
    <w:uiPriority w:val="99"/>
    <w:semiHidden/>
    <w:unhideWhenUsed/>
    <w:rsid w:val="00423D17"/>
    <w:pPr>
      <w:jc w:val="left"/>
    </w:pPr>
  </w:style>
  <w:style w:type="character" w:customStyle="1" w:styleId="ae">
    <w:name w:val="批注文字 字符"/>
    <w:link w:val="ad"/>
    <w:uiPriority w:val="99"/>
    <w:semiHidden/>
    <w:rsid w:val="00423D17"/>
    <w:rPr>
      <w:kern w:val="2"/>
      <w:sz w:val="21"/>
      <w:szCs w:val="24"/>
    </w:rPr>
  </w:style>
  <w:style w:type="paragraph" w:styleId="af">
    <w:name w:val="annotation subject"/>
    <w:basedOn w:val="ad"/>
    <w:next w:val="ad"/>
    <w:link w:val="af0"/>
    <w:uiPriority w:val="99"/>
    <w:semiHidden/>
    <w:unhideWhenUsed/>
    <w:rsid w:val="00423D17"/>
    <w:rPr>
      <w:b/>
      <w:bCs/>
    </w:rPr>
  </w:style>
  <w:style w:type="character" w:customStyle="1" w:styleId="af0">
    <w:name w:val="批注主题 字符"/>
    <w:link w:val="af"/>
    <w:uiPriority w:val="99"/>
    <w:semiHidden/>
    <w:rsid w:val="00423D1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4148</Words>
  <Characters>23647</Characters>
  <Application>Microsoft Office Word</Application>
  <DocSecurity>0</DocSecurity>
  <PresentationFormat/>
  <Lines>197</Lines>
  <Paragraphs>55</Paragraphs>
  <Slides>0</Slides>
  <Notes>0</Notes>
  <HiddenSlides>0</HiddenSlides>
  <MMClips>0</MMClips>
  <ScaleCrop>false</ScaleCrop>
  <Manager/>
  <Company/>
  <LinksUpToDate>false</LinksUpToDate>
  <CharactersWithSpaces>27740</CharactersWithSpaces>
  <SharedDoc>false</SharedDoc>
  <HLinks>
    <vt:vector size="126" baseType="variant">
      <vt:variant>
        <vt:i4>1507390</vt:i4>
      </vt:variant>
      <vt:variant>
        <vt:i4>122</vt:i4>
      </vt:variant>
      <vt:variant>
        <vt:i4>0</vt:i4>
      </vt:variant>
      <vt:variant>
        <vt:i4>5</vt:i4>
      </vt:variant>
      <vt:variant>
        <vt:lpwstr/>
      </vt:variant>
      <vt:variant>
        <vt:lpwstr>_Toc297031883</vt:lpwstr>
      </vt:variant>
      <vt:variant>
        <vt:i4>1507390</vt:i4>
      </vt:variant>
      <vt:variant>
        <vt:i4>116</vt:i4>
      </vt:variant>
      <vt:variant>
        <vt:i4>0</vt:i4>
      </vt:variant>
      <vt:variant>
        <vt:i4>5</vt:i4>
      </vt:variant>
      <vt:variant>
        <vt:lpwstr/>
      </vt:variant>
      <vt:variant>
        <vt:lpwstr>_Toc297031882</vt:lpwstr>
      </vt:variant>
      <vt:variant>
        <vt:i4>1507390</vt:i4>
      </vt:variant>
      <vt:variant>
        <vt:i4>110</vt:i4>
      </vt:variant>
      <vt:variant>
        <vt:i4>0</vt:i4>
      </vt:variant>
      <vt:variant>
        <vt:i4>5</vt:i4>
      </vt:variant>
      <vt:variant>
        <vt:lpwstr/>
      </vt:variant>
      <vt:variant>
        <vt:lpwstr>_Toc297031881</vt:lpwstr>
      </vt:variant>
      <vt:variant>
        <vt:i4>1507390</vt:i4>
      </vt:variant>
      <vt:variant>
        <vt:i4>104</vt:i4>
      </vt:variant>
      <vt:variant>
        <vt:i4>0</vt:i4>
      </vt:variant>
      <vt:variant>
        <vt:i4>5</vt:i4>
      </vt:variant>
      <vt:variant>
        <vt:lpwstr/>
      </vt:variant>
      <vt:variant>
        <vt:lpwstr>_Toc297031880</vt:lpwstr>
      </vt:variant>
      <vt:variant>
        <vt:i4>1572926</vt:i4>
      </vt:variant>
      <vt:variant>
        <vt:i4>98</vt:i4>
      </vt:variant>
      <vt:variant>
        <vt:i4>0</vt:i4>
      </vt:variant>
      <vt:variant>
        <vt:i4>5</vt:i4>
      </vt:variant>
      <vt:variant>
        <vt:lpwstr/>
      </vt:variant>
      <vt:variant>
        <vt:lpwstr>_Toc297031879</vt:lpwstr>
      </vt:variant>
      <vt:variant>
        <vt:i4>1572926</vt:i4>
      </vt:variant>
      <vt:variant>
        <vt:i4>92</vt:i4>
      </vt:variant>
      <vt:variant>
        <vt:i4>0</vt:i4>
      </vt:variant>
      <vt:variant>
        <vt:i4>5</vt:i4>
      </vt:variant>
      <vt:variant>
        <vt:lpwstr/>
      </vt:variant>
      <vt:variant>
        <vt:lpwstr>_Toc297031878</vt:lpwstr>
      </vt:variant>
      <vt:variant>
        <vt:i4>1572926</vt:i4>
      </vt:variant>
      <vt:variant>
        <vt:i4>86</vt:i4>
      </vt:variant>
      <vt:variant>
        <vt:i4>0</vt:i4>
      </vt:variant>
      <vt:variant>
        <vt:i4>5</vt:i4>
      </vt:variant>
      <vt:variant>
        <vt:lpwstr/>
      </vt:variant>
      <vt:variant>
        <vt:lpwstr>_Toc297031877</vt:lpwstr>
      </vt:variant>
      <vt:variant>
        <vt:i4>1572926</vt:i4>
      </vt:variant>
      <vt:variant>
        <vt:i4>80</vt:i4>
      </vt:variant>
      <vt:variant>
        <vt:i4>0</vt:i4>
      </vt:variant>
      <vt:variant>
        <vt:i4>5</vt:i4>
      </vt:variant>
      <vt:variant>
        <vt:lpwstr/>
      </vt:variant>
      <vt:variant>
        <vt:lpwstr>_Toc297031876</vt:lpwstr>
      </vt:variant>
      <vt:variant>
        <vt:i4>1572926</vt:i4>
      </vt:variant>
      <vt:variant>
        <vt:i4>74</vt:i4>
      </vt:variant>
      <vt:variant>
        <vt:i4>0</vt:i4>
      </vt:variant>
      <vt:variant>
        <vt:i4>5</vt:i4>
      </vt:variant>
      <vt:variant>
        <vt:lpwstr/>
      </vt:variant>
      <vt:variant>
        <vt:lpwstr>_Toc297031875</vt:lpwstr>
      </vt:variant>
      <vt:variant>
        <vt:i4>1572926</vt:i4>
      </vt:variant>
      <vt:variant>
        <vt:i4>68</vt:i4>
      </vt:variant>
      <vt:variant>
        <vt:i4>0</vt:i4>
      </vt:variant>
      <vt:variant>
        <vt:i4>5</vt:i4>
      </vt:variant>
      <vt:variant>
        <vt:lpwstr/>
      </vt:variant>
      <vt:variant>
        <vt:lpwstr>_Toc297031874</vt:lpwstr>
      </vt:variant>
      <vt:variant>
        <vt:i4>1572926</vt:i4>
      </vt:variant>
      <vt:variant>
        <vt:i4>62</vt:i4>
      </vt:variant>
      <vt:variant>
        <vt:i4>0</vt:i4>
      </vt:variant>
      <vt:variant>
        <vt:i4>5</vt:i4>
      </vt:variant>
      <vt:variant>
        <vt:lpwstr/>
      </vt:variant>
      <vt:variant>
        <vt:lpwstr>_Toc297031873</vt:lpwstr>
      </vt:variant>
      <vt:variant>
        <vt:i4>1572926</vt:i4>
      </vt:variant>
      <vt:variant>
        <vt:i4>56</vt:i4>
      </vt:variant>
      <vt:variant>
        <vt:i4>0</vt:i4>
      </vt:variant>
      <vt:variant>
        <vt:i4>5</vt:i4>
      </vt:variant>
      <vt:variant>
        <vt:lpwstr/>
      </vt:variant>
      <vt:variant>
        <vt:lpwstr>_Toc297031872</vt:lpwstr>
      </vt:variant>
      <vt:variant>
        <vt:i4>1572926</vt:i4>
      </vt:variant>
      <vt:variant>
        <vt:i4>50</vt:i4>
      </vt:variant>
      <vt:variant>
        <vt:i4>0</vt:i4>
      </vt:variant>
      <vt:variant>
        <vt:i4>5</vt:i4>
      </vt:variant>
      <vt:variant>
        <vt:lpwstr/>
      </vt:variant>
      <vt:variant>
        <vt:lpwstr>_Toc297031871</vt:lpwstr>
      </vt:variant>
      <vt:variant>
        <vt:i4>1572926</vt:i4>
      </vt:variant>
      <vt:variant>
        <vt:i4>44</vt:i4>
      </vt:variant>
      <vt:variant>
        <vt:i4>0</vt:i4>
      </vt:variant>
      <vt:variant>
        <vt:i4>5</vt:i4>
      </vt:variant>
      <vt:variant>
        <vt:lpwstr/>
      </vt:variant>
      <vt:variant>
        <vt:lpwstr>_Toc297031870</vt:lpwstr>
      </vt:variant>
      <vt:variant>
        <vt:i4>1638462</vt:i4>
      </vt:variant>
      <vt:variant>
        <vt:i4>38</vt:i4>
      </vt:variant>
      <vt:variant>
        <vt:i4>0</vt:i4>
      </vt:variant>
      <vt:variant>
        <vt:i4>5</vt:i4>
      </vt:variant>
      <vt:variant>
        <vt:lpwstr/>
      </vt:variant>
      <vt:variant>
        <vt:lpwstr>_Toc297031869</vt:lpwstr>
      </vt:variant>
      <vt:variant>
        <vt:i4>1638462</vt:i4>
      </vt:variant>
      <vt:variant>
        <vt:i4>32</vt:i4>
      </vt:variant>
      <vt:variant>
        <vt:i4>0</vt:i4>
      </vt:variant>
      <vt:variant>
        <vt:i4>5</vt:i4>
      </vt:variant>
      <vt:variant>
        <vt:lpwstr/>
      </vt:variant>
      <vt:variant>
        <vt:lpwstr>_Toc297031868</vt:lpwstr>
      </vt:variant>
      <vt:variant>
        <vt:i4>1638462</vt:i4>
      </vt:variant>
      <vt:variant>
        <vt:i4>26</vt:i4>
      </vt:variant>
      <vt:variant>
        <vt:i4>0</vt:i4>
      </vt:variant>
      <vt:variant>
        <vt:i4>5</vt:i4>
      </vt:variant>
      <vt:variant>
        <vt:lpwstr/>
      </vt:variant>
      <vt:variant>
        <vt:lpwstr>_Toc297031867</vt:lpwstr>
      </vt:variant>
      <vt:variant>
        <vt:i4>1638462</vt:i4>
      </vt:variant>
      <vt:variant>
        <vt:i4>20</vt:i4>
      </vt:variant>
      <vt:variant>
        <vt:i4>0</vt:i4>
      </vt:variant>
      <vt:variant>
        <vt:i4>5</vt:i4>
      </vt:variant>
      <vt:variant>
        <vt:lpwstr/>
      </vt:variant>
      <vt:variant>
        <vt:lpwstr>_Toc297031866</vt:lpwstr>
      </vt:variant>
      <vt:variant>
        <vt:i4>1638462</vt:i4>
      </vt:variant>
      <vt:variant>
        <vt:i4>14</vt:i4>
      </vt:variant>
      <vt:variant>
        <vt:i4>0</vt:i4>
      </vt:variant>
      <vt:variant>
        <vt:i4>5</vt:i4>
      </vt:variant>
      <vt:variant>
        <vt:lpwstr/>
      </vt:variant>
      <vt:variant>
        <vt:lpwstr>_Toc297031865</vt:lpwstr>
      </vt:variant>
      <vt:variant>
        <vt:i4>1638462</vt:i4>
      </vt:variant>
      <vt:variant>
        <vt:i4>8</vt:i4>
      </vt:variant>
      <vt:variant>
        <vt:i4>0</vt:i4>
      </vt:variant>
      <vt:variant>
        <vt:i4>5</vt:i4>
      </vt:variant>
      <vt:variant>
        <vt:lpwstr/>
      </vt:variant>
      <vt:variant>
        <vt:lpwstr>_Toc297031864</vt:lpwstr>
      </vt:variant>
      <vt:variant>
        <vt:i4>1638462</vt:i4>
      </vt:variant>
      <vt:variant>
        <vt:i4>2</vt:i4>
      </vt:variant>
      <vt:variant>
        <vt:i4>0</vt:i4>
      </vt:variant>
      <vt:variant>
        <vt:i4>5</vt:i4>
      </vt:variant>
      <vt:variant>
        <vt:lpwstr/>
      </vt:variant>
      <vt:variant>
        <vt:lpwstr>_Toc297031863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华商主题精选股票型证券投资基金</dc:title>
  <dc:subject/>
  <dc:creator>397183883</dc:creator>
  <cp:keywords/>
  <dc:description/>
  <cp:lastModifiedBy>刘洁</cp:lastModifiedBy>
  <cp:revision>24</cp:revision>
  <dcterms:created xsi:type="dcterms:W3CDTF">2018-02-12T06:17:00Z</dcterms:created>
  <dcterms:modified xsi:type="dcterms:W3CDTF">2020-01-21T06:06:00Z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