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AF3" w:rsidRDefault="00DB2AF3" w:rsidP="00DB2AF3">
      <w:pPr>
        <w:ind w:firstLineChars="200" w:firstLine="640"/>
        <w:jc w:val="center"/>
        <w:rPr>
          <w:rFonts w:ascii="黑体" w:eastAsia="黑体" w:hAnsi="黑体" w:hint="eastAsia"/>
          <w:sz w:val="32"/>
          <w:szCs w:val="32"/>
        </w:rPr>
      </w:pPr>
      <w:r w:rsidRPr="00DB2AF3">
        <w:rPr>
          <w:rFonts w:ascii="黑体" w:eastAsia="黑体" w:hAnsi="黑体" w:hint="eastAsia"/>
          <w:sz w:val="32"/>
          <w:szCs w:val="32"/>
        </w:rPr>
        <w:t>证券期货经营机构私募资产管理计划备案管理规范第4号——私募资产管理计划投资 房地产开发企业、项目</w:t>
      </w:r>
    </w:p>
    <w:p w:rsidR="005508EF" w:rsidRPr="00DB2AF3" w:rsidRDefault="005508EF" w:rsidP="00DB2AF3">
      <w:pPr>
        <w:ind w:firstLineChars="200" w:firstLine="640"/>
        <w:jc w:val="center"/>
        <w:rPr>
          <w:rFonts w:ascii="黑体" w:eastAsia="黑体" w:hAnsi="黑体"/>
          <w:sz w:val="32"/>
          <w:szCs w:val="32"/>
        </w:rPr>
      </w:pPr>
    </w:p>
    <w:p w:rsidR="00DB2AF3" w:rsidRPr="00DB2AF3" w:rsidRDefault="00DB2AF3" w:rsidP="00DB2AF3">
      <w:pPr>
        <w:ind w:firstLineChars="200" w:firstLine="560"/>
        <w:rPr>
          <w:rFonts w:ascii="仿宋_GB2312" w:eastAsia="仿宋_GB2312"/>
          <w:sz w:val="28"/>
        </w:rPr>
      </w:pPr>
      <w:r w:rsidRPr="00DB2AF3">
        <w:rPr>
          <w:rFonts w:ascii="仿宋_GB2312" w:eastAsia="仿宋_GB2312" w:hint="eastAsia"/>
          <w:sz w:val="28"/>
        </w:rPr>
        <w:t>证券期货经营机构设立私募资产管理计划投资房地产开发企业、项目，应符合国家相关产业政策要求，严格遵守《证券期货经营机构私募资产管理业务运作管理暂行规定》有关规定，并符合以下规范性要求：</w:t>
      </w:r>
    </w:p>
    <w:p w:rsidR="00DB2AF3" w:rsidRPr="00DB2AF3" w:rsidRDefault="00DB2AF3" w:rsidP="00DB2AF3">
      <w:pPr>
        <w:ind w:firstLineChars="200" w:firstLine="560"/>
        <w:rPr>
          <w:rFonts w:ascii="仿宋_GB2312" w:eastAsia="仿宋_GB2312"/>
          <w:sz w:val="28"/>
        </w:rPr>
      </w:pPr>
      <w:r w:rsidRPr="00DB2AF3">
        <w:rPr>
          <w:rFonts w:ascii="仿宋_GB2312" w:eastAsia="仿宋_GB2312" w:hint="eastAsia"/>
          <w:sz w:val="28"/>
        </w:rPr>
        <w:t>一、证券期货经营机构设立私募资产管理计划，投资于房地产价格上涨过快热点城市</w:t>
      </w:r>
      <w:r w:rsidR="005508EF">
        <w:rPr>
          <w:rStyle w:val="a6"/>
          <w:rFonts w:ascii="仿宋_GB2312" w:eastAsia="仿宋_GB2312"/>
          <w:sz w:val="28"/>
        </w:rPr>
        <w:footnoteReference w:id="1"/>
      </w:r>
      <w:r w:rsidRPr="00DB2AF3">
        <w:rPr>
          <w:rFonts w:ascii="仿宋_GB2312" w:eastAsia="仿宋_GB2312" w:hint="eastAsia"/>
          <w:sz w:val="28"/>
        </w:rPr>
        <w:t>普通住宅地产项目</w:t>
      </w:r>
      <w:r w:rsidR="005508EF">
        <w:rPr>
          <w:rStyle w:val="a6"/>
          <w:rFonts w:ascii="仿宋_GB2312" w:eastAsia="仿宋_GB2312"/>
          <w:sz w:val="28"/>
        </w:rPr>
        <w:footnoteReference w:id="2"/>
      </w:r>
      <w:r w:rsidRPr="00DB2AF3">
        <w:rPr>
          <w:rFonts w:ascii="仿宋_GB2312" w:eastAsia="仿宋_GB2312" w:hint="eastAsia"/>
          <w:sz w:val="28"/>
        </w:rPr>
        <w:t>的，暂不予备案，包括但不限于以下方式：</w:t>
      </w:r>
    </w:p>
    <w:p w:rsidR="00DB2AF3" w:rsidRPr="00DB2AF3" w:rsidRDefault="00DB2AF3" w:rsidP="00DB2AF3">
      <w:pPr>
        <w:ind w:firstLineChars="200" w:firstLine="560"/>
        <w:rPr>
          <w:rFonts w:ascii="仿宋_GB2312" w:eastAsia="仿宋_GB2312"/>
          <w:sz w:val="28"/>
        </w:rPr>
      </w:pPr>
      <w:r w:rsidRPr="00DB2AF3">
        <w:rPr>
          <w:rFonts w:ascii="仿宋_GB2312" w:eastAsia="仿宋_GB2312" w:hint="eastAsia"/>
          <w:sz w:val="28"/>
        </w:rPr>
        <w:t>（一）委托贷款；</w:t>
      </w:r>
    </w:p>
    <w:p w:rsidR="00DB2AF3" w:rsidRPr="00DB2AF3" w:rsidRDefault="00DB2AF3" w:rsidP="00DB2AF3">
      <w:pPr>
        <w:ind w:firstLineChars="200" w:firstLine="560"/>
        <w:rPr>
          <w:rFonts w:ascii="仿宋_GB2312" w:eastAsia="仿宋_GB2312"/>
          <w:sz w:val="28"/>
        </w:rPr>
      </w:pPr>
      <w:r w:rsidRPr="00DB2AF3">
        <w:rPr>
          <w:rFonts w:ascii="仿宋_GB2312" w:eastAsia="仿宋_GB2312" w:hint="eastAsia"/>
          <w:sz w:val="28"/>
        </w:rPr>
        <w:t>（二）嵌套投资信托计划及其他金融产品；</w:t>
      </w:r>
    </w:p>
    <w:p w:rsidR="00DB2AF3" w:rsidRPr="00DB2AF3" w:rsidRDefault="00DB2AF3" w:rsidP="00DB2AF3">
      <w:pPr>
        <w:ind w:firstLineChars="200" w:firstLine="560"/>
        <w:rPr>
          <w:rFonts w:ascii="仿宋_GB2312" w:eastAsia="仿宋_GB2312"/>
          <w:sz w:val="28"/>
        </w:rPr>
      </w:pPr>
      <w:r w:rsidRPr="00DB2AF3">
        <w:rPr>
          <w:rFonts w:ascii="仿宋_GB2312" w:eastAsia="仿宋_GB2312" w:hint="eastAsia"/>
          <w:sz w:val="28"/>
        </w:rPr>
        <w:t>（三）受让信托受益权及其他资产收（受）益权；</w:t>
      </w:r>
    </w:p>
    <w:p w:rsidR="00DB2AF3" w:rsidRPr="00DB2AF3" w:rsidRDefault="00DB2AF3" w:rsidP="00DB2AF3">
      <w:pPr>
        <w:ind w:firstLineChars="200" w:firstLine="560"/>
        <w:rPr>
          <w:rFonts w:ascii="仿宋_GB2312" w:eastAsia="仿宋_GB2312"/>
          <w:sz w:val="28"/>
        </w:rPr>
      </w:pPr>
      <w:r w:rsidRPr="00DB2AF3">
        <w:rPr>
          <w:rFonts w:ascii="仿宋_GB2312" w:eastAsia="仿宋_GB2312" w:hint="eastAsia"/>
          <w:sz w:val="28"/>
        </w:rPr>
        <w:t>（四）以名股实债的方式</w:t>
      </w:r>
      <w:r w:rsidR="005508EF">
        <w:rPr>
          <w:rStyle w:val="a6"/>
          <w:rFonts w:ascii="仿宋_GB2312" w:eastAsia="仿宋_GB2312"/>
          <w:sz w:val="28"/>
        </w:rPr>
        <w:footnoteReference w:id="3"/>
      </w:r>
      <w:r w:rsidRPr="00DB2AF3">
        <w:rPr>
          <w:rFonts w:ascii="仿宋_GB2312" w:eastAsia="仿宋_GB2312" w:hint="eastAsia"/>
          <w:sz w:val="28"/>
        </w:rPr>
        <w:t>受让房地产开发企业股权；</w:t>
      </w:r>
    </w:p>
    <w:p w:rsidR="00DB2AF3" w:rsidRPr="00DB2AF3" w:rsidRDefault="00DB2AF3" w:rsidP="00DB2AF3">
      <w:pPr>
        <w:ind w:firstLineChars="200" w:firstLine="560"/>
        <w:rPr>
          <w:rFonts w:ascii="仿宋_GB2312" w:eastAsia="仿宋_GB2312"/>
          <w:sz w:val="28"/>
        </w:rPr>
      </w:pPr>
      <w:r w:rsidRPr="00DB2AF3">
        <w:rPr>
          <w:rFonts w:ascii="仿宋_GB2312" w:eastAsia="仿宋_GB2312" w:hint="eastAsia"/>
          <w:sz w:val="28"/>
        </w:rPr>
        <w:t>（五）中国证券投资基金业协会根据审慎监管原则认定的其他债权投资方式。</w:t>
      </w:r>
    </w:p>
    <w:p w:rsidR="00DB2AF3" w:rsidRPr="00DB2AF3" w:rsidRDefault="00DB2AF3" w:rsidP="00DB2AF3">
      <w:pPr>
        <w:ind w:firstLineChars="200" w:firstLine="560"/>
        <w:rPr>
          <w:rFonts w:ascii="仿宋_GB2312" w:eastAsia="仿宋_GB2312"/>
          <w:sz w:val="28"/>
        </w:rPr>
      </w:pPr>
      <w:r w:rsidRPr="00DB2AF3">
        <w:rPr>
          <w:rFonts w:ascii="仿宋_GB2312" w:eastAsia="仿宋_GB2312" w:hint="eastAsia"/>
          <w:sz w:val="28"/>
        </w:rPr>
        <w:t>二、资产管理人应当依据勤勉尽责的受托义务要求，履行向下穿透审查义务，即向底层资产进行穿透审查，以确定受托资金的最终投资方向符合本规范要求。</w:t>
      </w:r>
    </w:p>
    <w:p w:rsidR="00DB2AF3" w:rsidRPr="00DB2AF3" w:rsidRDefault="00DB2AF3" w:rsidP="00DB2AF3">
      <w:pPr>
        <w:ind w:firstLineChars="200" w:firstLine="560"/>
        <w:rPr>
          <w:rFonts w:ascii="仿宋_GB2312" w:eastAsia="仿宋_GB2312"/>
          <w:sz w:val="28"/>
        </w:rPr>
      </w:pPr>
      <w:r w:rsidRPr="00DB2AF3">
        <w:rPr>
          <w:rFonts w:ascii="仿宋_GB2312" w:eastAsia="仿宋_GB2312" w:hint="eastAsia"/>
          <w:sz w:val="28"/>
        </w:rPr>
        <w:lastRenderedPageBreak/>
        <w:t>三、私募资产管理计划不得通过银行委托贷款、信托计划、受让资产收（受）益权等方式向房地产开发企业</w:t>
      </w:r>
      <w:r w:rsidR="005508EF">
        <w:rPr>
          <w:rStyle w:val="a6"/>
          <w:rFonts w:ascii="仿宋_GB2312" w:eastAsia="仿宋_GB2312"/>
          <w:sz w:val="28"/>
        </w:rPr>
        <w:footnoteReference w:id="4"/>
      </w:r>
      <w:r w:rsidRPr="00DB2AF3">
        <w:rPr>
          <w:rFonts w:ascii="仿宋_GB2312" w:eastAsia="仿宋_GB2312" w:hint="eastAsia"/>
          <w:sz w:val="28"/>
        </w:rPr>
        <w:t>提供融资，用于支付土地出让价款或补充流动资金；不得直接或间接为各类机构发放首付贷等违法违规行为提供便利。</w:t>
      </w:r>
    </w:p>
    <w:p w:rsidR="00DB2AF3" w:rsidRPr="00DB2AF3" w:rsidRDefault="00DB2AF3" w:rsidP="00DB2AF3">
      <w:pPr>
        <w:ind w:firstLineChars="200" w:firstLine="560"/>
        <w:rPr>
          <w:rFonts w:ascii="仿宋_GB2312" w:eastAsia="仿宋_GB2312"/>
          <w:sz w:val="28"/>
        </w:rPr>
      </w:pPr>
      <w:r w:rsidRPr="00DB2AF3">
        <w:rPr>
          <w:rFonts w:ascii="仿宋_GB2312" w:eastAsia="仿宋_GB2312" w:hint="eastAsia"/>
          <w:sz w:val="28"/>
        </w:rPr>
        <w:t>四、私募资产管理计划投资房地产开发企业、项目且不存在本规范第一、二、三条禁止情形的，资产管理人应当向投资者充分披露融资方、项目情况、担保措施等信息。</w:t>
      </w:r>
    </w:p>
    <w:p w:rsidR="00DB2AF3" w:rsidRPr="00DB2AF3" w:rsidRDefault="00DB2AF3" w:rsidP="00DB2AF3">
      <w:pPr>
        <w:ind w:firstLineChars="200" w:firstLine="560"/>
        <w:rPr>
          <w:rFonts w:ascii="仿宋_GB2312" w:eastAsia="仿宋_GB2312"/>
          <w:sz w:val="28"/>
        </w:rPr>
      </w:pPr>
      <w:r w:rsidRPr="00DB2AF3">
        <w:rPr>
          <w:rFonts w:ascii="仿宋_GB2312" w:eastAsia="仿宋_GB2312" w:hint="eastAsia"/>
          <w:sz w:val="28"/>
        </w:rPr>
        <w:t>五、私募资产管理计划投资房地产开发企业、项目且不存在本规范第一、二、三条禁止情形的，资产管理人应当完善资金账户管理、支付管理流程，加强资金流向持续监控，防范资金被挪用于支付合同约定资金用途之外的其他款项。</w:t>
      </w:r>
    </w:p>
    <w:p w:rsidR="00DB2AF3" w:rsidRPr="00DB2AF3" w:rsidRDefault="00DB2AF3" w:rsidP="00DB2AF3">
      <w:pPr>
        <w:ind w:firstLineChars="200" w:firstLine="560"/>
        <w:rPr>
          <w:rFonts w:ascii="仿宋_GB2312" w:eastAsia="仿宋_GB2312"/>
          <w:sz w:val="28"/>
        </w:rPr>
      </w:pPr>
    </w:p>
    <w:p w:rsidR="00DB2AF3" w:rsidRPr="00DB2AF3" w:rsidRDefault="00DB2AF3" w:rsidP="00DB2AF3">
      <w:pPr>
        <w:ind w:firstLineChars="200" w:firstLine="560"/>
        <w:rPr>
          <w:rFonts w:ascii="仿宋_GB2312" w:eastAsia="仿宋_GB2312"/>
          <w:sz w:val="28"/>
        </w:rPr>
      </w:pPr>
    </w:p>
    <w:p w:rsidR="00D37E9A" w:rsidRPr="00DB2AF3" w:rsidRDefault="00D37E9A" w:rsidP="00DB2AF3">
      <w:pPr>
        <w:ind w:firstLineChars="200" w:firstLine="560"/>
        <w:rPr>
          <w:rFonts w:ascii="仿宋" w:eastAsia="仿宋" w:hAnsi="仿宋"/>
          <w:sz w:val="28"/>
          <w:szCs w:val="28"/>
        </w:rPr>
      </w:pPr>
    </w:p>
    <w:sectPr w:rsidR="00D37E9A" w:rsidRPr="00DB2AF3" w:rsidSect="00D37E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349" w:rsidRDefault="006A4349" w:rsidP="00DB2AF3">
      <w:r>
        <w:separator/>
      </w:r>
    </w:p>
  </w:endnote>
  <w:endnote w:type="continuationSeparator" w:id="0">
    <w:p w:rsidR="006A4349" w:rsidRDefault="006A4349" w:rsidP="00DB2A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349" w:rsidRDefault="006A4349" w:rsidP="00DB2AF3">
      <w:r>
        <w:separator/>
      </w:r>
    </w:p>
  </w:footnote>
  <w:footnote w:type="continuationSeparator" w:id="0">
    <w:p w:rsidR="006A4349" w:rsidRDefault="006A4349" w:rsidP="00DB2AF3">
      <w:r>
        <w:continuationSeparator/>
      </w:r>
    </w:p>
  </w:footnote>
  <w:footnote w:id="1">
    <w:p w:rsidR="005508EF" w:rsidRPr="005508EF" w:rsidRDefault="005508EF">
      <w:pPr>
        <w:pStyle w:val="a5"/>
        <w:rPr>
          <w:rFonts w:hint="eastAsia"/>
        </w:rPr>
      </w:pPr>
      <w:r>
        <w:rPr>
          <w:rStyle w:val="a6"/>
        </w:rPr>
        <w:footnoteRef/>
      </w:r>
      <w:r w:rsidRPr="005508EF">
        <w:rPr>
          <w:rFonts w:hint="eastAsia"/>
        </w:rPr>
        <w:t>目前包括北京、上海、广州、深圳、厦门、合肥、南京、苏州、无锡、杭州、天津、福州、武汉、郑州、济南、成都等</w:t>
      </w:r>
      <w:r w:rsidRPr="005508EF">
        <w:rPr>
          <w:rFonts w:hint="eastAsia"/>
        </w:rPr>
        <w:t>16</w:t>
      </w:r>
      <w:r w:rsidRPr="005508EF">
        <w:rPr>
          <w:rFonts w:hint="eastAsia"/>
        </w:rPr>
        <w:t>个城市，将根据住房和城乡建设部相关规定适时调整范围。</w:t>
      </w:r>
    </w:p>
  </w:footnote>
  <w:footnote w:id="2">
    <w:p w:rsidR="005508EF" w:rsidRPr="005508EF" w:rsidRDefault="005508EF">
      <w:pPr>
        <w:pStyle w:val="a5"/>
        <w:rPr>
          <w:rFonts w:hint="eastAsia"/>
        </w:rPr>
      </w:pPr>
      <w:r w:rsidRPr="005508EF">
        <w:footnoteRef/>
      </w:r>
      <w:r w:rsidRPr="005508EF">
        <w:rPr>
          <w:rFonts w:hint="eastAsia"/>
        </w:rPr>
        <w:t>根据深交所《关于试行房地产行业划分标准操作指引的通知》，房地产划分为普通住宅地产、保障性住宅地产、商业地产、工业地产和其他房地产。项目中同时包含多种类型住房的，计划募集资金不得用于项目中普通住宅地产建设。</w:t>
      </w:r>
    </w:p>
  </w:footnote>
  <w:footnote w:id="3">
    <w:p w:rsidR="005508EF" w:rsidRPr="005508EF" w:rsidRDefault="005508EF">
      <w:pPr>
        <w:pStyle w:val="a5"/>
        <w:rPr>
          <w:rFonts w:hint="eastAsia"/>
        </w:rPr>
      </w:pPr>
      <w:r w:rsidRPr="005508EF">
        <w:footnoteRef/>
      </w:r>
      <w:r w:rsidRPr="005508EF">
        <w:rPr>
          <w:rFonts w:hint="eastAsia"/>
        </w:rPr>
        <w:t>本规范所称名股实债，是指投资回报不与被投资企业的经营业绩挂钩，不是根据企业的投资收益或亏损进行分配，而是向投资者提供保本保收益承诺，根据约定定期向投资者支付固定收益，并在满足特定条件后由被投资企业赎回股权或者偿还本息的投资方式，常见形式包括回购、第三方收购、对赌、定期分红等。</w:t>
      </w:r>
    </w:p>
  </w:footnote>
  <w:footnote w:id="4">
    <w:p w:rsidR="005508EF" w:rsidRPr="005508EF" w:rsidRDefault="005508EF" w:rsidP="005508EF">
      <w:pPr>
        <w:pStyle w:val="a5"/>
      </w:pPr>
      <w:r>
        <w:rPr>
          <w:rStyle w:val="a6"/>
        </w:rPr>
        <w:footnoteRef/>
      </w:r>
      <w:r w:rsidRPr="005508EF">
        <w:rPr>
          <w:rFonts w:hint="eastAsia"/>
        </w:rPr>
        <w:t>上市公司，原则上按照上市公司所属中国证监会行业分类结果作为判断依据。非上市公司，参照《上市公司行业分类》执行，即：当公司最近一年经审计的房地产业务收入比重大于或等于</w:t>
      </w:r>
      <w:r w:rsidRPr="005508EF">
        <w:rPr>
          <w:rFonts w:hint="eastAsia"/>
        </w:rPr>
        <w:t>50%</w:t>
      </w:r>
      <w:r w:rsidRPr="005508EF">
        <w:rPr>
          <w:rFonts w:hint="eastAsia"/>
        </w:rPr>
        <w:t>，则将其划入房地产行业；当公司没有一类业务的营业收入比重大于或等于</w:t>
      </w:r>
      <w:r w:rsidRPr="005508EF">
        <w:rPr>
          <w:rFonts w:hint="eastAsia"/>
        </w:rPr>
        <w:t>50%</w:t>
      </w:r>
      <w:r w:rsidRPr="005508EF">
        <w:rPr>
          <w:rFonts w:hint="eastAsia"/>
        </w:rPr>
        <w:t>，但房地产业务的收入和利润均在所有业务中最高，而且均占到公司营业收入和利润的</w:t>
      </w:r>
      <w:r w:rsidRPr="005508EF">
        <w:rPr>
          <w:rFonts w:hint="eastAsia"/>
        </w:rPr>
        <w:t>30%</w:t>
      </w:r>
      <w:r w:rsidRPr="005508EF">
        <w:rPr>
          <w:rFonts w:hint="eastAsia"/>
        </w:rPr>
        <w:t>以上（包含本数），则该公司归属于房地产行业。其中，房地产业务收入包括从事普通住宅地产、商业地产、工业地产、保障性住宅地产和其他房地产所取得的收入。</w:t>
      </w:r>
    </w:p>
    <w:p w:rsidR="005508EF" w:rsidRPr="005508EF" w:rsidRDefault="005508EF">
      <w:pPr>
        <w:pStyle w:val="a5"/>
        <w:rPr>
          <w:rFonts w:hint="eastAsia"/>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2AF3"/>
    <w:rsid w:val="00057224"/>
    <w:rsid w:val="005508EF"/>
    <w:rsid w:val="005F1306"/>
    <w:rsid w:val="006A4349"/>
    <w:rsid w:val="00D37E9A"/>
    <w:rsid w:val="00DB2A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E9A"/>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2A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2AF3"/>
    <w:rPr>
      <w:sz w:val="18"/>
      <w:szCs w:val="18"/>
    </w:rPr>
  </w:style>
  <w:style w:type="paragraph" w:styleId="a4">
    <w:name w:val="footer"/>
    <w:basedOn w:val="a"/>
    <w:link w:val="Char0"/>
    <w:uiPriority w:val="99"/>
    <w:semiHidden/>
    <w:unhideWhenUsed/>
    <w:rsid w:val="00DB2A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2AF3"/>
    <w:rPr>
      <w:sz w:val="18"/>
      <w:szCs w:val="18"/>
    </w:rPr>
  </w:style>
  <w:style w:type="paragraph" w:styleId="a5">
    <w:name w:val="footnote text"/>
    <w:basedOn w:val="a"/>
    <w:link w:val="Char1"/>
    <w:uiPriority w:val="99"/>
    <w:semiHidden/>
    <w:unhideWhenUsed/>
    <w:rsid w:val="005508EF"/>
    <w:pPr>
      <w:snapToGrid w:val="0"/>
      <w:jc w:val="left"/>
    </w:pPr>
    <w:rPr>
      <w:sz w:val="18"/>
      <w:szCs w:val="18"/>
    </w:rPr>
  </w:style>
  <w:style w:type="character" w:customStyle="1" w:styleId="Char1">
    <w:name w:val="脚注文本 Char"/>
    <w:basedOn w:val="a0"/>
    <w:link w:val="a5"/>
    <w:uiPriority w:val="99"/>
    <w:semiHidden/>
    <w:rsid w:val="005508EF"/>
    <w:rPr>
      <w:sz w:val="18"/>
      <w:szCs w:val="18"/>
    </w:rPr>
  </w:style>
  <w:style w:type="character" w:styleId="a6">
    <w:name w:val="footnote reference"/>
    <w:basedOn w:val="a0"/>
    <w:uiPriority w:val="99"/>
    <w:semiHidden/>
    <w:unhideWhenUsed/>
    <w:rsid w:val="005508E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7B9A-1FB6-4499-A214-821DDC3E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100</Words>
  <Characters>573</Characters>
  <Application>Microsoft Office Word</Application>
  <DocSecurity>0</DocSecurity>
  <Lines>4</Lines>
  <Paragraphs>1</Paragraphs>
  <ScaleCrop>false</ScaleCrop>
  <Company>Microsoft</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wangmt</dc:creator>
  <cp:keywords/>
  <dc:description/>
  <cp:lastModifiedBy>wangmt</cp:lastModifiedBy>
  <cp:revision>3</cp:revision>
  <dcterms:created xsi:type="dcterms:W3CDTF">2017-05-08T03:16:00Z</dcterms:created>
  <dcterms:modified xsi:type="dcterms:W3CDTF">2017-05-08T06:14:00Z</dcterms:modified>
</cp:coreProperties>
</file>