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A3" w:rsidRDefault="00624649" w:rsidP="00746FA3">
      <w:pPr>
        <w:spacing w:line="360" w:lineRule="auto"/>
        <w:jc w:val="center"/>
        <w:rPr>
          <w:rFonts w:ascii="宋体" w:eastAsia="宋体" w:hAnsi="宋体" w:cs="Times New Roman"/>
          <w:b/>
          <w:sz w:val="28"/>
          <w:szCs w:val="28"/>
        </w:rPr>
      </w:pPr>
      <w:r w:rsidRPr="000046C5">
        <w:rPr>
          <w:rFonts w:ascii="宋体" w:eastAsia="宋体" w:hAnsi="宋体" w:cs="Times New Roman"/>
          <w:b/>
          <w:sz w:val="28"/>
          <w:szCs w:val="28"/>
        </w:rPr>
        <w:t>华商基金管理有限公司</w:t>
      </w:r>
      <w:r w:rsidR="00ED2A67" w:rsidRPr="000046C5">
        <w:rPr>
          <w:rFonts w:ascii="宋体" w:eastAsia="宋体" w:hAnsi="宋体" w:cs="Times New Roman"/>
          <w:b/>
          <w:sz w:val="28"/>
          <w:szCs w:val="28"/>
        </w:rPr>
        <w:t>关于</w:t>
      </w:r>
      <w:r w:rsidR="00172BD3" w:rsidRPr="000046C5">
        <w:rPr>
          <w:rFonts w:ascii="宋体" w:eastAsia="宋体" w:hAnsi="宋体" w:cs="Times New Roman"/>
          <w:b/>
          <w:sz w:val="28"/>
          <w:szCs w:val="28"/>
        </w:rPr>
        <w:t>华商新兴活力灵活配置混合型证券</w:t>
      </w:r>
    </w:p>
    <w:p w:rsidR="00602B5A" w:rsidRPr="00746FA3" w:rsidRDefault="00172BD3" w:rsidP="00746FA3">
      <w:pPr>
        <w:spacing w:line="360" w:lineRule="auto"/>
        <w:jc w:val="center"/>
        <w:rPr>
          <w:rFonts w:ascii="宋体" w:eastAsia="宋体" w:hAnsi="宋体" w:cs="Times New Roman"/>
          <w:b/>
          <w:sz w:val="28"/>
          <w:szCs w:val="28"/>
        </w:rPr>
      </w:pPr>
      <w:r w:rsidRPr="000046C5">
        <w:rPr>
          <w:rFonts w:ascii="宋体" w:eastAsia="宋体" w:hAnsi="宋体" w:cs="Times New Roman"/>
          <w:b/>
          <w:sz w:val="28"/>
          <w:szCs w:val="28"/>
        </w:rPr>
        <w:t>投资基金</w:t>
      </w:r>
      <w:r w:rsidR="00DB22C7" w:rsidRPr="000046C5">
        <w:rPr>
          <w:rFonts w:ascii="宋体" w:eastAsia="宋体" w:hAnsi="宋体" w:cs="Times New Roman"/>
          <w:b/>
          <w:sz w:val="28"/>
          <w:szCs w:val="28"/>
        </w:rPr>
        <w:t>新增</w:t>
      </w:r>
      <w:r w:rsidR="008B6EE2" w:rsidRPr="000046C5">
        <w:rPr>
          <w:rFonts w:ascii="宋体" w:eastAsia="宋体" w:hAnsi="宋体" w:cs="Times New Roman"/>
          <w:b/>
          <w:sz w:val="28"/>
          <w:szCs w:val="28"/>
        </w:rPr>
        <w:t>珠海盈米财富管理有限公司</w:t>
      </w:r>
      <w:r w:rsidR="001217FF" w:rsidRPr="000046C5">
        <w:rPr>
          <w:rFonts w:ascii="宋体" w:eastAsia="宋体" w:hAnsi="宋体" w:cs="Times New Roman"/>
          <w:b/>
          <w:sz w:val="28"/>
          <w:szCs w:val="28"/>
        </w:rPr>
        <w:t>为代销</w:t>
      </w:r>
      <w:r w:rsidR="00DB22C7" w:rsidRPr="000046C5">
        <w:rPr>
          <w:rFonts w:ascii="宋体" w:eastAsia="宋体" w:hAnsi="宋体" w:cs="Times New Roman"/>
          <w:b/>
          <w:sz w:val="28"/>
          <w:szCs w:val="28"/>
        </w:rPr>
        <w:t>机构并开通</w:t>
      </w:r>
      <w:r w:rsidR="008C207C" w:rsidRPr="000046C5">
        <w:rPr>
          <w:rFonts w:ascii="宋体" w:eastAsia="宋体" w:hAnsi="宋体" w:cs="Times New Roman"/>
          <w:b/>
          <w:sz w:val="28"/>
          <w:szCs w:val="28"/>
        </w:rPr>
        <w:t>基金转换</w:t>
      </w:r>
      <w:r w:rsidR="00062B3F" w:rsidRPr="000046C5">
        <w:rPr>
          <w:rFonts w:ascii="宋体" w:eastAsia="宋体" w:hAnsi="宋体" w:cs="Times New Roman" w:hint="eastAsia"/>
          <w:b/>
          <w:sz w:val="28"/>
          <w:szCs w:val="28"/>
        </w:rPr>
        <w:t>、</w:t>
      </w:r>
      <w:r w:rsidR="00062B3F" w:rsidRPr="000046C5">
        <w:rPr>
          <w:rFonts w:ascii="宋体" w:eastAsia="宋体" w:hAnsi="宋体" w:cs="Times New Roman"/>
          <w:b/>
          <w:sz w:val="28"/>
          <w:szCs w:val="28"/>
        </w:rPr>
        <w:t>定期定额投资</w:t>
      </w:r>
      <w:r w:rsidR="000E40B7" w:rsidRPr="000046C5">
        <w:rPr>
          <w:rFonts w:ascii="宋体" w:eastAsia="宋体" w:hAnsi="宋体" w:cs="Times New Roman"/>
          <w:b/>
          <w:sz w:val="28"/>
          <w:szCs w:val="28"/>
        </w:rPr>
        <w:t>业务</w:t>
      </w:r>
      <w:r w:rsidR="009E0116" w:rsidRPr="000046C5">
        <w:rPr>
          <w:rFonts w:ascii="宋体" w:eastAsia="宋体" w:hAnsi="宋体" w:cs="Times New Roman"/>
          <w:b/>
          <w:sz w:val="28"/>
          <w:szCs w:val="28"/>
        </w:rPr>
        <w:t>的公告</w:t>
      </w:r>
    </w:p>
    <w:p w:rsidR="00624649" w:rsidRPr="0010160E" w:rsidRDefault="00624649" w:rsidP="00602B5A">
      <w:pPr>
        <w:spacing w:line="360" w:lineRule="auto"/>
        <w:jc w:val="center"/>
        <w:rPr>
          <w:rFonts w:ascii="Times New Roman" w:eastAsia="宋体" w:hAnsi="Times New Roman" w:cs="Times New Roman"/>
          <w:b/>
          <w:sz w:val="32"/>
          <w:szCs w:val="24"/>
        </w:rPr>
      </w:pPr>
    </w:p>
    <w:p w:rsidR="006A74E4" w:rsidRPr="009A3022" w:rsidRDefault="009E0116" w:rsidP="008B6EE2">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为满足广大投资者的</w:t>
      </w:r>
      <w:r w:rsidR="004600B9">
        <w:rPr>
          <w:rFonts w:ascii="Times New Roman" w:hAnsiTheme="minorEastAsia" w:cs="Times New Roman"/>
          <w:color w:val="000000"/>
          <w:sz w:val="24"/>
          <w:szCs w:val="24"/>
        </w:rPr>
        <w:t>理财</w:t>
      </w:r>
      <w:r w:rsidRPr="0010160E">
        <w:rPr>
          <w:rFonts w:ascii="Times New Roman" w:hAnsiTheme="minorEastAsia" w:cs="Times New Roman"/>
          <w:color w:val="000000"/>
          <w:sz w:val="24"/>
          <w:szCs w:val="24"/>
        </w:rPr>
        <w:t>需求，</w:t>
      </w:r>
      <w:r w:rsidR="00ED2A67" w:rsidRPr="0010160E">
        <w:rPr>
          <w:rFonts w:ascii="Times New Roman" w:hAnsiTheme="minorEastAsia" w:cs="Times New Roman"/>
          <w:color w:val="000000"/>
          <w:sz w:val="24"/>
          <w:szCs w:val="24"/>
        </w:rPr>
        <w:t>华商基金管理有限公司（以下简称</w:t>
      </w:r>
      <w:r w:rsidR="00ED2A67" w:rsidRPr="0010160E">
        <w:rPr>
          <w:rFonts w:ascii="Times New Roman" w:hAnsi="Times New Roman" w:cs="Times New Roman"/>
          <w:color w:val="000000"/>
          <w:sz w:val="24"/>
          <w:szCs w:val="24"/>
        </w:rPr>
        <w:t>“</w:t>
      </w:r>
      <w:r w:rsidR="00ED2A67" w:rsidRPr="0010160E">
        <w:rPr>
          <w:rFonts w:ascii="Times New Roman" w:hAnsiTheme="minorEastAsia" w:cs="Times New Roman"/>
          <w:color w:val="000000"/>
          <w:sz w:val="24"/>
          <w:szCs w:val="24"/>
        </w:rPr>
        <w:t>本公司</w:t>
      </w:r>
      <w:r w:rsidR="00ED2A67" w:rsidRPr="0010160E">
        <w:rPr>
          <w:rFonts w:ascii="Times New Roman" w:hAnsi="Times New Roman" w:cs="Times New Roman"/>
          <w:color w:val="000000"/>
          <w:sz w:val="24"/>
          <w:szCs w:val="24"/>
        </w:rPr>
        <w:t>”</w:t>
      </w:r>
      <w:r w:rsidR="00A46B34">
        <w:rPr>
          <w:rFonts w:ascii="Times New Roman" w:hAnsi="Times New Roman" w:cs="Times New Roman" w:hint="eastAsia"/>
          <w:color w:val="000000"/>
          <w:sz w:val="24"/>
          <w:szCs w:val="24"/>
        </w:rPr>
        <w:t>）</w:t>
      </w:r>
      <w:r w:rsidR="00D07C2E" w:rsidRPr="0010160E">
        <w:rPr>
          <w:rFonts w:ascii="Times New Roman" w:hAnsiTheme="minorEastAsia" w:cs="Times New Roman"/>
          <w:color w:val="000000"/>
          <w:sz w:val="24"/>
          <w:szCs w:val="24"/>
        </w:rPr>
        <w:t>与</w:t>
      </w:r>
      <w:r w:rsidR="008B6EE2">
        <w:rPr>
          <w:rFonts w:ascii="Times New Roman" w:hAnsiTheme="minorEastAsia" w:cs="Times New Roman"/>
          <w:color w:val="000000"/>
          <w:sz w:val="24"/>
          <w:szCs w:val="24"/>
        </w:rPr>
        <w:t>珠海盈米财富管理有限公司</w:t>
      </w:r>
      <w:r w:rsidR="00ED2A67" w:rsidRPr="0010160E">
        <w:rPr>
          <w:rFonts w:ascii="Times New Roman" w:hAnsiTheme="minorEastAsia" w:cs="Times New Roman"/>
          <w:color w:val="000000"/>
          <w:sz w:val="24"/>
          <w:szCs w:val="24"/>
        </w:rPr>
        <w:t>（以下简称</w:t>
      </w:r>
      <w:r w:rsidR="00ED2A67" w:rsidRPr="0010160E">
        <w:rPr>
          <w:rFonts w:ascii="Times New Roman" w:hAnsi="Times New Roman" w:cs="Times New Roman"/>
          <w:color w:val="000000"/>
          <w:sz w:val="24"/>
          <w:szCs w:val="24"/>
        </w:rPr>
        <w:t>“</w:t>
      </w:r>
      <w:r w:rsidR="008B6EE2">
        <w:rPr>
          <w:rFonts w:ascii="Times New Roman" w:hAnsiTheme="minorEastAsia" w:cs="Times New Roman"/>
          <w:color w:val="000000"/>
          <w:sz w:val="24"/>
          <w:szCs w:val="24"/>
        </w:rPr>
        <w:t>盈米财富</w:t>
      </w:r>
      <w:r w:rsidR="00ED2A67" w:rsidRPr="0010160E">
        <w:rPr>
          <w:rFonts w:ascii="Times New Roman" w:hAnsi="Times New Roman" w:cs="Times New Roman"/>
          <w:color w:val="000000"/>
          <w:sz w:val="24"/>
          <w:szCs w:val="24"/>
        </w:rPr>
        <w:t>”</w:t>
      </w:r>
      <w:r w:rsidR="00ED2A67" w:rsidRPr="0010160E">
        <w:rPr>
          <w:rFonts w:ascii="Times New Roman" w:hAnsiTheme="minorEastAsia" w:cs="Times New Roman"/>
          <w:color w:val="000000"/>
          <w:sz w:val="24"/>
          <w:szCs w:val="24"/>
        </w:rPr>
        <w:t>）</w:t>
      </w:r>
      <w:r w:rsidRPr="0010160E">
        <w:rPr>
          <w:rFonts w:ascii="Times New Roman" w:hAnsiTheme="minorEastAsia" w:cs="Times New Roman"/>
          <w:color w:val="000000"/>
          <w:sz w:val="24"/>
          <w:szCs w:val="24"/>
        </w:rPr>
        <w:t>协商一致</w:t>
      </w:r>
      <w:r w:rsidR="00ED2A67" w:rsidRPr="0010160E">
        <w:rPr>
          <w:rFonts w:ascii="Times New Roman" w:hAnsiTheme="minorEastAsia" w:cs="Times New Roman"/>
          <w:color w:val="000000"/>
          <w:sz w:val="24"/>
          <w:szCs w:val="24"/>
        </w:rPr>
        <w:t>，</w:t>
      </w:r>
      <w:r w:rsidRPr="0010160E">
        <w:rPr>
          <w:rFonts w:ascii="Times New Roman" w:hAnsiTheme="minorEastAsia" w:cs="Times New Roman"/>
          <w:color w:val="000000"/>
          <w:sz w:val="24"/>
          <w:szCs w:val="24"/>
        </w:rPr>
        <w:t>决定</w:t>
      </w:r>
      <w:r w:rsidR="00ED2A67" w:rsidRPr="0010160E">
        <w:rPr>
          <w:rFonts w:ascii="Times New Roman" w:hAnsiTheme="minorEastAsia" w:cs="Times New Roman"/>
          <w:color w:val="000000"/>
          <w:sz w:val="24"/>
          <w:szCs w:val="24"/>
        </w:rPr>
        <w:t>自</w:t>
      </w:r>
      <w:r w:rsidR="00D07C2E" w:rsidRPr="0010160E">
        <w:rPr>
          <w:rFonts w:ascii="Times New Roman" w:hAnsi="Times New Roman" w:cs="Times New Roman"/>
          <w:color w:val="000000"/>
          <w:sz w:val="24"/>
          <w:szCs w:val="24"/>
        </w:rPr>
        <w:t>201</w:t>
      </w:r>
      <w:r w:rsidR="00211B0C">
        <w:rPr>
          <w:rFonts w:ascii="Times New Roman" w:hAnsi="Times New Roman" w:cs="Times New Roman" w:hint="eastAsia"/>
          <w:color w:val="000000"/>
          <w:sz w:val="24"/>
          <w:szCs w:val="24"/>
        </w:rPr>
        <w:t>6</w:t>
      </w:r>
      <w:r w:rsidR="00ED2A67" w:rsidRPr="0010160E">
        <w:rPr>
          <w:rFonts w:ascii="Times New Roman" w:hAnsiTheme="minorEastAsia" w:cs="Times New Roman"/>
          <w:color w:val="000000"/>
          <w:sz w:val="24"/>
          <w:szCs w:val="24"/>
        </w:rPr>
        <w:t>年</w:t>
      </w:r>
      <w:r w:rsidR="008B6EE2">
        <w:rPr>
          <w:rFonts w:ascii="Times New Roman" w:hAnsi="Times New Roman" w:cs="Times New Roman" w:hint="eastAsia"/>
          <w:color w:val="000000"/>
          <w:sz w:val="24"/>
          <w:szCs w:val="24"/>
        </w:rPr>
        <w:t>9</w:t>
      </w:r>
      <w:r w:rsidR="008B6EE2">
        <w:rPr>
          <w:rFonts w:ascii="Times New Roman" w:hAnsi="Times New Roman" w:cs="Times New Roman" w:hint="eastAsia"/>
          <w:color w:val="000000"/>
          <w:sz w:val="24"/>
          <w:szCs w:val="24"/>
        </w:rPr>
        <w:t>月</w:t>
      </w:r>
      <w:r w:rsidR="008B6EE2">
        <w:rPr>
          <w:rFonts w:ascii="Times New Roman" w:hAnsi="Times New Roman" w:cs="Times New Roman" w:hint="eastAsia"/>
          <w:color w:val="000000"/>
          <w:sz w:val="24"/>
          <w:szCs w:val="24"/>
        </w:rPr>
        <w:t>23</w:t>
      </w:r>
      <w:r w:rsidR="008B6EE2">
        <w:rPr>
          <w:rFonts w:ascii="Times New Roman" w:hAnsi="Times New Roman" w:cs="Times New Roman" w:hint="eastAsia"/>
          <w:color w:val="000000"/>
          <w:sz w:val="24"/>
          <w:szCs w:val="24"/>
        </w:rPr>
        <w:t>日</w:t>
      </w:r>
      <w:r w:rsidR="00D07C2E" w:rsidRPr="0010160E">
        <w:rPr>
          <w:rFonts w:ascii="Times New Roman" w:hAnsiTheme="minorEastAsia" w:cs="Times New Roman"/>
          <w:color w:val="000000"/>
          <w:sz w:val="24"/>
          <w:szCs w:val="24"/>
        </w:rPr>
        <w:t>起</w:t>
      </w:r>
      <w:r w:rsidRPr="0010160E">
        <w:rPr>
          <w:rFonts w:ascii="Times New Roman" w:hAnsiTheme="minorEastAsia" w:cs="Times New Roman"/>
          <w:color w:val="000000"/>
          <w:sz w:val="24"/>
          <w:szCs w:val="24"/>
        </w:rPr>
        <w:t>新增</w:t>
      </w:r>
      <w:r w:rsidR="008B6EE2">
        <w:rPr>
          <w:rFonts w:ascii="Times New Roman" w:hAnsiTheme="minorEastAsia" w:cs="Times New Roman"/>
          <w:color w:val="000000"/>
          <w:sz w:val="24"/>
          <w:szCs w:val="24"/>
        </w:rPr>
        <w:t>盈米财富</w:t>
      </w:r>
      <w:r w:rsidR="00ED2A67" w:rsidRPr="0010160E">
        <w:rPr>
          <w:rFonts w:ascii="Times New Roman" w:hAnsiTheme="minorEastAsia" w:cs="Times New Roman"/>
          <w:color w:val="000000"/>
          <w:sz w:val="24"/>
          <w:szCs w:val="24"/>
        </w:rPr>
        <w:t>代理</w:t>
      </w:r>
      <w:r w:rsidR="00A10EDC">
        <w:rPr>
          <w:rFonts w:ascii="Times New Roman" w:eastAsia="宋体" w:hAnsi="Times New Roman" w:cs="Times New Roman"/>
          <w:sz w:val="24"/>
          <w:szCs w:val="24"/>
        </w:rPr>
        <w:t>华商新兴活力灵活配置混合型</w:t>
      </w:r>
      <w:r w:rsidR="00A10EDC" w:rsidRPr="00755467">
        <w:rPr>
          <w:rFonts w:ascii="Times New Roman" w:eastAsia="宋体" w:hAnsi="Times New Roman" w:cs="Times New Roman"/>
          <w:sz w:val="24"/>
          <w:szCs w:val="24"/>
        </w:rPr>
        <w:t>证券投资基金</w:t>
      </w:r>
      <w:r w:rsidR="00ED2A67" w:rsidRPr="0010160E">
        <w:rPr>
          <w:rFonts w:ascii="Times New Roman" w:hAnsiTheme="minorEastAsia" w:cs="Times New Roman"/>
          <w:color w:val="000000"/>
          <w:sz w:val="24"/>
          <w:szCs w:val="24"/>
        </w:rPr>
        <w:t>的销售业务</w:t>
      </w:r>
      <w:r w:rsidR="0088625A" w:rsidRPr="0010160E">
        <w:rPr>
          <w:rFonts w:ascii="Times New Roman" w:hAnsiTheme="minorEastAsia" w:cs="Times New Roman"/>
          <w:color w:val="000000"/>
          <w:sz w:val="24"/>
          <w:szCs w:val="24"/>
        </w:rPr>
        <w:t>，</w:t>
      </w:r>
      <w:r w:rsidR="00A46B34">
        <w:rPr>
          <w:rFonts w:ascii="Times New Roman" w:hAnsiTheme="minorEastAsia" w:cs="Times New Roman" w:hint="eastAsia"/>
          <w:color w:val="000000"/>
          <w:sz w:val="24"/>
          <w:szCs w:val="24"/>
        </w:rPr>
        <w:t>投资者</w:t>
      </w:r>
      <w:r w:rsidR="001217FF" w:rsidRPr="0010160E">
        <w:rPr>
          <w:rFonts w:ascii="Times New Roman" w:hAnsiTheme="minorEastAsia" w:cs="Times New Roman"/>
          <w:color w:val="000000"/>
          <w:sz w:val="24"/>
          <w:szCs w:val="24"/>
        </w:rPr>
        <w:t>可在</w:t>
      </w:r>
      <w:r w:rsidR="008B6EE2">
        <w:rPr>
          <w:rFonts w:ascii="Times New Roman" w:hAnsiTheme="minorEastAsia" w:cs="Times New Roman"/>
          <w:color w:val="000000"/>
          <w:sz w:val="24"/>
          <w:szCs w:val="24"/>
        </w:rPr>
        <w:t>盈米财富</w:t>
      </w:r>
      <w:r w:rsidR="00FA10BB" w:rsidRPr="0010160E">
        <w:rPr>
          <w:rFonts w:ascii="Times New Roman" w:hAnsiTheme="minorEastAsia" w:cs="Times New Roman"/>
          <w:color w:val="000000"/>
          <w:sz w:val="24"/>
          <w:szCs w:val="24"/>
        </w:rPr>
        <w:t>办理</w:t>
      </w:r>
      <w:r w:rsidR="000E40B7" w:rsidRPr="0010160E">
        <w:rPr>
          <w:rFonts w:ascii="Times New Roman" w:hAnsiTheme="minorEastAsia" w:cs="Times New Roman"/>
          <w:color w:val="000000"/>
          <w:sz w:val="24"/>
          <w:szCs w:val="24"/>
        </w:rPr>
        <w:t>下述基金的开户</w:t>
      </w:r>
      <w:r w:rsidR="007A7845" w:rsidRPr="0010160E">
        <w:rPr>
          <w:rFonts w:ascii="Times New Roman" w:hAnsiTheme="minorEastAsia" w:cs="Times New Roman"/>
          <w:color w:val="000000"/>
          <w:sz w:val="24"/>
          <w:szCs w:val="24"/>
        </w:rPr>
        <w:t>、</w:t>
      </w:r>
      <w:r w:rsidR="000E40B7" w:rsidRPr="0010160E">
        <w:rPr>
          <w:rFonts w:ascii="Times New Roman" w:hAnsiTheme="minorEastAsia" w:cs="Times New Roman"/>
          <w:color w:val="000000"/>
          <w:sz w:val="24"/>
          <w:szCs w:val="24"/>
        </w:rPr>
        <w:t>申购、赎回、</w:t>
      </w:r>
      <w:r w:rsidR="008C207C">
        <w:rPr>
          <w:rFonts w:ascii="Times New Roman" w:hAnsiTheme="minorEastAsia" w:cs="Times New Roman"/>
          <w:color w:val="000000"/>
          <w:sz w:val="24"/>
          <w:szCs w:val="24"/>
        </w:rPr>
        <w:t>基金转换</w:t>
      </w:r>
      <w:r w:rsidR="00062B3F">
        <w:rPr>
          <w:rFonts w:ascii="Times New Roman" w:hAnsiTheme="minorEastAsia" w:cs="Times New Roman" w:hint="eastAsia"/>
          <w:color w:val="000000"/>
          <w:sz w:val="24"/>
          <w:szCs w:val="24"/>
        </w:rPr>
        <w:t>、</w:t>
      </w:r>
      <w:r w:rsidR="00062B3F" w:rsidRPr="00062B3F">
        <w:rPr>
          <w:rFonts w:ascii="Times New Roman" w:hAnsiTheme="minorEastAsia" w:cs="Times New Roman"/>
          <w:color w:val="000000"/>
          <w:sz w:val="24"/>
          <w:szCs w:val="24"/>
        </w:rPr>
        <w:t>定期定额投资</w:t>
      </w:r>
      <w:r w:rsidR="006E01A3">
        <w:rPr>
          <w:rFonts w:ascii="Times New Roman" w:hAnsiTheme="minorEastAsia" w:cs="Times New Roman"/>
          <w:color w:val="000000"/>
          <w:sz w:val="24"/>
          <w:szCs w:val="24"/>
        </w:rPr>
        <w:t>等</w:t>
      </w:r>
      <w:r w:rsidR="00FA10BB" w:rsidRPr="0010160E">
        <w:rPr>
          <w:rFonts w:ascii="Times New Roman" w:hAnsiTheme="minorEastAsia" w:cs="Times New Roman"/>
          <w:color w:val="000000"/>
          <w:sz w:val="24"/>
          <w:szCs w:val="24"/>
        </w:rPr>
        <w:t>业务，</w:t>
      </w:r>
      <w:r w:rsidR="00AF66A0" w:rsidRPr="0010160E">
        <w:rPr>
          <w:rFonts w:ascii="Times New Roman" w:hAnsiTheme="minorEastAsia" w:cs="Times New Roman"/>
          <w:color w:val="000000"/>
          <w:sz w:val="24"/>
          <w:szCs w:val="24"/>
        </w:rPr>
        <w:t>相关事项</w:t>
      </w:r>
      <w:r w:rsidRPr="0010160E">
        <w:rPr>
          <w:rFonts w:ascii="Times New Roman" w:hAnsiTheme="minorEastAsia" w:cs="Times New Roman"/>
          <w:color w:val="000000"/>
          <w:sz w:val="24"/>
          <w:szCs w:val="24"/>
        </w:rPr>
        <w:t>具体规则如下</w:t>
      </w:r>
      <w:r w:rsidR="00AF66A0" w:rsidRPr="0010160E">
        <w:rPr>
          <w:rFonts w:ascii="Times New Roman" w:hAnsiTheme="minorEastAsia" w:cs="Times New Roman"/>
          <w:color w:val="000000"/>
          <w:sz w:val="24"/>
          <w:szCs w:val="24"/>
        </w:rPr>
        <w:t>：</w:t>
      </w:r>
    </w:p>
    <w:p w:rsidR="008B6EE2" w:rsidRDefault="008B6EE2" w:rsidP="008B6EE2">
      <w:pPr>
        <w:adjustRightInd w:val="0"/>
        <w:snapToGrid w:val="0"/>
        <w:spacing w:line="360" w:lineRule="auto"/>
        <w:rPr>
          <w:rFonts w:ascii="Times New Roman" w:hAnsiTheme="minorEastAsia" w:cs="Times New Roman"/>
          <w:b/>
          <w:color w:val="000000"/>
          <w:sz w:val="24"/>
          <w:szCs w:val="24"/>
        </w:rPr>
      </w:pPr>
    </w:p>
    <w:p w:rsidR="00ED2A67" w:rsidRPr="0010160E" w:rsidRDefault="00ED2A67" w:rsidP="008B6EE2">
      <w:pPr>
        <w:adjustRightInd w:val="0"/>
        <w:snapToGrid w:val="0"/>
        <w:spacing w:line="360" w:lineRule="auto"/>
        <w:ind w:firstLineChars="100" w:firstLine="241"/>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一、新增代销</w:t>
      </w:r>
      <w:r w:rsidR="0088625A" w:rsidRPr="0010160E">
        <w:rPr>
          <w:rFonts w:ascii="Times New Roman" w:hAnsiTheme="minorEastAsia" w:cs="Times New Roman"/>
          <w:b/>
          <w:color w:val="000000"/>
          <w:sz w:val="24"/>
          <w:szCs w:val="24"/>
        </w:rPr>
        <w:t>、</w:t>
      </w:r>
      <w:r w:rsidR="008C207C">
        <w:rPr>
          <w:rFonts w:ascii="Times New Roman" w:hAnsiTheme="minorEastAsia" w:cs="Times New Roman"/>
          <w:b/>
          <w:color w:val="000000"/>
          <w:sz w:val="24"/>
          <w:szCs w:val="24"/>
        </w:rPr>
        <w:t>开通转换</w:t>
      </w:r>
      <w:r w:rsidR="00CF2B05">
        <w:rPr>
          <w:rFonts w:ascii="Times New Roman" w:hAnsiTheme="minorEastAsia" w:cs="Times New Roman" w:hint="eastAsia"/>
          <w:b/>
          <w:color w:val="000000"/>
          <w:sz w:val="24"/>
          <w:szCs w:val="24"/>
        </w:rPr>
        <w:t>、</w:t>
      </w:r>
      <w:r w:rsidR="00CF2B05">
        <w:rPr>
          <w:rFonts w:ascii="Times New Roman" w:hAnsiTheme="minorEastAsia" w:cs="Times New Roman"/>
          <w:b/>
          <w:color w:val="000000"/>
          <w:sz w:val="24"/>
          <w:szCs w:val="24"/>
        </w:rPr>
        <w:t>定期定额投资</w:t>
      </w:r>
      <w:r w:rsidRPr="0010160E">
        <w:rPr>
          <w:rFonts w:ascii="Times New Roman" w:hAnsiTheme="minorEastAsia" w:cs="Times New Roman"/>
          <w:b/>
          <w:color w:val="000000"/>
          <w:sz w:val="24"/>
          <w:szCs w:val="24"/>
        </w:rPr>
        <w:t>适用基金范围</w:t>
      </w:r>
    </w:p>
    <w:tbl>
      <w:tblPr>
        <w:tblW w:w="8960" w:type="dxa"/>
        <w:tblInd w:w="93" w:type="dxa"/>
        <w:tblLook w:val="04A0"/>
      </w:tblPr>
      <w:tblGrid>
        <w:gridCol w:w="1280"/>
        <w:gridCol w:w="2560"/>
        <w:gridCol w:w="5120"/>
      </w:tblGrid>
      <w:tr w:rsidR="007C0EAD" w:rsidRPr="007C0EAD" w:rsidTr="007C0EAD">
        <w:trPr>
          <w:trHeight w:val="39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基金名称</w:t>
            </w:r>
          </w:p>
        </w:tc>
      </w:tr>
      <w:tr w:rsidR="002C0093" w:rsidRPr="007C0EAD" w:rsidTr="007C0EAD">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C0093" w:rsidRPr="007C0EAD" w:rsidRDefault="00172BD3"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001933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华商新兴活力灵活配置混合型证券投资基金</w:t>
            </w:r>
          </w:p>
        </w:tc>
      </w:tr>
    </w:tbl>
    <w:p w:rsidR="00956BAE" w:rsidRPr="00DF1EFC" w:rsidRDefault="00956BAE" w:rsidP="00590A84">
      <w:pPr>
        <w:adjustRightInd w:val="0"/>
        <w:snapToGrid w:val="0"/>
        <w:spacing w:line="360" w:lineRule="auto"/>
        <w:rPr>
          <w:rFonts w:ascii="Times New Roman" w:hAnsiTheme="minorEastAsia" w:cs="Times New Roman"/>
          <w:color w:val="000000"/>
          <w:sz w:val="24"/>
          <w:szCs w:val="24"/>
        </w:rPr>
      </w:pPr>
      <w:bookmarkStart w:id="0" w:name="_GoBack"/>
      <w:bookmarkEnd w:id="0"/>
    </w:p>
    <w:p w:rsidR="008C207C" w:rsidRPr="0010160E" w:rsidRDefault="008C207C" w:rsidP="008C207C">
      <w:pPr>
        <w:adjustRightInd w:val="0"/>
        <w:snapToGrid w:val="0"/>
        <w:spacing w:line="360" w:lineRule="auto"/>
        <w:ind w:firstLineChars="200" w:firstLine="482"/>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二、基金转换业务</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1</w:t>
      </w:r>
      <w:r w:rsidRPr="0010160E">
        <w:rPr>
          <w:rFonts w:ascii="Times New Roman" w:hAnsiTheme="minorEastAsia" w:cs="Times New Roman"/>
          <w:color w:val="000000"/>
          <w:sz w:val="24"/>
          <w:szCs w:val="24"/>
        </w:rPr>
        <w:t>、投资者在办理上述基金的</w:t>
      </w:r>
      <w:r>
        <w:rPr>
          <w:rFonts w:ascii="Times New Roman" w:hAnsiTheme="minorEastAsia" w:cs="Times New Roman" w:hint="eastAsia"/>
          <w:color w:val="000000"/>
          <w:sz w:val="24"/>
          <w:szCs w:val="24"/>
        </w:rPr>
        <w:t>基金</w:t>
      </w:r>
      <w:r w:rsidRPr="0010160E">
        <w:rPr>
          <w:rFonts w:ascii="Times New Roman" w:hAnsiTheme="minorEastAsia" w:cs="Times New Roman"/>
          <w:color w:val="000000"/>
          <w:sz w:val="24"/>
          <w:szCs w:val="24"/>
        </w:rPr>
        <w:t>转换业务时，应留意</w:t>
      </w:r>
      <w:r w:rsidR="008B6EE2">
        <w:rPr>
          <w:rFonts w:ascii="Times New Roman" w:hAnsiTheme="minorEastAsia" w:cs="Times New Roman"/>
          <w:color w:val="000000"/>
          <w:sz w:val="24"/>
          <w:szCs w:val="24"/>
        </w:rPr>
        <w:t>盈米财富</w:t>
      </w:r>
      <w:r w:rsidRPr="0010160E">
        <w:rPr>
          <w:rFonts w:ascii="Times New Roman" w:hAnsiTheme="minorEastAsia" w:cs="Times New Roman"/>
          <w:color w:val="000000"/>
          <w:sz w:val="24"/>
          <w:szCs w:val="24"/>
        </w:rPr>
        <w:t>相关公告，确认转出基金处于可赎回状态，转入基金处于可申购状态。</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2</w:t>
      </w:r>
      <w:r w:rsidRPr="0010160E">
        <w:rPr>
          <w:rFonts w:ascii="Times New Roman" w:hAnsiTheme="minorEastAsia" w:cs="Times New Roman"/>
          <w:color w:val="000000"/>
          <w:sz w:val="24"/>
          <w:szCs w:val="24"/>
        </w:rPr>
        <w:t>、基金转换业务的费用</w:t>
      </w:r>
      <w:r w:rsidRPr="0010160E">
        <w:rPr>
          <w:rFonts w:ascii="Times New Roman" w:hAnsi="Times New Roman" w:cs="Times New Roman"/>
          <w:color w:val="000000"/>
          <w:sz w:val="24"/>
          <w:szCs w:val="24"/>
        </w:rPr>
        <w:t xml:space="preserve"> </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基金转换费用由转出和转入基金的申购费补差和转出基金的赎回费两部分构成，具体收取情况视每次转换时两只基金的申购费率差异情况和转出基金的赎回费率而定。基金转换费用由基金</w:t>
      </w:r>
      <w:r>
        <w:rPr>
          <w:rFonts w:ascii="Times New Roman" w:hAnsiTheme="minorEastAsia" w:cs="Times New Roman" w:hint="eastAsia"/>
          <w:color w:val="000000"/>
          <w:sz w:val="24"/>
          <w:szCs w:val="24"/>
        </w:rPr>
        <w:t>份额</w:t>
      </w:r>
      <w:r w:rsidRPr="0010160E">
        <w:rPr>
          <w:rFonts w:ascii="Times New Roman" w:hAnsiTheme="minorEastAsia" w:cs="Times New Roman"/>
          <w:color w:val="000000"/>
          <w:sz w:val="24"/>
          <w:szCs w:val="24"/>
        </w:rPr>
        <w:t>持有人承担。</w:t>
      </w:r>
    </w:p>
    <w:p w:rsidR="008C207C" w:rsidRDefault="008C207C" w:rsidP="008C207C">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计算基金转换费用所涉及的申购费率和赎回费率均按基金合同、更新的招募说明书和公司最新公告中规定的费率执行。</w:t>
      </w:r>
    </w:p>
    <w:p w:rsidR="008C207C" w:rsidRPr="000E4C9C" w:rsidRDefault="008C207C" w:rsidP="008C207C">
      <w:pPr>
        <w:adjustRightInd w:val="0"/>
        <w:snapToGrid w:val="0"/>
        <w:spacing w:line="360" w:lineRule="auto"/>
        <w:ind w:firstLineChars="200" w:firstLine="480"/>
        <w:rPr>
          <w:rFonts w:ascii="Times New Roman" w:hAnsiTheme="minorEastAsia" w:cs="Times New Roman"/>
          <w:color w:val="000000"/>
          <w:sz w:val="24"/>
          <w:szCs w:val="24"/>
        </w:rPr>
      </w:pPr>
      <w:r w:rsidRPr="000E4C9C">
        <w:rPr>
          <w:rFonts w:ascii="Times New Roman" w:hAnsiTheme="minorEastAsia" w:cs="Times New Roman"/>
          <w:color w:val="000000"/>
          <w:sz w:val="24"/>
          <w:szCs w:val="24"/>
        </w:rPr>
        <w:t>3</w:t>
      </w:r>
      <w:r w:rsidRPr="000E4C9C">
        <w:rPr>
          <w:rFonts w:ascii="Times New Roman" w:hAnsiTheme="minorEastAsia" w:cs="Times New Roman" w:hint="eastAsia"/>
          <w:color w:val="000000"/>
          <w:sz w:val="24"/>
          <w:szCs w:val="24"/>
        </w:rPr>
        <w:t>、</w:t>
      </w:r>
      <w:r w:rsidRPr="000E4C9C">
        <w:rPr>
          <w:rFonts w:ascii="Times New Roman" w:hAnsiTheme="minorEastAsia" w:cs="Times New Roman"/>
          <w:color w:val="000000"/>
          <w:sz w:val="24"/>
          <w:szCs w:val="24"/>
        </w:rPr>
        <w:t>暂停基金转换的情形及处理</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出现下列情况之一时，基金管理人可以暂停接受基金份额持有人的基金转换申请：</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1</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不可抗力的原因导致基金无法正常运作。</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2</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证券交易场所在交易时间非正常停市，导致基金管理人无法计算当日基金资产净值。</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lastRenderedPageBreak/>
        <w:t>（</w:t>
      </w:r>
      <w:r>
        <w:rPr>
          <w:rFonts w:ascii="Times New Roman" w:hAnsiTheme="minorEastAsia" w:cs="Times New Roman" w:hint="eastAsia"/>
          <w:color w:val="000000"/>
          <w:sz w:val="24"/>
          <w:szCs w:val="24"/>
        </w:rPr>
        <w:t>3</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因市场剧烈波动或其它原因而出现连续巨额赎回，基金管理人认为有必要暂停接受该基金份额的转出申请。</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4</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基金管理人认为会有损于现有基金份额持有人利益的某笔转入或某笔转出。</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5</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发生基金合同规定的暂停基金资产估值情况。</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6</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基金资产规模过大，使基金管理人无法找到合适的投资品种，或可能对基金业绩产生负面影响，从而损害现有基金份额持有人的利益。</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7</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法律法规规定或经中国证监会认定的其他情形。</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基金暂停转换或暂停后重新开放转换时，基金管理人应立即向中国证监会备案并在至少一种中国证监会指定的信息披露媒体上公告。</w:t>
      </w:r>
    </w:p>
    <w:p w:rsidR="001521DA" w:rsidRDefault="001521DA" w:rsidP="001521DA">
      <w:pPr>
        <w:pStyle w:val="a4"/>
        <w:spacing w:line="301" w:lineRule="atLeast"/>
        <w:ind w:firstLineChars="200" w:firstLine="482"/>
        <w:rPr>
          <w:rStyle w:val="a5"/>
        </w:rPr>
      </w:pPr>
      <w:r>
        <w:rPr>
          <w:rStyle w:val="a5"/>
          <w:rFonts w:hint="eastAsia"/>
        </w:rPr>
        <w:t>三</w:t>
      </w:r>
      <w:r w:rsidRPr="00802E22">
        <w:rPr>
          <w:rStyle w:val="a5"/>
          <w:rFonts w:hint="eastAsia"/>
        </w:rPr>
        <w:t>、定期定额申购业务</w:t>
      </w:r>
    </w:p>
    <w:p w:rsidR="001521DA" w:rsidRPr="009C526C" w:rsidRDefault="001521DA" w:rsidP="001521DA">
      <w:pPr>
        <w:adjustRightInd w:val="0"/>
        <w:snapToGrid w:val="0"/>
        <w:spacing w:line="360" w:lineRule="auto"/>
        <w:ind w:firstLineChars="200" w:firstLine="480"/>
        <w:rPr>
          <w:rFonts w:ascii="Times New Roman" w:hAnsiTheme="minorEastAsia" w:cs="Times New Roman"/>
          <w:color w:val="000000"/>
          <w:sz w:val="24"/>
          <w:szCs w:val="24"/>
        </w:rPr>
      </w:pPr>
      <w:r w:rsidRPr="009C526C">
        <w:rPr>
          <w:rFonts w:ascii="Times New Roman" w:hAnsiTheme="minorEastAsia" w:cs="Times New Roman"/>
          <w:color w:val="000000"/>
          <w:sz w:val="24"/>
          <w:szCs w:val="24"/>
        </w:rPr>
        <w:t>1</w:t>
      </w:r>
      <w:r w:rsidRPr="009C526C">
        <w:rPr>
          <w:rFonts w:ascii="Times New Roman" w:hAnsiTheme="minorEastAsia" w:cs="Times New Roman" w:hint="eastAsia"/>
          <w:color w:val="000000"/>
          <w:sz w:val="24"/>
          <w:szCs w:val="24"/>
        </w:rPr>
        <w:t>、定期定额申购业务是基金申购业务的一种方式。投资者可以通过</w:t>
      </w:r>
      <w:r w:rsidR="008B6EE2">
        <w:rPr>
          <w:rFonts w:ascii="Times New Roman" w:hAnsiTheme="minorEastAsia" w:cs="Times New Roman" w:hint="eastAsia"/>
          <w:color w:val="000000"/>
          <w:sz w:val="24"/>
          <w:szCs w:val="24"/>
        </w:rPr>
        <w:t>盈米财富</w:t>
      </w:r>
      <w:r w:rsidRPr="009C526C">
        <w:rPr>
          <w:rFonts w:ascii="Times New Roman" w:hAnsiTheme="minorEastAsia" w:cs="Times New Roman" w:hint="eastAsia"/>
          <w:color w:val="000000"/>
          <w:sz w:val="24"/>
          <w:szCs w:val="24"/>
        </w:rPr>
        <w:t>提交申请，约定每期扣款时间、扣款金额及扣款方式，由</w:t>
      </w:r>
      <w:r w:rsidR="008B6EE2">
        <w:rPr>
          <w:rFonts w:ascii="Times New Roman" w:hAnsiTheme="minorEastAsia" w:cs="Times New Roman" w:hint="eastAsia"/>
          <w:color w:val="000000"/>
          <w:sz w:val="24"/>
          <w:szCs w:val="24"/>
        </w:rPr>
        <w:t>盈米财富</w:t>
      </w:r>
      <w:r w:rsidRPr="009C526C">
        <w:rPr>
          <w:rFonts w:ascii="Times New Roman" w:hAnsiTheme="minorEastAsia" w:cs="Times New Roman" w:hint="eastAsia"/>
          <w:color w:val="000000"/>
          <w:sz w:val="24"/>
          <w:szCs w:val="24"/>
        </w:rPr>
        <w:t>于约定扣款日在投资者指定资金账户内自动完成扣款及基金申购业务。投资者在办理相关基金定期定额投资业务的同时，仍然可以进行日常申购、赎回业务。</w:t>
      </w:r>
    </w:p>
    <w:p w:rsidR="001521DA" w:rsidRPr="009C526C" w:rsidRDefault="001521DA" w:rsidP="001521DA">
      <w:pPr>
        <w:adjustRightInd w:val="0"/>
        <w:snapToGrid w:val="0"/>
        <w:spacing w:line="360" w:lineRule="auto"/>
        <w:ind w:firstLineChars="200" w:firstLine="480"/>
        <w:rPr>
          <w:rFonts w:ascii="Times New Roman" w:hAnsiTheme="minorEastAsia" w:cs="Times New Roman"/>
          <w:color w:val="000000"/>
          <w:sz w:val="24"/>
          <w:szCs w:val="24"/>
        </w:rPr>
      </w:pPr>
      <w:r w:rsidRPr="009C526C">
        <w:rPr>
          <w:rFonts w:ascii="Times New Roman" w:hAnsiTheme="minorEastAsia" w:cs="Times New Roman"/>
          <w:color w:val="000000"/>
          <w:sz w:val="24"/>
          <w:szCs w:val="24"/>
        </w:rPr>
        <w:t>2</w:t>
      </w:r>
      <w:r w:rsidRPr="009C526C">
        <w:rPr>
          <w:rFonts w:ascii="Times New Roman" w:hAnsiTheme="minorEastAsia" w:cs="Times New Roman" w:hint="eastAsia"/>
          <w:color w:val="000000"/>
          <w:sz w:val="24"/>
          <w:szCs w:val="24"/>
        </w:rPr>
        <w:t>、投资者办理本公司旗下基金的定期定额申购业务，相关流程和业务规则请遵循</w:t>
      </w:r>
      <w:r w:rsidR="008B6EE2">
        <w:rPr>
          <w:rFonts w:ascii="Times New Roman" w:hAnsiTheme="minorEastAsia" w:cs="Times New Roman" w:hint="eastAsia"/>
          <w:color w:val="000000"/>
          <w:sz w:val="24"/>
          <w:szCs w:val="24"/>
        </w:rPr>
        <w:t>盈米财富</w:t>
      </w:r>
      <w:r w:rsidRPr="009C526C">
        <w:rPr>
          <w:rFonts w:ascii="Times New Roman" w:hAnsiTheme="minorEastAsia" w:cs="Times New Roman" w:hint="eastAsia"/>
          <w:color w:val="000000"/>
          <w:sz w:val="24"/>
          <w:szCs w:val="24"/>
        </w:rPr>
        <w:t>的有关规定。</w:t>
      </w:r>
    </w:p>
    <w:p w:rsidR="008C207C" w:rsidRPr="001521DA" w:rsidRDefault="008C207C" w:rsidP="00590A84">
      <w:pPr>
        <w:adjustRightInd w:val="0"/>
        <w:snapToGrid w:val="0"/>
        <w:spacing w:line="360" w:lineRule="auto"/>
        <w:rPr>
          <w:rFonts w:ascii="Times New Roman" w:hAnsiTheme="minorEastAsia" w:cs="Times New Roman"/>
          <w:color w:val="000000"/>
          <w:sz w:val="24"/>
          <w:szCs w:val="24"/>
        </w:rPr>
      </w:pPr>
    </w:p>
    <w:p w:rsidR="00ED2A67" w:rsidRPr="0010160E" w:rsidRDefault="001521DA" w:rsidP="008D5191">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四</w:t>
      </w:r>
      <w:r w:rsidR="00ED2A67" w:rsidRPr="0010160E">
        <w:rPr>
          <w:rFonts w:ascii="Times New Roman" w:hAnsiTheme="minorEastAsia" w:cs="Times New Roman"/>
          <w:b/>
          <w:color w:val="000000"/>
          <w:sz w:val="24"/>
          <w:szCs w:val="24"/>
        </w:rPr>
        <w:t>、投资者可通过以下途径咨询有关情况</w:t>
      </w:r>
    </w:p>
    <w:p w:rsidR="00907F35" w:rsidRPr="006B2FD5" w:rsidRDefault="00907F35" w:rsidP="001217FF">
      <w:pPr>
        <w:adjustRightInd w:val="0"/>
        <w:snapToGrid w:val="0"/>
        <w:spacing w:line="360" w:lineRule="auto"/>
        <w:ind w:firstLineChars="200" w:firstLine="480"/>
        <w:rPr>
          <w:rFonts w:ascii="Times New Roman" w:hAnsiTheme="minorEastAsia" w:cs="Times New Roman"/>
          <w:color w:val="000000"/>
          <w:sz w:val="24"/>
          <w:szCs w:val="24"/>
        </w:rPr>
      </w:pPr>
      <w:r w:rsidRPr="006B2FD5">
        <w:rPr>
          <w:rFonts w:ascii="Times New Roman" w:hAnsiTheme="minorEastAsia" w:cs="Times New Roman"/>
          <w:color w:val="000000"/>
          <w:sz w:val="24"/>
          <w:szCs w:val="24"/>
        </w:rPr>
        <w:t>1</w:t>
      </w:r>
      <w:r w:rsidR="00F57933" w:rsidRPr="0010160E">
        <w:rPr>
          <w:rFonts w:ascii="Times New Roman" w:hAnsiTheme="minorEastAsia" w:cs="Times New Roman"/>
          <w:color w:val="000000"/>
          <w:sz w:val="24"/>
          <w:szCs w:val="24"/>
        </w:rPr>
        <w:t>、</w:t>
      </w:r>
      <w:r w:rsidR="008B6EE2">
        <w:rPr>
          <w:rFonts w:ascii="Times New Roman" w:hAnsiTheme="minorEastAsia" w:cs="Times New Roman"/>
          <w:color w:val="000000"/>
          <w:sz w:val="24"/>
          <w:szCs w:val="24"/>
        </w:rPr>
        <w:t>珠海盈米财富管理有限公司</w:t>
      </w:r>
    </w:p>
    <w:p w:rsidR="007139E4" w:rsidRDefault="001217FF" w:rsidP="00DC3FA1">
      <w:pPr>
        <w:adjustRightInd w:val="0"/>
        <w:snapToGrid w:val="0"/>
        <w:spacing w:line="360" w:lineRule="auto"/>
        <w:ind w:firstLineChars="200" w:firstLine="480"/>
      </w:pPr>
      <w:r w:rsidRPr="006B2FD5">
        <w:rPr>
          <w:rFonts w:ascii="Times New Roman" w:hAnsiTheme="minorEastAsia" w:cs="Times New Roman"/>
          <w:color w:val="000000"/>
          <w:sz w:val="24"/>
          <w:szCs w:val="24"/>
        </w:rPr>
        <w:t>客服电话：</w:t>
      </w:r>
      <w:r w:rsidR="00A10EDC">
        <w:rPr>
          <w:rFonts w:ascii="Times New Roman" w:hAnsi="Times New Roman" w:cs="Times New Roman" w:hint="eastAsia"/>
          <w:b/>
          <w:sz w:val="24"/>
          <w:szCs w:val="24"/>
        </w:rPr>
        <w:t>020</w:t>
      </w:r>
      <w:r w:rsidR="00FC6FF7">
        <w:rPr>
          <w:rFonts w:ascii="Times New Roman" w:hAnsi="Times New Roman" w:cs="Times New Roman"/>
          <w:b/>
          <w:sz w:val="24"/>
          <w:szCs w:val="24"/>
        </w:rPr>
        <w:t>-</w:t>
      </w:r>
      <w:r w:rsidR="00A10EDC">
        <w:rPr>
          <w:rFonts w:ascii="Times New Roman" w:hAnsi="Times New Roman" w:cs="Times New Roman"/>
          <w:b/>
          <w:sz w:val="24"/>
          <w:szCs w:val="24"/>
        </w:rPr>
        <w:t>89629066</w:t>
      </w:r>
    </w:p>
    <w:p w:rsidR="00B377FF" w:rsidRPr="00A10EDC" w:rsidRDefault="001F2442" w:rsidP="00A10EDC">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公司网址：</w:t>
      </w:r>
      <w:hyperlink w:history="1">
        <w:r w:rsidR="00A10EDC" w:rsidRPr="00A10EDC">
          <w:rPr>
            <w:rFonts w:ascii="Times New Roman" w:hAnsi="Times New Roman" w:cs="Times New Roman" w:hint="eastAsia"/>
            <w:b/>
            <w:sz w:val="24"/>
            <w:szCs w:val="24"/>
          </w:rPr>
          <w:t>www.</w:t>
        </w:r>
        <w:r w:rsidR="00A10EDC" w:rsidRPr="00A10EDC">
          <w:rPr>
            <w:rFonts w:ascii="Times New Roman" w:hAnsi="Times New Roman" w:cs="Times New Roman"/>
            <w:b/>
            <w:sz w:val="24"/>
            <w:szCs w:val="24"/>
          </w:rPr>
          <w:t>yingmi</w:t>
        </w:r>
        <w:r w:rsidR="00A10EDC" w:rsidRPr="00A10EDC" w:rsidDel="00FC6FF7">
          <w:rPr>
            <w:rFonts w:ascii="Times New Roman" w:hAnsi="Times New Roman" w:cs="Times New Roman"/>
            <w:b/>
            <w:sz w:val="24"/>
            <w:szCs w:val="24"/>
          </w:rPr>
          <w:t xml:space="preserve"> </w:t>
        </w:r>
      </w:hyperlink>
      <w:r w:rsidR="00760936" w:rsidRPr="008735A2">
        <w:rPr>
          <w:rFonts w:ascii="Times New Roman" w:hAnsi="Times New Roman" w:cs="Times New Roman"/>
          <w:b/>
          <w:sz w:val="24"/>
          <w:szCs w:val="24"/>
        </w:rPr>
        <w:t>.cn</w:t>
      </w: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2</w:t>
      </w:r>
      <w:r w:rsidRPr="0010160E">
        <w:rPr>
          <w:rFonts w:ascii="Times New Roman" w:hAnsiTheme="minorEastAsia" w:cs="Times New Roman"/>
          <w:color w:val="000000"/>
          <w:sz w:val="24"/>
          <w:szCs w:val="24"/>
        </w:rPr>
        <w:t>、华商基金管理有公司</w:t>
      </w:r>
    </w:p>
    <w:p w:rsidR="00907F35" w:rsidRPr="0010160E" w:rsidRDefault="00907F35" w:rsidP="00907F35">
      <w:pPr>
        <w:adjustRightInd w:val="0"/>
        <w:snapToGrid w:val="0"/>
        <w:spacing w:line="360" w:lineRule="auto"/>
        <w:ind w:firstLineChars="200" w:firstLine="480"/>
        <w:rPr>
          <w:rFonts w:ascii="Times New Roman" w:hAnsi="Times New Roman" w:cs="Times New Roman"/>
          <w:b/>
          <w:color w:val="000000"/>
          <w:sz w:val="24"/>
          <w:szCs w:val="24"/>
        </w:rPr>
      </w:pPr>
      <w:r w:rsidRPr="0010160E">
        <w:rPr>
          <w:rFonts w:ascii="Times New Roman" w:hAnsiTheme="minorEastAsia" w:cs="Times New Roman"/>
          <w:color w:val="000000"/>
          <w:sz w:val="24"/>
          <w:szCs w:val="24"/>
        </w:rPr>
        <w:t>客服电话：</w:t>
      </w:r>
      <w:r w:rsidR="00584BEF" w:rsidRPr="0010160E">
        <w:rPr>
          <w:rFonts w:ascii="Times New Roman" w:hAnsi="Times New Roman" w:cs="Times New Roman"/>
          <w:b/>
          <w:color w:val="000000"/>
          <w:sz w:val="24"/>
          <w:szCs w:val="24"/>
        </w:rPr>
        <w:t>400-700-8880</w:t>
      </w:r>
      <w:r w:rsidR="00584BEF" w:rsidRPr="0010160E">
        <w:rPr>
          <w:rFonts w:ascii="Times New Roman" w:hAnsiTheme="minorEastAsia" w:cs="Times New Roman"/>
          <w:b/>
          <w:color w:val="000000"/>
          <w:sz w:val="24"/>
          <w:szCs w:val="24"/>
        </w:rPr>
        <w:t>；</w:t>
      </w:r>
      <w:r w:rsidR="00584BEF" w:rsidRPr="0010160E">
        <w:rPr>
          <w:rFonts w:ascii="Times New Roman" w:hAnsi="Times New Roman" w:cs="Times New Roman"/>
          <w:b/>
          <w:color w:val="000000"/>
          <w:sz w:val="24"/>
          <w:szCs w:val="24"/>
        </w:rPr>
        <w:t>010-58573300</w:t>
      </w:r>
    </w:p>
    <w:p w:rsidR="00F31D9D" w:rsidRPr="0010160E" w:rsidRDefault="00907F35" w:rsidP="00F31D9D">
      <w:pPr>
        <w:adjustRightInd w:val="0"/>
        <w:snapToGrid w:val="0"/>
        <w:spacing w:line="360" w:lineRule="auto"/>
        <w:ind w:firstLineChars="200" w:firstLine="480"/>
        <w:rPr>
          <w:rFonts w:ascii="Times New Roman" w:hAnsi="Times New Roman" w:cs="Times New Roman"/>
          <w:b/>
          <w:sz w:val="24"/>
          <w:szCs w:val="24"/>
        </w:rPr>
      </w:pPr>
      <w:r w:rsidRPr="0010160E">
        <w:rPr>
          <w:rFonts w:ascii="Times New Roman" w:hAnsiTheme="minorEastAsia" w:cs="Times New Roman"/>
          <w:color w:val="000000"/>
          <w:sz w:val="24"/>
          <w:szCs w:val="24"/>
        </w:rPr>
        <w:t>公司网址：</w:t>
      </w:r>
      <w:r w:rsidR="00F819FC" w:rsidRPr="0010160E">
        <w:rPr>
          <w:rFonts w:ascii="Times New Roman" w:hAnsi="Times New Roman" w:cs="Times New Roman"/>
          <w:b/>
          <w:sz w:val="24"/>
          <w:szCs w:val="24"/>
        </w:rPr>
        <w:t xml:space="preserve">www.hsfund.com </w:t>
      </w:r>
    </w:p>
    <w:p w:rsidR="000E40B7" w:rsidRPr="0010160E" w:rsidRDefault="000E40B7" w:rsidP="008D5191">
      <w:pPr>
        <w:adjustRightInd w:val="0"/>
        <w:snapToGrid w:val="0"/>
        <w:spacing w:line="360" w:lineRule="auto"/>
        <w:ind w:firstLineChars="200" w:firstLine="482"/>
        <w:rPr>
          <w:rFonts w:ascii="Times New Roman" w:hAnsi="Times New Roman" w:cs="Times New Roman"/>
          <w:b/>
          <w:color w:val="000000"/>
          <w:sz w:val="24"/>
          <w:szCs w:val="24"/>
        </w:rPr>
      </w:pPr>
    </w:p>
    <w:p w:rsidR="00ED2A67" w:rsidRPr="0010160E" w:rsidRDefault="001521DA" w:rsidP="008D5191">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五</w:t>
      </w:r>
      <w:r w:rsidR="00ED2A67" w:rsidRPr="0010160E">
        <w:rPr>
          <w:rFonts w:ascii="Times New Roman" w:hAnsiTheme="minorEastAsia" w:cs="Times New Roman"/>
          <w:b/>
          <w:color w:val="000000"/>
          <w:sz w:val="24"/>
          <w:szCs w:val="24"/>
        </w:rPr>
        <w:t>、风险提示</w:t>
      </w: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基金管理人承诺以诚实信用、勤勉尽责的原则管理和运用基金资产，但不保证基金一定盈利，也不保证最低收益。投资者在投资本公司旗下基金前，请务必</w:t>
      </w:r>
      <w:r w:rsidRPr="0010160E">
        <w:rPr>
          <w:rFonts w:ascii="Times New Roman" w:hAnsiTheme="minorEastAsia" w:cs="Times New Roman"/>
          <w:color w:val="000000"/>
          <w:sz w:val="24"/>
          <w:szCs w:val="24"/>
        </w:rPr>
        <w:lastRenderedPageBreak/>
        <w:t>考虑自己的风险承受能力，在控制风险的前提下实现投资收益。投资有风险，选择须谨慎。敬请投资者于投资前认真阅读各基金的《基金合同》和《招募说明书》。</w:t>
      </w:r>
    </w:p>
    <w:p w:rsidR="00750BAD" w:rsidRPr="0010160E"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特此公告。</w:t>
      </w:r>
    </w:p>
    <w:p w:rsidR="00750BAD" w:rsidRPr="0010160E"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rsidR="00907F35" w:rsidRPr="0010160E" w:rsidRDefault="00907F35" w:rsidP="00907F35">
      <w:pPr>
        <w:spacing w:line="360" w:lineRule="auto"/>
        <w:ind w:firstLineChars="200" w:firstLine="480"/>
        <w:jc w:val="right"/>
        <w:rPr>
          <w:rFonts w:ascii="Times New Roman" w:hAnsi="Times New Roman" w:cs="Times New Roman"/>
          <w:color w:val="000000"/>
          <w:sz w:val="24"/>
          <w:szCs w:val="24"/>
        </w:rPr>
      </w:pPr>
      <w:r w:rsidRPr="0010160E">
        <w:rPr>
          <w:rFonts w:ascii="Times New Roman" w:hAnsiTheme="minorEastAsia" w:cs="Times New Roman"/>
          <w:color w:val="000000"/>
          <w:sz w:val="24"/>
          <w:szCs w:val="24"/>
        </w:rPr>
        <w:t>华商基金管理有限公司</w:t>
      </w:r>
    </w:p>
    <w:p w:rsidR="00623DE7" w:rsidRPr="0010160E" w:rsidRDefault="00F57933">
      <w:pPr>
        <w:spacing w:line="360" w:lineRule="auto"/>
        <w:ind w:firstLineChars="200" w:firstLine="480"/>
        <w:jc w:val="right"/>
        <w:rPr>
          <w:rFonts w:ascii="Times New Roman" w:hAnsi="Times New Roman" w:cs="Times New Roman"/>
          <w:color w:val="000000"/>
          <w:sz w:val="24"/>
          <w:szCs w:val="24"/>
        </w:rPr>
      </w:pPr>
      <w:r w:rsidRPr="0010160E">
        <w:rPr>
          <w:rFonts w:ascii="Times New Roman" w:hAnsi="Times New Roman" w:cs="Times New Roman"/>
          <w:color w:val="000000"/>
          <w:sz w:val="24"/>
          <w:szCs w:val="24"/>
        </w:rPr>
        <w:t>201</w:t>
      </w:r>
      <w:r w:rsidR="00211B0C">
        <w:rPr>
          <w:rFonts w:ascii="Times New Roman" w:hAnsi="Times New Roman" w:cs="Times New Roman" w:hint="eastAsia"/>
          <w:color w:val="000000"/>
          <w:sz w:val="24"/>
          <w:szCs w:val="24"/>
        </w:rPr>
        <w:t>6</w:t>
      </w:r>
      <w:r w:rsidR="00907F35" w:rsidRPr="0010160E">
        <w:rPr>
          <w:rFonts w:ascii="Times New Roman" w:hAnsiTheme="minorEastAsia" w:cs="Times New Roman"/>
          <w:color w:val="000000"/>
          <w:sz w:val="24"/>
          <w:szCs w:val="24"/>
        </w:rPr>
        <w:t>年</w:t>
      </w:r>
      <w:r w:rsidR="008B6EE2">
        <w:rPr>
          <w:rFonts w:ascii="Times New Roman" w:hAnsi="Times New Roman" w:cs="Times New Roman" w:hint="eastAsia"/>
          <w:color w:val="000000"/>
          <w:sz w:val="24"/>
          <w:szCs w:val="24"/>
        </w:rPr>
        <w:t>9</w:t>
      </w:r>
      <w:r w:rsidR="008B6EE2">
        <w:rPr>
          <w:rFonts w:ascii="Times New Roman" w:hAnsi="Times New Roman" w:cs="Times New Roman" w:hint="eastAsia"/>
          <w:color w:val="000000"/>
          <w:sz w:val="24"/>
          <w:szCs w:val="24"/>
        </w:rPr>
        <w:t>月</w:t>
      </w:r>
      <w:r w:rsidR="008B6EE2">
        <w:rPr>
          <w:rFonts w:ascii="Times New Roman" w:hAnsi="Times New Roman" w:cs="Times New Roman" w:hint="eastAsia"/>
          <w:color w:val="000000"/>
          <w:sz w:val="24"/>
          <w:szCs w:val="24"/>
        </w:rPr>
        <w:t>23</w:t>
      </w:r>
      <w:r w:rsidR="008B6EE2">
        <w:rPr>
          <w:rFonts w:ascii="Times New Roman" w:hAnsi="Times New Roman" w:cs="Times New Roman" w:hint="eastAsia"/>
          <w:color w:val="000000"/>
          <w:sz w:val="24"/>
          <w:szCs w:val="24"/>
        </w:rPr>
        <w:t>日</w:t>
      </w:r>
    </w:p>
    <w:p w:rsidR="00900302" w:rsidRPr="0010160E" w:rsidRDefault="00900302" w:rsidP="00907F35">
      <w:pPr>
        <w:spacing w:line="360" w:lineRule="auto"/>
        <w:ind w:firstLineChars="200" w:firstLine="480"/>
        <w:jc w:val="right"/>
        <w:rPr>
          <w:rFonts w:ascii="Times New Roman" w:hAnsi="Times New Roman" w:cs="Times New Roman"/>
          <w:color w:val="000000"/>
          <w:sz w:val="24"/>
          <w:szCs w:val="24"/>
        </w:rPr>
      </w:pPr>
    </w:p>
    <w:sectPr w:rsidR="00900302" w:rsidRPr="0010160E" w:rsidSect="009003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7E" w:rsidRDefault="00C6287E" w:rsidP="0038068F">
      <w:r>
        <w:separator/>
      </w:r>
    </w:p>
  </w:endnote>
  <w:endnote w:type="continuationSeparator" w:id="0">
    <w:p w:rsidR="00C6287E" w:rsidRDefault="00C6287E" w:rsidP="00380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7E" w:rsidRDefault="00C6287E" w:rsidP="0038068F">
      <w:r>
        <w:separator/>
      </w:r>
    </w:p>
  </w:footnote>
  <w:footnote w:type="continuationSeparator" w:id="0">
    <w:p w:rsidR="00C6287E" w:rsidRDefault="00C6287E" w:rsidP="00380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29D"/>
    <w:multiLevelType w:val="hybridMultilevel"/>
    <w:tmpl w:val="1920639E"/>
    <w:lvl w:ilvl="0" w:tplc="B1D25A3C">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rson w15:author="yangdl@yingmi.cn">
    <w15:presenceInfo w15:providerId="None" w15:userId="yangdl@yingmi.c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7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35"/>
    <w:rsid w:val="00003BA1"/>
    <w:rsid w:val="000046C5"/>
    <w:rsid w:val="00005F08"/>
    <w:rsid w:val="0002222C"/>
    <w:rsid w:val="00025B34"/>
    <w:rsid w:val="000339AD"/>
    <w:rsid w:val="00046D56"/>
    <w:rsid w:val="00062B3F"/>
    <w:rsid w:val="000632DD"/>
    <w:rsid w:val="00066C43"/>
    <w:rsid w:val="0006713A"/>
    <w:rsid w:val="00070817"/>
    <w:rsid w:val="00072348"/>
    <w:rsid w:val="00097B16"/>
    <w:rsid w:val="000A0C2F"/>
    <w:rsid w:val="000A3FC6"/>
    <w:rsid w:val="000A7D51"/>
    <w:rsid w:val="000D2F12"/>
    <w:rsid w:val="000E40B7"/>
    <w:rsid w:val="000E4126"/>
    <w:rsid w:val="000E4C9C"/>
    <w:rsid w:val="000E4EF5"/>
    <w:rsid w:val="000E6C1A"/>
    <w:rsid w:val="000F0A64"/>
    <w:rsid w:val="000F28A6"/>
    <w:rsid w:val="000F32E8"/>
    <w:rsid w:val="000F3E92"/>
    <w:rsid w:val="0010160E"/>
    <w:rsid w:val="001071A5"/>
    <w:rsid w:val="00113276"/>
    <w:rsid w:val="00113F4F"/>
    <w:rsid w:val="001217FF"/>
    <w:rsid w:val="001230F3"/>
    <w:rsid w:val="00134D54"/>
    <w:rsid w:val="001521DA"/>
    <w:rsid w:val="00155087"/>
    <w:rsid w:val="001703DF"/>
    <w:rsid w:val="00172BD3"/>
    <w:rsid w:val="001777AE"/>
    <w:rsid w:val="0018021B"/>
    <w:rsid w:val="00185E74"/>
    <w:rsid w:val="0018766A"/>
    <w:rsid w:val="001878B2"/>
    <w:rsid w:val="001B2331"/>
    <w:rsid w:val="001C1D5E"/>
    <w:rsid w:val="001C40B8"/>
    <w:rsid w:val="001D11C8"/>
    <w:rsid w:val="001D2420"/>
    <w:rsid w:val="001D2A94"/>
    <w:rsid w:val="001D4DC6"/>
    <w:rsid w:val="001E2A1C"/>
    <w:rsid w:val="001E2D29"/>
    <w:rsid w:val="001F2442"/>
    <w:rsid w:val="001F2AF7"/>
    <w:rsid w:val="00211B0C"/>
    <w:rsid w:val="002131D3"/>
    <w:rsid w:val="00224CB8"/>
    <w:rsid w:val="00233609"/>
    <w:rsid w:val="00235798"/>
    <w:rsid w:val="00246ED0"/>
    <w:rsid w:val="00252095"/>
    <w:rsid w:val="00254004"/>
    <w:rsid w:val="00255D07"/>
    <w:rsid w:val="00262EE5"/>
    <w:rsid w:val="00264B26"/>
    <w:rsid w:val="00273081"/>
    <w:rsid w:val="00285505"/>
    <w:rsid w:val="002863B3"/>
    <w:rsid w:val="00290459"/>
    <w:rsid w:val="00291012"/>
    <w:rsid w:val="002A0DBD"/>
    <w:rsid w:val="002A2BA2"/>
    <w:rsid w:val="002A45DA"/>
    <w:rsid w:val="002B6EFB"/>
    <w:rsid w:val="002C0093"/>
    <w:rsid w:val="002C22B2"/>
    <w:rsid w:val="002C692E"/>
    <w:rsid w:val="002D15D0"/>
    <w:rsid w:val="002D1F67"/>
    <w:rsid w:val="002D3D7F"/>
    <w:rsid w:val="002D469D"/>
    <w:rsid w:val="002E031D"/>
    <w:rsid w:val="002E3DF4"/>
    <w:rsid w:val="002E5520"/>
    <w:rsid w:val="002F390A"/>
    <w:rsid w:val="00323ACC"/>
    <w:rsid w:val="00326654"/>
    <w:rsid w:val="003270E0"/>
    <w:rsid w:val="00342207"/>
    <w:rsid w:val="00343A17"/>
    <w:rsid w:val="003502D1"/>
    <w:rsid w:val="00350C10"/>
    <w:rsid w:val="00354A58"/>
    <w:rsid w:val="003550A9"/>
    <w:rsid w:val="003710A6"/>
    <w:rsid w:val="00371BDF"/>
    <w:rsid w:val="0038068F"/>
    <w:rsid w:val="00385E5D"/>
    <w:rsid w:val="003A4F12"/>
    <w:rsid w:val="003A65F3"/>
    <w:rsid w:val="003C2FD0"/>
    <w:rsid w:val="003C3C15"/>
    <w:rsid w:val="003E1850"/>
    <w:rsid w:val="003E2A6B"/>
    <w:rsid w:val="003F0C38"/>
    <w:rsid w:val="003F23A2"/>
    <w:rsid w:val="003F3914"/>
    <w:rsid w:val="003F6C0A"/>
    <w:rsid w:val="003F7D34"/>
    <w:rsid w:val="00415EDD"/>
    <w:rsid w:val="0041723B"/>
    <w:rsid w:val="00422DCC"/>
    <w:rsid w:val="0043630B"/>
    <w:rsid w:val="004464E5"/>
    <w:rsid w:val="00447326"/>
    <w:rsid w:val="004477C2"/>
    <w:rsid w:val="00454A22"/>
    <w:rsid w:val="00455F74"/>
    <w:rsid w:val="004600B9"/>
    <w:rsid w:val="00464232"/>
    <w:rsid w:val="00484A26"/>
    <w:rsid w:val="00487581"/>
    <w:rsid w:val="004A0F5C"/>
    <w:rsid w:val="004A7705"/>
    <w:rsid w:val="004B49E0"/>
    <w:rsid w:val="004B597C"/>
    <w:rsid w:val="004D4603"/>
    <w:rsid w:val="004E67DD"/>
    <w:rsid w:val="004E680B"/>
    <w:rsid w:val="004F0F23"/>
    <w:rsid w:val="004F27F7"/>
    <w:rsid w:val="0050067F"/>
    <w:rsid w:val="005025E3"/>
    <w:rsid w:val="00503842"/>
    <w:rsid w:val="0050568B"/>
    <w:rsid w:val="00506A93"/>
    <w:rsid w:val="00510B04"/>
    <w:rsid w:val="00510DDF"/>
    <w:rsid w:val="005175AA"/>
    <w:rsid w:val="005220F5"/>
    <w:rsid w:val="0052783A"/>
    <w:rsid w:val="00536074"/>
    <w:rsid w:val="00540079"/>
    <w:rsid w:val="0054043F"/>
    <w:rsid w:val="00544354"/>
    <w:rsid w:val="005537F1"/>
    <w:rsid w:val="00553EC2"/>
    <w:rsid w:val="0055720F"/>
    <w:rsid w:val="00560AE8"/>
    <w:rsid w:val="005615A1"/>
    <w:rsid w:val="00567B0D"/>
    <w:rsid w:val="0057225A"/>
    <w:rsid w:val="00576AAE"/>
    <w:rsid w:val="00580843"/>
    <w:rsid w:val="00584BEF"/>
    <w:rsid w:val="00590A84"/>
    <w:rsid w:val="005A4EBD"/>
    <w:rsid w:val="005B2AFA"/>
    <w:rsid w:val="005B483B"/>
    <w:rsid w:val="005B617E"/>
    <w:rsid w:val="005B6793"/>
    <w:rsid w:val="005D34BE"/>
    <w:rsid w:val="005D3B1F"/>
    <w:rsid w:val="005D6203"/>
    <w:rsid w:val="005E52A8"/>
    <w:rsid w:val="005F4670"/>
    <w:rsid w:val="005F7974"/>
    <w:rsid w:val="00600875"/>
    <w:rsid w:val="00602B5A"/>
    <w:rsid w:val="00623DE7"/>
    <w:rsid w:val="0062427E"/>
    <w:rsid w:val="00624649"/>
    <w:rsid w:val="00627E50"/>
    <w:rsid w:val="0063182E"/>
    <w:rsid w:val="00635240"/>
    <w:rsid w:val="006421AD"/>
    <w:rsid w:val="00646072"/>
    <w:rsid w:val="00646095"/>
    <w:rsid w:val="006611AE"/>
    <w:rsid w:val="006742BF"/>
    <w:rsid w:val="00674AA0"/>
    <w:rsid w:val="00674EAF"/>
    <w:rsid w:val="006A74E4"/>
    <w:rsid w:val="006B2FD5"/>
    <w:rsid w:val="006B6A12"/>
    <w:rsid w:val="006C3A4A"/>
    <w:rsid w:val="006C6256"/>
    <w:rsid w:val="006C7ACF"/>
    <w:rsid w:val="006D2090"/>
    <w:rsid w:val="006E01A3"/>
    <w:rsid w:val="006E552B"/>
    <w:rsid w:val="006E7033"/>
    <w:rsid w:val="006F466D"/>
    <w:rsid w:val="00706C5C"/>
    <w:rsid w:val="00710127"/>
    <w:rsid w:val="00711D8F"/>
    <w:rsid w:val="007139E4"/>
    <w:rsid w:val="007231B3"/>
    <w:rsid w:val="00743144"/>
    <w:rsid w:val="00746FA3"/>
    <w:rsid w:val="00750BAD"/>
    <w:rsid w:val="00755BD0"/>
    <w:rsid w:val="00757AF9"/>
    <w:rsid w:val="00760202"/>
    <w:rsid w:val="00760936"/>
    <w:rsid w:val="0077045E"/>
    <w:rsid w:val="00772C18"/>
    <w:rsid w:val="0077395F"/>
    <w:rsid w:val="00793F8F"/>
    <w:rsid w:val="00793FF5"/>
    <w:rsid w:val="00796C64"/>
    <w:rsid w:val="007A0A48"/>
    <w:rsid w:val="007A1A95"/>
    <w:rsid w:val="007A2ACC"/>
    <w:rsid w:val="007A7845"/>
    <w:rsid w:val="007B1BB1"/>
    <w:rsid w:val="007B29DD"/>
    <w:rsid w:val="007B3022"/>
    <w:rsid w:val="007B399F"/>
    <w:rsid w:val="007B5F9E"/>
    <w:rsid w:val="007C0EAD"/>
    <w:rsid w:val="007F1CC0"/>
    <w:rsid w:val="007F4BC4"/>
    <w:rsid w:val="00802E22"/>
    <w:rsid w:val="008063F9"/>
    <w:rsid w:val="008072BC"/>
    <w:rsid w:val="0082034F"/>
    <w:rsid w:val="00821C2F"/>
    <w:rsid w:val="00823FC8"/>
    <w:rsid w:val="008302ED"/>
    <w:rsid w:val="00832162"/>
    <w:rsid w:val="0084431C"/>
    <w:rsid w:val="00854F7C"/>
    <w:rsid w:val="008735A2"/>
    <w:rsid w:val="00875855"/>
    <w:rsid w:val="0087639B"/>
    <w:rsid w:val="0088625A"/>
    <w:rsid w:val="00894C5C"/>
    <w:rsid w:val="00895B8B"/>
    <w:rsid w:val="008A4D30"/>
    <w:rsid w:val="008B2866"/>
    <w:rsid w:val="008B6EE2"/>
    <w:rsid w:val="008B79C5"/>
    <w:rsid w:val="008C1E79"/>
    <w:rsid w:val="008C207C"/>
    <w:rsid w:val="008C2A43"/>
    <w:rsid w:val="008C6CA2"/>
    <w:rsid w:val="008D064B"/>
    <w:rsid w:val="008D4636"/>
    <w:rsid w:val="008D5191"/>
    <w:rsid w:val="008F3DEC"/>
    <w:rsid w:val="00900302"/>
    <w:rsid w:val="009063B4"/>
    <w:rsid w:val="00907C9B"/>
    <w:rsid w:val="00907F35"/>
    <w:rsid w:val="00912D50"/>
    <w:rsid w:val="00914FAA"/>
    <w:rsid w:val="009151EC"/>
    <w:rsid w:val="0091545B"/>
    <w:rsid w:val="009256B0"/>
    <w:rsid w:val="0093019F"/>
    <w:rsid w:val="0093555C"/>
    <w:rsid w:val="00953570"/>
    <w:rsid w:val="00956BAE"/>
    <w:rsid w:val="009579CE"/>
    <w:rsid w:val="00962876"/>
    <w:rsid w:val="00964164"/>
    <w:rsid w:val="009661C0"/>
    <w:rsid w:val="0097118A"/>
    <w:rsid w:val="00973D3C"/>
    <w:rsid w:val="009779CE"/>
    <w:rsid w:val="0099640E"/>
    <w:rsid w:val="009A3022"/>
    <w:rsid w:val="009A6CD4"/>
    <w:rsid w:val="009B176A"/>
    <w:rsid w:val="009B63FF"/>
    <w:rsid w:val="009C526C"/>
    <w:rsid w:val="009D14B8"/>
    <w:rsid w:val="009D41B9"/>
    <w:rsid w:val="009E0116"/>
    <w:rsid w:val="009E0399"/>
    <w:rsid w:val="009E22A2"/>
    <w:rsid w:val="009F08C5"/>
    <w:rsid w:val="009F7D81"/>
    <w:rsid w:val="00A023CB"/>
    <w:rsid w:val="00A040A3"/>
    <w:rsid w:val="00A048EF"/>
    <w:rsid w:val="00A10EDC"/>
    <w:rsid w:val="00A11FE3"/>
    <w:rsid w:val="00A4355E"/>
    <w:rsid w:val="00A43A68"/>
    <w:rsid w:val="00A46B34"/>
    <w:rsid w:val="00A62565"/>
    <w:rsid w:val="00A632BF"/>
    <w:rsid w:val="00A63716"/>
    <w:rsid w:val="00A65160"/>
    <w:rsid w:val="00A71EF2"/>
    <w:rsid w:val="00A901BE"/>
    <w:rsid w:val="00A90276"/>
    <w:rsid w:val="00A914A6"/>
    <w:rsid w:val="00A94506"/>
    <w:rsid w:val="00AA6D6D"/>
    <w:rsid w:val="00AB00A7"/>
    <w:rsid w:val="00AB1B05"/>
    <w:rsid w:val="00AB2765"/>
    <w:rsid w:val="00AC6E58"/>
    <w:rsid w:val="00AE18FE"/>
    <w:rsid w:val="00AF2FE2"/>
    <w:rsid w:val="00AF66A0"/>
    <w:rsid w:val="00B01D5D"/>
    <w:rsid w:val="00B04F68"/>
    <w:rsid w:val="00B04F7B"/>
    <w:rsid w:val="00B3109B"/>
    <w:rsid w:val="00B377FF"/>
    <w:rsid w:val="00B60DAD"/>
    <w:rsid w:val="00B61BE4"/>
    <w:rsid w:val="00B61FA0"/>
    <w:rsid w:val="00B83EBA"/>
    <w:rsid w:val="00B94E0B"/>
    <w:rsid w:val="00B95D35"/>
    <w:rsid w:val="00BB271E"/>
    <w:rsid w:val="00BB5A60"/>
    <w:rsid w:val="00BC79B8"/>
    <w:rsid w:val="00BD6FB0"/>
    <w:rsid w:val="00BD78AC"/>
    <w:rsid w:val="00BE1C54"/>
    <w:rsid w:val="00BE5A0E"/>
    <w:rsid w:val="00BE6733"/>
    <w:rsid w:val="00BF66F9"/>
    <w:rsid w:val="00C00A84"/>
    <w:rsid w:val="00C07399"/>
    <w:rsid w:val="00C10D01"/>
    <w:rsid w:val="00C143E0"/>
    <w:rsid w:val="00C169A8"/>
    <w:rsid w:val="00C233B9"/>
    <w:rsid w:val="00C24E97"/>
    <w:rsid w:val="00C40999"/>
    <w:rsid w:val="00C6287E"/>
    <w:rsid w:val="00C6791F"/>
    <w:rsid w:val="00C82599"/>
    <w:rsid w:val="00C92F47"/>
    <w:rsid w:val="00C97D2C"/>
    <w:rsid w:val="00CA05A7"/>
    <w:rsid w:val="00CA3254"/>
    <w:rsid w:val="00CB2967"/>
    <w:rsid w:val="00CC308B"/>
    <w:rsid w:val="00CD0208"/>
    <w:rsid w:val="00CD19EA"/>
    <w:rsid w:val="00CD23C6"/>
    <w:rsid w:val="00CE75DA"/>
    <w:rsid w:val="00CF2B05"/>
    <w:rsid w:val="00CF65A0"/>
    <w:rsid w:val="00CF749A"/>
    <w:rsid w:val="00D07C2E"/>
    <w:rsid w:val="00D15DBD"/>
    <w:rsid w:val="00D17627"/>
    <w:rsid w:val="00D21FA8"/>
    <w:rsid w:val="00D230E8"/>
    <w:rsid w:val="00D319E1"/>
    <w:rsid w:val="00D36FCC"/>
    <w:rsid w:val="00D4482C"/>
    <w:rsid w:val="00D4545B"/>
    <w:rsid w:val="00D54FFE"/>
    <w:rsid w:val="00D7010A"/>
    <w:rsid w:val="00D72873"/>
    <w:rsid w:val="00D7399F"/>
    <w:rsid w:val="00D81208"/>
    <w:rsid w:val="00D871FA"/>
    <w:rsid w:val="00D87224"/>
    <w:rsid w:val="00D924DC"/>
    <w:rsid w:val="00DA2B15"/>
    <w:rsid w:val="00DA3E3B"/>
    <w:rsid w:val="00DA56A6"/>
    <w:rsid w:val="00DB22C7"/>
    <w:rsid w:val="00DC145D"/>
    <w:rsid w:val="00DC3FA1"/>
    <w:rsid w:val="00DC7438"/>
    <w:rsid w:val="00DD0EDB"/>
    <w:rsid w:val="00DD529F"/>
    <w:rsid w:val="00DF1EFC"/>
    <w:rsid w:val="00E10ED8"/>
    <w:rsid w:val="00E13642"/>
    <w:rsid w:val="00E21BBB"/>
    <w:rsid w:val="00E22CAA"/>
    <w:rsid w:val="00E27C58"/>
    <w:rsid w:val="00E3142C"/>
    <w:rsid w:val="00E31614"/>
    <w:rsid w:val="00E35092"/>
    <w:rsid w:val="00E430B5"/>
    <w:rsid w:val="00E45AB5"/>
    <w:rsid w:val="00E54933"/>
    <w:rsid w:val="00E55F2B"/>
    <w:rsid w:val="00E56A16"/>
    <w:rsid w:val="00E62C4D"/>
    <w:rsid w:val="00E65315"/>
    <w:rsid w:val="00E704A4"/>
    <w:rsid w:val="00E728FA"/>
    <w:rsid w:val="00E72C83"/>
    <w:rsid w:val="00E81208"/>
    <w:rsid w:val="00E847C9"/>
    <w:rsid w:val="00E959F1"/>
    <w:rsid w:val="00EA2CF7"/>
    <w:rsid w:val="00EA595C"/>
    <w:rsid w:val="00EA7FB5"/>
    <w:rsid w:val="00EB0400"/>
    <w:rsid w:val="00EB3EC6"/>
    <w:rsid w:val="00EB48A3"/>
    <w:rsid w:val="00EB6023"/>
    <w:rsid w:val="00EC2AA8"/>
    <w:rsid w:val="00ED03CC"/>
    <w:rsid w:val="00ED08D3"/>
    <w:rsid w:val="00ED2A67"/>
    <w:rsid w:val="00ED2D88"/>
    <w:rsid w:val="00ED55EB"/>
    <w:rsid w:val="00ED66F0"/>
    <w:rsid w:val="00EE6FAD"/>
    <w:rsid w:val="00EF01AF"/>
    <w:rsid w:val="00EF02ED"/>
    <w:rsid w:val="00F01B34"/>
    <w:rsid w:val="00F045BE"/>
    <w:rsid w:val="00F04C93"/>
    <w:rsid w:val="00F05CD7"/>
    <w:rsid w:val="00F05D8C"/>
    <w:rsid w:val="00F06115"/>
    <w:rsid w:val="00F12E4C"/>
    <w:rsid w:val="00F16110"/>
    <w:rsid w:val="00F20B8B"/>
    <w:rsid w:val="00F22EB5"/>
    <w:rsid w:val="00F276FE"/>
    <w:rsid w:val="00F31D9D"/>
    <w:rsid w:val="00F37F44"/>
    <w:rsid w:val="00F41E9D"/>
    <w:rsid w:val="00F51DDA"/>
    <w:rsid w:val="00F524B0"/>
    <w:rsid w:val="00F57933"/>
    <w:rsid w:val="00F6267A"/>
    <w:rsid w:val="00F67A01"/>
    <w:rsid w:val="00F81393"/>
    <w:rsid w:val="00F819FC"/>
    <w:rsid w:val="00F90AA1"/>
    <w:rsid w:val="00F9713E"/>
    <w:rsid w:val="00F974A3"/>
    <w:rsid w:val="00F97DF1"/>
    <w:rsid w:val="00FA0173"/>
    <w:rsid w:val="00FA10BB"/>
    <w:rsid w:val="00FB3619"/>
    <w:rsid w:val="00FB607A"/>
    <w:rsid w:val="00FC3FB1"/>
    <w:rsid w:val="00FC6FF7"/>
    <w:rsid w:val="00FD11EA"/>
    <w:rsid w:val="00FE5003"/>
    <w:rsid w:val="00FF7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F35"/>
    <w:rPr>
      <w:color w:val="0000FF"/>
      <w:u w:val="single"/>
    </w:rPr>
  </w:style>
  <w:style w:type="paragraph" w:styleId="a4">
    <w:name w:val="Normal (Web)"/>
    <w:basedOn w:val="a"/>
    <w:uiPriority w:val="99"/>
    <w:unhideWhenUsed/>
    <w:rsid w:val="00907F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07F35"/>
    <w:rPr>
      <w:b/>
      <w:bCs/>
    </w:rPr>
  </w:style>
  <w:style w:type="paragraph" w:styleId="a6">
    <w:name w:val="header"/>
    <w:basedOn w:val="a"/>
    <w:link w:val="Char"/>
    <w:uiPriority w:val="99"/>
    <w:unhideWhenUsed/>
    <w:rsid w:val="00380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068F"/>
    <w:rPr>
      <w:sz w:val="18"/>
      <w:szCs w:val="18"/>
    </w:rPr>
  </w:style>
  <w:style w:type="paragraph" w:styleId="a7">
    <w:name w:val="footer"/>
    <w:basedOn w:val="a"/>
    <w:link w:val="Char0"/>
    <w:uiPriority w:val="99"/>
    <w:unhideWhenUsed/>
    <w:rsid w:val="0038068F"/>
    <w:pPr>
      <w:tabs>
        <w:tab w:val="center" w:pos="4153"/>
        <w:tab w:val="right" w:pos="8306"/>
      </w:tabs>
      <w:snapToGrid w:val="0"/>
      <w:jc w:val="left"/>
    </w:pPr>
    <w:rPr>
      <w:sz w:val="18"/>
      <w:szCs w:val="18"/>
    </w:rPr>
  </w:style>
  <w:style w:type="character" w:customStyle="1" w:styleId="Char0">
    <w:name w:val="页脚 Char"/>
    <w:basedOn w:val="a0"/>
    <w:link w:val="a7"/>
    <w:uiPriority w:val="99"/>
    <w:rsid w:val="0038068F"/>
    <w:rPr>
      <w:sz w:val="18"/>
      <w:szCs w:val="18"/>
    </w:rPr>
  </w:style>
  <w:style w:type="paragraph" w:styleId="a8">
    <w:name w:val="Balloon Text"/>
    <w:basedOn w:val="a"/>
    <w:link w:val="Char1"/>
    <w:uiPriority w:val="99"/>
    <w:semiHidden/>
    <w:unhideWhenUsed/>
    <w:rsid w:val="00BC79B8"/>
    <w:rPr>
      <w:sz w:val="18"/>
      <w:szCs w:val="18"/>
    </w:rPr>
  </w:style>
  <w:style w:type="character" w:customStyle="1" w:styleId="Char1">
    <w:name w:val="批注框文本 Char"/>
    <w:basedOn w:val="a0"/>
    <w:link w:val="a8"/>
    <w:uiPriority w:val="99"/>
    <w:semiHidden/>
    <w:rsid w:val="00BC79B8"/>
    <w:rPr>
      <w:sz w:val="18"/>
      <w:szCs w:val="18"/>
    </w:rPr>
  </w:style>
  <w:style w:type="paragraph" w:styleId="a9">
    <w:name w:val="Date"/>
    <w:basedOn w:val="a"/>
    <w:next w:val="a"/>
    <w:link w:val="Char2"/>
    <w:uiPriority w:val="99"/>
    <w:semiHidden/>
    <w:unhideWhenUsed/>
    <w:rsid w:val="00ED03CC"/>
    <w:pPr>
      <w:ind w:leftChars="2500" w:left="100"/>
    </w:pPr>
  </w:style>
  <w:style w:type="character" w:customStyle="1" w:styleId="Char2">
    <w:name w:val="日期 Char"/>
    <w:basedOn w:val="a0"/>
    <w:link w:val="a9"/>
    <w:uiPriority w:val="99"/>
    <w:semiHidden/>
    <w:rsid w:val="00ED03CC"/>
  </w:style>
  <w:style w:type="paragraph" w:styleId="aa">
    <w:name w:val="List Paragraph"/>
    <w:basedOn w:val="a"/>
    <w:uiPriority w:val="34"/>
    <w:qFormat/>
    <w:rsid w:val="00ED03CC"/>
    <w:pPr>
      <w:ind w:firstLineChars="200" w:firstLine="420"/>
    </w:pPr>
  </w:style>
  <w:style w:type="character" w:styleId="ab">
    <w:name w:val="annotation reference"/>
    <w:basedOn w:val="a0"/>
    <w:uiPriority w:val="99"/>
    <w:semiHidden/>
    <w:unhideWhenUsed/>
    <w:rsid w:val="00646072"/>
    <w:rPr>
      <w:sz w:val="21"/>
      <w:szCs w:val="21"/>
    </w:rPr>
  </w:style>
  <w:style w:type="paragraph" w:styleId="ac">
    <w:name w:val="annotation text"/>
    <w:basedOn w:val="a"/>
    <w:link w:val="Char3"/>
    <w:uiPriority w:val="99"/>
    <w:semiHidden/>
    <w:unhideWhenUsed/>
    <w:rsid w:val="00646072"/>
    <w:pPr>
      <w:jc w:val="left"/>
    </w:pPr>
  </w:style>
  <w:style w:type="character" w:customStyle="1" w:styleId="Char3">
    <w:name w:val="批注文字 Char"/>
    <w:basedOn w:val="a0"/>
    <w:link w:val="ac"/>
    <w:uiPriority w:val="99"/>
    <w:semiHidden/>
    <w:rsid w:val="00646072"/>
  </w:style>
  <w:style w:type="paragraph" w:styleId="ad">
    <w:name w:val="annotation subject"/>
    <w:basedOn w:val="ac"/>
    <w:next w:val="ac"/>
    <w:link w:val="Char4"/>
    <w:uiPriority w:val="99"/>
    <w:semiHidden/>
    <w:unhideWhenUsed/>
    <w:rsid w:val="00646072"/>
    <w:rPr>
      <w:b/>
      <w:bCs/>
    </w:rPr>
  </w:style>
  <w:style w:type="character" w:customStyle="1" w:styleId="Char4">
    <w:name w:val="批注主题 Char"/>
    <w:basedOn w:val="Char3"/>
    <w:link w:val="ad"/>
    <w:uiPriority w:val="99"/>
    <w:semiHidden/>
    <w:rsid w:val="00646072"/>
    <w:rPr>
      <w:b/>
      <w:bCs/>
    </w:rPr>
  </w:style>
</w:styles>
</file>

<file path=word/webSettings.xml><?xml version="1.0" encoding="utf-8"?>
<w:webSettings xmlns:r="http://schemas.openxmlformats.org/officeDocument/2006/relationships" xmlns:w="http://schemas.openxmlformats.org/wordprocessingml/2006/main">
  <w:divs>
    <w:div w:id="871378172">
      <w:bodyDiv w:val="1"/>
      <w:marLeft w:val="0"/>
      <w:marRight w:val="0"/>
      <w:marTop w:val="0"/>
      <w:marBottom w:val="0"/>
      <w:divBdr>
        <w:top w:val="none" w:sz="0" w:space="0" w:color="auto"/>
        <w:left w:val="none" w:sz="0" w:space="0" w:color="auto"/>
        <w:bottom w:val="none" w:sz="0" w:space="0" w:color="auto"/>
        <w:right w:val="none" w:sz="0" w:space="0" w:color="auto"/>
      </w:divBdr>
    </w:div>
    <w:div w:id="1156336432">
      <w:bodyDiv w:val="1"/>
      <w:marLeft w:val="0"/>
      <w:marRight w:val="0"/>
      <w:marTop w:val="0"/>
      <w:marBottom w:val="0"/>
      <w:divBdr>
        <w:top w:val="none" w:sz="0" w:space="0" w:color="auto"/>
        <w:left w:val="none" w:sz="0" w:space="0" w:color="auto"/>
        <w:bottom w:val="none" w:sz="0" w:space="0" w:color="auto"/>
        <w:right w:val="none" w:sz="0" w:space="0" w:color="auto"/>
      </w:divBdr>
    </w:div>
    <w:div w:id="1168638283">
      <w:bodyDiv w:val="1"/>
      <w:marLeft w:val="0"/>
      <w:marRight w:val="0"/>
      <w:marTop w:val="0"/>
      <w:marBottom w:val="0"/>
      <w:divBdr>
        <w:top w:val="none" w:sz="0" w:space="0" w:color="auto"/>
        <w:left w:val="none" w:sz="0" w:space="0" w:color="auto"/>
        <w:bottom w:val="none" w:sz="0" w:space="0" w:color="auto"/>
        <w:right w:val="none" w:sz="0" w:space="0" w:color="auto"/>
      </w:divBdr>
    </w:div>
    <w:div w:id="1302734491">
      <w:bodyDiv w:val="1"/>
      <w:marLeft w:val="0"/>
      <w:marRight w:val="0"/>
      <w:marTop w:val="0"/>
      <w:marBottom w:val="0"/>
      <w:divBdr>
        <w:top w:val="none" w:sz="0" w:space="0" w:color="auto"/>
        <w:left w:val="none" w:sz="0" w:space="0" w:color="auto"/>
        <w:bottom w:val="none" w:sz="0" w:space="0" w:color="auto"/>
        <w:right w:val="none" w:sz="0" w:space="0" w:color="auto"/>
      </w:divBdr>
      <w:divsChild>
        <w:div w:id="722632064">
          <w:marLeft w:val="0"/>
          <w:marRight w:val="0"/>
          <w:marTop w:val="0"/>
          <w:marBottom w:val="0"/>
          <w:divBdr>
            <w:top w:val="none" w:sz="0" w:space="0" w:color="auto"/>
            <w:left w:val="none" w:sz="0" w:space="0" w:color="auto"/>
            <w:bottom w:val="none" w:sz="0" w:space="0" w:color="auto"/>
            <w:right w:val="none" w:sz="0" w:space="0" w:color="auto"/>
          </w:divBdr>
          <w:divsChild>
            <w:div w:id="562178485">
              <w:marLeft w:val="0"/>
              <w:marRight w:val="0"/>
              <w:marTop w:val="120"/>
              <w:marBottom w:val="0"/>
              <w:divBdr>
                <w:top w:val="none" w:sz="0" w:space="0" w:color="auto"/>
                <w:left w:val="none" w:sz="0" w:space="0" w:color="auto"/>
                <w:bottom w:val="single" w:sz="6" w:space="0" w:color="DDDDDD"/>
                <w:right w:val="none" w:sz="0" w:space="0" w:color="auto"/>
              </w:divBdr>
              <w:divsChild>
                <w:div w:id="1038429528">
                  <w:marLeft w:val="0"/>
                  <w:marRight w:val="0"/>
                  <w:marTop w:val="0"/>
                  <w:marBottom w:val="0"/>
                  <w:divBdr>
                    <w:top w:val="none" w:sz="0" w:space="0" w:color="auto"/>
                    <w:left w:val="none" w:sz="0" w:space="0" w:color="auto"/>
                    <w:bottom w:val="none" w:sz="0" w:space="0" w:color="auto"/>
                    <w:right w:val="none" w:sz="0" w:space="0" w:color="auto"/>
                  </w:divBdr>
                  <w:divsChild>
                    <w:div w:id="1482193443">
                      <w:marLeft w:val="375"/>
                      <w:marRight w:val="0"/>
                      <w:marTop w:val="0"/>
                      <w:marBottom w:val="0"/>
                      <w:divBdr>
                        <w:top w:val="none" w:sz="0" w:space="0" w:color="auto"/>
                        <w:left w:val="none" w:sz="0" w:space="0" w:color="auto"/>
                        <w:bottom w:val="none" w:sz="0" w:space="0" w:color="auto"/>
                        <w:right w:val="none" w:sz="0" w:space="0" w:color="auto"/>
                      </w:divBdr>
                      <w:divsChild>
                        <w:div w:id="64228285">
                          <w:marLeft w:val="75"/>
                          <w:marRight w:val="150"/>
                          <w:marTop w:val="0"/>
                          <w:marBottom w:val="450"/>
                          <w:divBdr>
                            <w:top w:val="none" w:sz="0" w:space="0" w:color="auto"/>
                            <w:left w:val="none" w:sz="0" w:space="0" w:color="auto"/>
                            <w:bottom w:val="none" w:sz="0" w:space="0" w:color="auto"/>
                            <w:right w:val="none" w:sz="0" w:space="0" w:color="auto"/>
                          </w:divBdr>
                          <w:divsChild>
                            <w:div w:id="2094740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0107">
      <w:bodyDiv w:val="1"/>
      <w:marLeft w:val="0"/>
      <w:marRight w:val="0"/>
      <w:marTop w:val="0"/>
      <w:marBottom w:val="0"/>
      <w:divBdr>
        <w:top w:val="none" w:sz="0" w:space="0" w:color="auto"/>
        <w:left w:val="none" w:sz="0" w:space="0" w:color="auto"/>
        <w:bottom w:val="none" w:sz="0" w:space="0" w:color="auto"/>
        <w:right w:val="none" w:sz="0" w:space="0" w:color="auto"/>
      </w:divBdr>
      <w:divsChild>
        <w:div w:id="1762607911">
          <w:marLeft w:val="0"/>
          <w:marRight w:val="0"/>
          <w:marTop w:val="0"/>
          <w:marBottom w:val="0"/>
          <w:divBdr>
            <w:top w:val="none" w:sz="0" w:space="0" w:color="auto"/>
            <w:left w:val="none" w:sz="0" w:space="0" w:color="auto"/>
            <w:bottom w:val="none" w:sz="0" w:space="0" w:color="auto"/>
            <w:right w:val="none" w:sz="0" w:space="0" w:color="auto"/>
          </w:divBdr>
          <w:divsChild>
            <w:div w:id="1204488752">
              <w:marLeft w:val="0"/>
              <w:marRight w:val="0"/>
              <w:marTop w:val="120"/>
              <w:marBottom w:val="0"/>
              <w:divBdr>
                <w:top w:val="none" w:sz="0" w:space="0" w:color="auto"/>
                <w:left w:val="none" w:sz="0" w:space="0" w:color="auto"/>
                <w:bottom w:val="single" w:sz="6" w:space="0" w:color="DDDDDD"/>
                <w:right w:val="none" w:sz="0" w:space="0" w:color="auto"/>
              </w:divBdr>
              <w:divsChild>
                <w:div w:id="629283020">
                  <w:marLeft w:val="0"/>
                  <w:marRight w:val="0"/>
                  <w:marTop w:val="0"/>
                  <w:marBottom w:val="0"/>
                  <w:divBdr>
                    <w:top w:val="none" w:sz="0" w:space="0" w:color="auto"/>
                    <w:left w:val="none" w:sz="0" w:space="0" w:color="auto"/>
                    <w:bottom w:val="none" w:sz="0" w:space="0" w:color="auto"/>
                    <w:right w:val="none" w:sz="0" w:space="0" w:color="auto"/>
                  </w:divBdr>
                  <w:divsChild>
                    <w:div w:id="410784543">
                      <w:marLeft w:val="375"/>
                      <w:marRight w:val="0"/>
                      <w:marTop w:val="0"/>
                      <w:marBottom w:val="0"/>
                      <w:divBdr>
                        <w:top w:val="none" w:sz="0" w:space="0" w:color="auto"/>
                        <w:left w:val="none" w:sz="0" w:space="0" w:color="auto"/>
                        <w:bottom w:val="none" w:sz="0" w:space="0" w:color="auto"/>
                        <w:right w:val="none" w:sz="0" w:space="0" w:color="auto"/>
                      </w:divBdr>
                      <w:divsChild>
                        <w:div w:id="1784499633">
                          <w:marLeft w:val="75"/>
                          <w:marRight w:val="150"/>
                          <w:marTop w:val="0"/>
                          <w:marBottom w:val="450"/>
                          <w:divBdr>
                            <w:top w:val="none" w:sz="0" w:space="0" w:color="auto"/>
                            <w:left w:val="none" w:sz="0" w:space="0" w:color="auto"/>
                            <w:bottom w:val="none" w:sz="0" w:space="0" w:color="auto"/>
                            <w:right w:val="none" w:sz="0" w:space="0" w:color="auto"/>
                          </w:divBdr>
                          <w:divsChild>
                            <w:div w:id="1941721183">
                              <w:marLeft w:val="0"/>
                              <w:marRight w:val="0"/>
                              <w:marTop w:val="0"/>
                              <w:marBottom w:val="0"/>
                              <w:divBdr>
                                <w:top w:val="none" w:sz="0" w:space="0" w:color="auto"/>
                                <w:left w:val="none" w:sz="0" w:space="0" w:color="auto"/>
                                <w:bottom w:val="none" w:sz="0" w:space="0" w:color="auto"/>
                                <w:right w:val="none" w:sz="0" w:space="0" w:color="auto"/>
                              </w:divBdr>
                            </w:div>
                            <w:div w:id="18893408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23030">
      <w:bodyDiv w:val="1"/>
      <w:marLeft w:val="0"/>
      <w:marRight w:val="0"/>
      <w:marTop w:val="0"/>
      <w:marBottom w:val="0"/>
      <w:divBdr>
        <w:top w:val="none" w:sz="0" w:space="0" w:color="auto"/>
        <w:left w:val="none" w:sz="0" w:space="0" w:color="auto"/>
        <w:bottom w:val="none" w:sz="0" w:space="0" w:color="auto"/>
        <w:right w:val="none" w:sz="0" w:space="0" w:color="auto"/>
      </w:divBdr>
    </w:div>
    <w:div w:id="1651863853">
      <w:bodyDiv w:val="1"/>
      <w:marLeft w:val="0"/>
      <w:marRight w:val="0"/>
      <w:marTop w:val="0"/>
      <w:marBottom w:val="0"/>
      <w:divBdr>
        <w:top w:val="none" w:sz="0" w:space="0" w:color="auto"/>
        <w:left w:val="none" w:sz="0" w:space="0" w:color="auto"/>
        <w:bottom w:val="none" w:sz="0" w:space="0" w:color="auto"/>
        <w:right w:val="none" w:sz="0" w:space="0" w:color="auto"/>
      </w:divBdr>
    </w:div>
    <w:div w:id="1899710109">
      <w:bodyDiv w:val="1"/>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sChild>
            <w:div w:id="1646351187">
              <w:marLeft w:val="0"/>
              <w:marRight w:val="0"/>
              <w:marTop w:val="120"/>
              <w:marBottom w:val="0"/>
              <w:divBdr>
                <w:top w:val="none" w:sz="0" w:space="0" w:color="auto"/>
                <w:left w:val="none" w:sz="0" w:space="0" w:color="auto"/>
                <w:bottom w:val="single" w:sz="6" w:space="0" w:color="DDDDDD"/>
                <w:right w:val="none" w:sz="0" w:space="0" w:color="auto"/>
              </w:divBdr>
              <w:divsChild>
                <w:div w:id="867328963">
                  <w:marLeft w:val="0"/>
                  <w:marRight w:val="0"/>
                  <w:marTop w:val="0"/>
                  <w:marBottom w:val="0"/>
                  <w:divBdr>
                    <w:top w:val="none" w:sz="0" w:space="0" w:color="auto"/>
                    <w:left w:val="none" w:sz="0" w:space="0" w:color="auto"/>
                    <w:bottom w:val="none" w:sz="0" w:space="0" w:color="auto"/>
                    <w:right w:val="none" w:sz="0" w:space="0" w:color="auto"/>
                  </w:divBdr>
                  <w:divsChild>
                    <w:div w:id="56712787">
                      <w:marLeft w:val="375"/>
                      <w:marRight w:val="0"/>
                      <w:marTop w:val="0"/>
                      <w:marBottom w:val="0"/>
                      <w:divBdr>
                        <w:top w:val="none" w:sz="0" w:space="0" w:color="auto"/>
                        <w:left w:val="none" w:sz="0" w:space="0" w:color="auto"/>
                        <w:bottom w:val="none" w:sz="0" w:space="0" w:color="auto"/>
                        <w:right w:val="none" w:sz="0" w:space="0" w:color="auto"/>
                      </w:divBdr>
                      <w:divsChild>
                        <w:div w:id="539634104">
                          <w:marLeft w:val="75"/>
                          <w:marRight w:val="150"/>
                          <w:marTop w:val="0"/>
                          <w:marBottom w:val="450"/>
                          <w:divBdr>
                            <w:top w:val="none" w:sz="0" w:space="0" w:color="auto"/>
                            <w:left w:val="none" w:sz="0" w:space="0" w:color="auto"/>
                            <w:bottom w:val="none" w:sz="0" w:space="0" w:color="auto"/>
                            <w:right w:val="none" w:sz="0" w:space="0" w:color="auto"/>
                          </w:divBdr>
                          <w:divsChild>
                            <w:div w:id="407075714">
                              <w:marLeft w:val="0"/>
                              <w:marRight w:val="0"/>
                              <w:marTop w:val="0"/>
                              <w:marBottom w:val="0"/>
                              <w:divBdr>
                                <w:top w:val="none" w:sz="0" w:space="0" w:color="auto"/>
                                <w:left w:val="none" w:sz="0" w:space="0" w:color="auto"/>
                                <w:bottom w:val="none" w:sz="0" w:space="0" w:color="auto"/>
                                <w:right w:val="none" w:sz="0" w:space="0" w:color="auto"/>
                              </w:divBdr>
                            </w:div>
                            <w:div w:id="1691565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F3ED-BE09-4AAC-9C1A-D4110027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212</Words>
  <Characters>1215</Characters>
  <Application>Microsoft Office Word</Application>
  <DocSecurity>0</DocSecurity>
  <Lines>10</Lines>
  <Paragraphs>2</Paragraphs>
  <ScaleCrop>false</ScaleCrop>
  <Company>P R C</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zhangye</cp:lastModifiedBy>
  <cp:revision>66</cp:revision>
  <dcterms:created xsi:type="dcterms:W3CDTF">2016-07-27T01:11:00Z</dcterms:created>
  <dcterms:modified xsi:type="dcterms:W3CDTF">2016-09-21T03:23:00Z</dcterms:modified>
</cp:coreProperties>
</file>