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DF" w:rsidRDefault="00606DBC" w:rsidP="00606DBC">
      <w:pPr>
        <w:tabs>
          <w:tab w:val="left" w:pos="1095"/>
          <w:tab w:val="center" w:pos="4153"/>
        </w:tabs>
        <w:spacing w:line="360" w:lineRule="auto"/>
        <w:jc w:val="left"/>
        <w:rPr>
          <w:rFonts w:ascii="Times New Roman" w:eastAsia="宋体" w:hAnsi="Times New Roman" w:cs="Times New Roman"/>
          <w:b/>
          <w:sz w:val="32"/>
          <w:szCs w:val="24"/>
        </w:rPr>
      </w:pPr>
      <w:r>
        <w:rPr>
          <w:rFonts w:ascii="Times New Roman" w:eastAsia="宋体" w:hAnsi="Times New Roman" w:cs="Times New Roman"/>
          <w:b/>
          <w:sz w:val="32"/>
          <w:szCs w:val="24"/>
        </w:rPr>
        <w:tab/>
      </w:r>
      <w:r>
        <w:rPr>
          <w:rFonts w:ascii="Times New Roman" w:eastAsia="宋体" w:hAnsi="Times New Roman" w:cs="Times New Roman"/>
          <w:b/>
          <w:sz w:val="32"/>
          <w:szCs w:val="24"/>
        </w:rPr>
        <w:tab/>
      </w:r>
      <w:r w:rsidR="00624649" w:rsidRPr="0010160E">
        <w:rPr>
          <w:rFonts w:ascii="Times New Roman" w:eastAsia="宋体" w:hAnsi="Times New Roman" w:cs="Times New Roman"/>
          <w:b/>
          <w:sz w:val="32"/>
          <w:szCs w:val="24"/>
        </w:rPr>
        <w:t>华商基金管理有限公司</w:t>
      </w:r>
      <w:r w:rsidR="00ED2A67" w:rsidRPr="0010160E">
        <w:rPr>
          <w:rFonts w:ascii="Times New Roman" w:eastAsia="宋体" w:hAnsi="Times New Roman" w:cs="Times New Roman"/>
          <w:b/>
          <w:sz w:val="32"/>
          <w:szCs w:val="24"/>
        </w:rPr>
        <w:t>关于旗下基金</w:t>
      </w:r>
      <w:r w:rsidR="00DB22C7" w:rsidRPr="0010160E">
        <w:rPr>
          <w:rFonts w:ascii="Times New Roman" w:eastAsia="宋体" w:hAnsi="Times New Roman" w:cs="Times New Roman"/>
          <w:b/>
          <w:sz w:val="32"/>
          <w:szCs w:val="24"/>
        </w:rPr>
        <w:t>新增</w:t>
      </w:r>
    </w:p>
    <w:p w:rsidR="00F81393" w:rsidRDefault="00606DBC" w:rsidP="00606DBC">
      <w:pPr>
        <w:tabs>
          <w:tab w:val="center" w:pos="4153"/>
        </w:tabs>
        <w:spacing w:line="360" w:lineRule="auto"/>
        <w:rPr>
          <w:rFonts w:ascii="Times New Roman" w:eastAsia="宋体" w:hAnsi="Times New Roman" w:cs="Times New Roman"/>
          <w:b/>
          <w:sz w:val="32"/>
          <w:szCs w:val="24"/>
        </w:rPr>
      </w:pPr>
      <w:r>
        <w:rPr>
          <w:rFonts w:ascii="Times New Roman" w:eastAsia="宋体" w:hAnsi="Times New Roman" w:cs="Times New Roman"/>
          <w:b/>
          <w:sz w:val="32"/>
          <w:szCs w:val="24"/>
        </w:rPr>
        <w:tab/>
      </w:r>
      <w:r w:rsidR="00BB2B9D">
        <w:rPr>
          <w:rFonts w:ascii="Times New Roman" w:eastAsia="宋体" w:hAnsi="Times New Roman" w:cs="Times New Roman"/>
          <w:b/>
          <w:sz w:val="32"/>
          <w:szCs w:val="24"/>
        </w:rPr>
        <w:t>东莞农村商业银行股份有限公司</w:t>
      </w:r>
      <w:r w:rsidR="001217FF" w:rsidRPr="0010160E">
        <w:rPr>
          <w:rFonts w:ascii="Times New Roman" w:eastAsia="宋体" w:hAnsi="Times New Roman" w:cs="Times New Roman"/>
          <w:b/>
          <w:sz w:val="32"/>
          <w:szCs w:val="24"/>
        </w:rPr>
        <w:t>为代销</w:t>
      </w:r>
      <w:r w:rsidR="00DB22C7" w:rsidRPr="0010160E">
        <w:rPr>
          <w:rFonts w:ascii="Times New Roman" w:eastAsia="宋体" w:hAnsi="Times New Roman" w:cs="Times New Roman"/>
          <w:b/>
          <w:sz w:val="32"/>
          <w:szCs w:val="24"/>
        </w:rPr>
        <w:t>机构</w:t>
      </w:r>
    </w:p>
    <w:p w:rsidR="00602B5A" w:rsidRPr="0010160E" w:rsidRDefault="00DB22C7" w:rsidP="00F81393">
      <w:pPr>
        <w:spacing w:line="360" w:lineRule="auto"/>
        <w:jc w:val="center"/>
        <w:rPr>
          <w:rFonts w:ascii="Times New Roman" w:eastAsia="宋体" w:hAnsi="Times New Roman" w:cs="Times New Roman"/>
          <w:b/>
          <w:sz w:val="32"/>
          <w:szCs w:val="24"/>
        </w:rPr>
      </w:pPr>
      <w:r w:rsidRPr="0010160E">
        <w:rPr>
          <w:rFonts w:ascii="Times New Roman" w:eastAsia="宋体" w:hAnsi="Times New Roman" w:cs="Times New Roman"/>
          <w:b/>
          <w:sz w:val="32"/>
          <w:szCs w:val="24"/>
        </w:rPr>
        <w:t>并开通</w:t>
      </w:r>
      <w:r w:rsidR="008C207C">
        <w:rPr>
          <w:rFonts w:ascii="Times New Roman" w:eastAsia="宋体" w:hAnsi="Times New Roman" w:cs="Times New Roman"/>
          <w:b/>
          <w:sz w:val="32"/>
          <w:szCs w:val="24"/>
        </w:rPr>
        <w:t>基金转换</w:t>
      </w:r>
      <w:r w:rsidR="008C207C">
        <w:rPr>
          <w:rFonts w:ascii="Times New Roman" w:eastAsia="宋体" w:hAnsi="Times New Roman" w:cs="Times New Roman" w:hint="eastAsia"/>
          <w:b/>
          <w:sz w:val="32"/>
          <w:szCs w:val="24"/>
        </w:rPr>
        <w:t>、</w:t>
      </w:r>
      <w:r w:rsidR="006E01A3">
        <w:rPr>
          <w:rFonts w:ascii="Times New Roman" w:eastAsia="宋体" w:hAnsi="Times New Roman" w:cs="Times New Roman"/>
          <w:b/>
          <w:sz w:val="32"/>
          <w:szCs w:val="24"/>
        </w:rPr>
        <w:t>定期定额投资</w:t>
      </w:r>
      <w:r w:rsidR="000E40B7" w:rsidRPr="0010160E">
        <w:rPr>
          <w:rFonts w:ascii="Times New Roman" w:eastAsia="宋体" w:hAnsi="Times New Roman" w:cs="Times New Roman"/>
          <w:b/>
          <w:sz w:val="32"/>
          <w:szCs w:val="24"/>
        </w:rPr>
        <w:t>业务</w:t>
      </w:r>
      <w:r w:rsidR="009E0116" w:rsidRPr="0010160E">
        <w:rPr>
          <w:rFonts w:ascii="Times New Roman" w:eastAsia="宋体" w:hAnsi="Times New Roman" w:cs="Times New Roman"/>
          <w:b/>
          <w:sz w:val="32"/>
          <w:szCs w:val="24"/>
        </w:rPr>
        <w:t>的公告</w:t>
      </w:r>
    </w:p>
    <w:p w:rsidR="00624649" w:rsidRPr="0010160E" w:rsidRDefault="00624649" w:rsidP="00602B5A">
      <w:pPr>
        <w:spacing w:line="360" w:lineRule="auto"/>
        <w:jc w:val="center"/>
        <w:rPr>
          <w:rFonts w:ascii="Times New Roman" w:eastAsia="宋体" w:hAnsi="Times New Roman" w:cs="Times New Roman"/>
          <w:b/>
          <w:sz w:val="32"/>
          <w:szCs w:val="24"/>
        </w:rPr>
      </w:pPr>
    </w:p>
    <w:p w:rsidR="0077395F" w:rsidRDefault="009E0116" w:rsidP="00A11FE3">
      <w:pPr>
        <w:adjustRightInd w:val="0"/>
        <w:snapToGrid w:val="0"/>
        <w:spacing w:line="360" w:lineRule="auto"/>
        <w:ind w:firstLineChars="200" w:firstLine="480"/>
        <w:rPr>
          <w:rFonts w:ascii="Times New Roman" w:hAnsiTheme="minorEastAsia" w:cs="Times New Roman"/>
          <w:color w:val="000000"/>
          <w:sz w:val="24"/>
          <w:szCs w:val="24"/>
        </w:rPr>
      </w:pPr>
      <w:r w:rsidRPr="0010160E">
        <w:rPr>
          <w:rFonts w:ascii="Times New Roman" w:hAnsiTheme="minorEastAsia" w:cs="Times New Roman"/>
          <w:color w:val="000000"/>
          <w:sz w:val="24"/>
          <w:szCs w:val="24"/>
        </w:rPr>
        <w:t>为满足广大投资者的</w:t>
      </w:r>
      <w:r w:rsidR="004600B9">
        <w:rPr>
          <w:rFonts w:ascii="Times New Roman" w:hAnsiTheme="minorEastAsia" w:cs="Times New Roman"/>
          <w:color w:val="000000"/>
          <w:sz w:val="24"/>
          <w:szCs w:val="24"/>
        </w:rPr>
        <w:t>理财</w:t>
      </w:r>
      <w:r w:rsidRPr="0010160E">
        <w:rPr>
          <w:rFonts w:ascii="Times New Roman" w:hAnsiTheme="minorEastAsia" w:cs="Times New Roman"/>
          <w:color w:val="000000"/>
          <w:sz w:val="24"/>
          <w:szCs w:val="24"/>
        </w:rPr>
        <w:t>需求，</w:t>
      </w:r>
      <w:r w:rsidR="00ED2A67" w:rsidRPr="0010160E">
        <w:rPr>
          <w:rFonts w:ascii="Times New Roman" w:hAnsiTheme="minorEastAsia" w:cs="Times New Roman"/>
          <w:color w:val="000000"/>
          <w:sz w:val="24"/>
          <w:szCs w:val="24"/>
        </w:rPr>
        <w:t>华商基金管理有限公司（以下简称</w:t>
      </w:r>
      <w:r w:rsidR="00ED2A67" w:rsidRPr="0010160E">
        <w:rPr>
          <w:rFonts w:ascii="Times New Roman" w:hAnsi="Times New Roman" w:cs="Times New Roman"/>
          <w:color w:val="000000"/>
          <w:sz w:val="24"/>
          <w:szCs w:val="24"/>
        </w:rPr>
        <w:t>“</w:t>
      </w:r>
      <w:r w:rsidR="00ED2A67" w:rsidRPr="0010160E">
        <w:rPr>
          <w:rFonts w:ascii="Times New Roman" w:hAnsiTheme="minorEastAsia" w:cs="Times New Roman"/>
          <w:color w:val="000000"/>
          <w:sz w:val="24"/>
          <w:szCs w:val="24"/>
        </w:rPr>
        <w:t>本公司</w:t>
      </w:r>
      <w:r w:rsidR="00ED2A67" w:rsidRPr="0010160E">
        <w:rPr>
          <w:rFonts w:ascii="Times New Roman" w:hAnsi="Times New Roman" w:cs="Times New Roman"/>
          <w:color w:val="000000"/>
          <w:sz w:val="24"/>
          <w:szCs w:val="24"/>
        </w:rPr>
        <w:t>”</w:t>
      </w:r>
      <w:r w:rsidR="00A46B34">
        <w:rPr>
          <w:rFonts w:ascii="Times New Roman" w:hAnsi="Times New Roman" w:cs="Times New Roman" w:hint="eastAsia"/>
          <w:color w:val="000000"/>
          <w:sz w:val="24"/>
          <w:szCs w:val="24"/>
        </w:rPr>
        <w:t>）</w:t>
      </w:r>
      <w:r w:rsidR="00D07C2E" w:rsidRPr="0010160E">
        <w:rPr>
          <w:rFonts w:ascii="Times New Roman" w:hAnsiTheme="minorEastAsia" w:cs="Times New Roman"/>
          <w:color w:val="000000"/>
          <w:sz w:val="24"/>
          <w:szCs w:val="24"/>
        </w:rPr>
        <w:t>与</w:t>
      </w:r>
      <w:r w:rsidR="00BB2B9D">
        <w:rPr>
          <w:rFonts w:ascii="Times New Roman" w:hAnsiTheme="minorEastAsia" w:cs="Times New Roman"/>
          <w:color w:val="000000"/>
          <w:sz w:val="24"/>
          <w:szCs w:val="24"/>
        </w:rPr>
        <w:t>东莞农村商业银行股份有限公司</w:t>
      </w:r>
      <w:r w:rsidR="00ED2A67" w:rsidRPr="0010160E">
        <w:rPr>
          <w:rFonts w:ascii="Times New Roman" w:hAnsiTheme="minorEastAsia" w:cs="Times New Roman"/>
          <w:color w:val="000000"/>
          <w:sz w:val="24"/>
          <w:szCs w:val="24"/>
        </w:rPr>
        <w:t>（以下简称</w:t>
      </w:r>
      <w:r w:rsidR="00ED2A67" w:rsidRPr="0010160E">
        <w:rPr>
          <w:rFonts w:ascii="Times New Roman" w:hAnsi="Times New Roman" w:cs="Times New Roman"/>
          <w:color w:val="000000"/>
          <w:sz w:val="24"/>
          <w:szCs w:val="24"/>
        </w:rPr>
        <w:t>“</w:t>
      </w:r>
      <w:r w:rsidR="00BB2B9D">
        <w:rPr>
          <w:rFonts w:ascii="Times New Roman" w:hAnsiTheme="minorEastAsia" w:cs="Times New Roman"/>
          <w:color w:val="000000"/>
          <w:sz w:val="24"/>
          <w:szCs w:val="24"/>
        </w:rPr>
        <w:t>东莞农商行</w:t>
      </w:r>
      <w:r w:rsidR="00ED2A67" w:rsidRPr="0010160E">
        <w:rPr>
          <w:rFonts w:ascii="Times New Roman" w:hAnsi="Times New Roman" w:cs="Times New Roman"/>
          <w:color w:val="000000"/>
          <w:sz w:val="24"/>
          <w:szCs w:val="24"/>
        </w:rPr>
        <w:t>”</w:t>
      </w:r>
      <w:r w:rsidR="00ED2A67" w:rsidRPr="0010160E">
        <w:rPr>
          <w:rFonts w:ascii="Times New Roman" w:hAnsiTheme="minorEastAsia" w:cs="Times New Roman"/>
          <w:color w:val="000000"/>
          <w:sz w:val="24"/>
          <w:szCs w:val="24"/>
        </w:rPr>
        <w:t>）</w:t>
      </w:r>
      <w:r w:rsidRPr="0010160E">
        <w:rPr>
          <w:rFonts w:ascii="Times New Roman" w:hAnsiTheme="minorEastAsia" w:cs="Times New Roman"/>
          <w:color w:val="000000"/>
          <w:sz w:val="24"/>
          <w:szCs w:val="24"/>
        </w:rPr>
        <w:t>协商一致</w:t>
      </w:r>
      <w:r w:rsidR="00ED2A67" w:rsidRPr="0010160E">
        <w:rPr>
          <w:rFonts w:ascii="Times New Roman" w:hAnsiTheme="minorEastAsia" w:cs="Times New Roman"/>
          <w:color w:val="000000"/>
          <w:sz w:val="24"/>
          <w:szCs w:val="24"/>
        </w:rPr>
        <w:t>，</w:t>
      </w:r>
      <w:r w:rsidRPr="0010160E">
        <w:rPr>
          <w:rFonts w:ascii="Times New Roman" w:hAnsiTheme="minorEastAsia" w:cs="Times New Roman"/>
          <w:color w:val="000000"/>
          <w:sz w:val="24"/>
          <w:szCs w:val="24"/>
        </w:rPr>
        <w:t>决定</w:t>
      </w:r>
      <w:r w:rsidR="00ED2A67" w:rsidRPr="0010160E">
        <w:rPr>
          <w:rFonts w:ascii="Times New Roman" w:hAnsiTheme="minorEastAsia" w:cs="Times New Roman"/>
          <w:color w:val="000000"/>
          <w:sz w:val="24"/>
          <w:szCs w:val="24"/>
        </w:rPr>
        <w:t>自</w:t>
      </w:r>
      <w:r w:rsidR="00D07C2E" w:rsidRPr="0010160E">
        <w:rPr>
          <w:rFonts w:ascii="Times New Roman" w:hAnsi="Times New Roman" w:cs="Times New Roman"/>
          <w:color w:val="000000"/>
          <w:sz w:val="24"/>
          <w:szCs w:val="24"/>
        </w:rPr>
        <w:t>201</w:t>
      </w:r>
      <w:r w:rsidR="00211B0C">
        <w:rPr>
          <w:rFonts w:ascii="Times New Roman" w:hAnsi="Times New Roman" w:cs="Times New Roman" w:hint="eastAsia"/>
          <w:color w:val="000000"/>
          <w:sz w:val="24"/>
          <w:szCs w:val="24"/>
        </w:rPr>
        <w:t>6</w:t>
      </w:r>
      <w:r w:rsidR="00ED2A67" w:rsidRPr="0010160E">
        <w:rPr>
          <w:rFonts w:ascii="Times New Roman" w:hAnsiTheme="minorEastAsia" w:cs="Times New Roman"/>
          <w:color w:val="000000"/>
          <w:sz w:val="24"/>
          <w:szCs w:val="24"/>
        </w:rPr>
        <w:t>年</w:t>
      </w:r>
      <w:r w:rsidR="00590A84">
        <w:rPr>
          <w:rFonts w:ascii="Times New Roman" w:hAnsi="Times New Roman" w:cs="Times New Roman" w:hint="eastAsia"/>
          <w:color w:val="000000"/>
          <w:sz w:val="24"/>
          <w:szCs w:val="24"/>
        </w:rPr>
        <w:t>6</w:t>
      </w:r>
      <w:r w:rsidR="00ED2A67" w:rsidRPr="0010160E">
        <w:rPr>
          <w:rFonts w:ascii="Times New Roman" w:hAnsiTheme="minorEastAsia" w:cs="Times New Roman"/>
          <w:color w:val="000000"/>
          <w:sz w:val="24"/>
          <w:szCs w:val="24"/>
        </w:rPr>
        <w:t>月</w:t>
      </w:r>
      <w:r w:rsidR="00BB2B9D">
        <w:rPr>
          <w:rFonts w:ascii="Times New Roman" w:hAnsi="Times New Roman" w:cs="Times New Roman" w:hint="eastAsia"/>
          <w:color w:val="000000"/>
          <w:sz w:val="24"/>
          <w:szCs w:val="24"/>
        </w:rPr>
        <w:t>2</w:t>
      </w:r>
      <w:r w:rsidR="00BF3E88">
        <w:rPr>
          <w:rFonts w:ascii="Times New Roman" w:hAnsi="Times New Roman" w:cs="Times New Roman"/>
          <w:color w:val="000000"/>
          <w:sz w:val="24"/>
          <w:szCs w:val="24"/>
        </w:rPr>
        <w:t>4</w:t>
      </w:r>
      <w:r w:rsidR="00D07C2E" w:rsidRPr="0010160E">
        <w:rPr>
          <w:rFonts w:ascii="Times New Roman" w:hAnsiTheme="minorEastAsia" w:cs="Times New Roman"/>
          <w:color w:val="000000"/>
          <w:sz w:val="24"/>
          <w:szCs w:val="24"/>
        </w:rPr>
        <w:t>日起</w:t>
      </w:r>
      <w:r w:rsidRPr="0010160E">
        <w:rPr>
          <w:rFonts w:ascii="Times New Roman" w:hAnsiTheme="minorEastAsia" w:cs="Times New Roman"/>
          <w:color w:val="000000"/>
          <w:sz w:val="24"/>
          <w:szCs w:val="24"/>
        </w:rPr>
        <w:t>新增</w:t>
      </w:r>
      <w:r w:rsidR="00BB2B9D">
        <w:rPr>
          <w:rFonts w:ascii="Times New Roman" w:hAnsiTheme="minorEastAsia" w:cs="Times New Roman"/>
          <w:color w:val="000000"/>
          <w:sz w:val="24"/>
          <w:szCs w:val="24"/>
        </w:rPr>
        <w:t>东莞农商行</w:t>
      </w:r>
      <w:r w:rsidR="00ED2A67" w:rsidRPr="0010160E">
        <w:rPr>
          <w:rFonts w:ascii="Times New Roman" w:hAnsiTheme="minorEastAsia" w:cs="Times New Roman"/>
          <w:color w:val="000000"/>
          <w:sz w:val="24"/>
          <w:szCs w:val="24"/>
        </w:rPr>
        <w:t>代理本公司旗下基金的销售业务</w:t>
      </w:r>
      <w:r w:rsidR="0088625A" w:rsidRPr="0010160E">
        <w:rPr>
          <w:rFonts w:ascii="Times New Roman" w:hAnsiTheme="minorEastAsia" w:cs="Times New Roman"/>
          <w:color w:val="000000"/>
          <w:sz w:val="24"/>
          <w:szCs w:val="24"/>
        </w:rPr>
        <w:t>，</w:t>
      </w:r>
      <w:r w:rsidR="00A46B34">
        <w:rPr>
          <w:rFonts w:ascii="Times New Roman" w:hAnsiTheme="minorEastAsia" w:cs="Times New Roman" w:hint="eastAsia"/>
          <w:color w:val="000000"/>
          <w:sz w:val="24"/>
          <w:szCs w:val="24"/>
        </w:rPr>
        <w:t>投资者</w:t>
      </w:r>
      <w:r w:rsidR="001217FF" w:rsidRPr="0010160E">
        <w:rPr>
          <w:rFonts w:ascii="Times New Roman" w:hAnsiTheme="minorEastAsia" w:cs="Times New Roman"/>
          <w:color w:val="000000"/>
          <w:sz w:val="24"/>
          <w:szCs w:val="24"/>
        </w:rPr>
        <w:t>可在</w:t>
      </w:r>
      <w:r w:rsidR="00BB2B9D">
        <w:rPr>
          <w:rFonts w:ascii="Times New Roman" w:hAnsiTheme="minorEastAsia" w:cs="Times New Roman"/>
          <w:color w:val="000000"/>
          <w:sz w:val="24"/>
          <w:szCs w:val="24"/>
        </w:rPr>
        <w:t>东莞农商行</w:t>
      </w:r>
      <w:r w:rsidR="00FA10BB" w:rsidRPr="0010160E">
        <w:rPr>
          <w:rFonts w:ascii="Times New Roman" w:hAnsiTheme="minorEastAsia" w:cs="Times New Roman"/>
          <w:color w:val="000000"/>
          <w:sz w:val="24"/>
          <w:szCs w:val="24"/>
        </w:rPr>
        <w:t>办理</w:t>
      </w:r>
      <w:r w:rsidR="000E40B7" w:rsidRPr="0010160E">
        <w:rPr>
          <w:rFonts w:ascii="Times New Roman" w:hAnsiTheme="minorEastAsia" w:cs="Times New Roman"/>
          <w:color w:val="000000"/>
          <w:sz w:val="24"/>
          <w:szCs w:val="24"/>
        </w:rPr>
        <w:t>下述基金的开户</w:t>
      </w:r>
      <w:r w:rsidR="007A7845" w:rsidRPr="0010160E">
        <w:rPr>
          <w:rFonts w:ascii="Times New Roman" w:hAnsiTheme="minorEastAsia" w:cs="Times New Roman"/>
          <w:color w:val="000000"/>
          <w:sz w:val="24"/>
          <w:szCs w:val="24"/>
        </w:rPr>
        <w:t>、</w:t>
      </w:r>
      <w:r w:rsidR="000E40B7" w:rsidRPr="0010160E">
        <w:rPr>
          <w:rFonts w:ascii="Times New Roman" w:hAnsiTheme="minorEastAsia" w:cs="Times New Roman"/>
          <w:color w:val="000000"/>
          <w:sz w:val="24"/>
          <w:szCs w:val="24"/>
        </w:rPr>
        <w:t>申购、赎回、</w:t>
      </w:r>
      <w:r w:rsidR="008C207C">
        <w:rPr>
          <w:rFonts w:ascii="Times New Roman" w:hAnsiTheme="minorEastAsia" w:cs="Times New Roman"/>
          <w:color w:val="000000"/>
          <w:sz w:val="24"/>
          <w:szCs w:val="24"/>
        </w:rPr>
        <w:t>基金转换</w:t>
      </w:r>
      <w:r w:rsidR="008C207C">
        <w:rPr>
          <w:rFonts w:ascii="Times New Roman" w:hAnsiTheme="minorEastAsia" w:cs="Times New Roman" w:hint="eastAsia"/>
          <w:color w:val="000000"/>
          <w:sz w:val="24"/>
          <w:szCs w:val="24"/>
        </w:rPr>
        <w:t>、</w:t>
      </w:r>
      <w:r w:rsidR="006E01A3">
        <w:rPr>
          <w:rFonts w:ascii="Times New Roman" w:hAnsiTheme="minorEastAsia" w:cs="Times New Roman"/>
          <w:color w:val="000000"/>
          <w:sz w:val="24"/>
          <w:szCs w:val="24"/>
        </w:rPr>
        <w:t>定期定额投资等</w:t>
      </w:r>
      <w:r w:rsidR="00FA10BB" w:rsidRPr="0010160E">
        <w:rPr>
          <w:rFonts w:ascii="Times New Roman" w:hAnsiTheme="minorEastAsia" w:cs="Times New Roman"/>
          <w:color w:val="000000"/>
          <w:sz w:val="24"/>
          <w:szCs w:val="24"/>
        </w:rPr>
        <w:t>业务，</w:t>
      </w:r>
      <w:r w:rsidR="00AF66A0" w:rsidRPr="0010160E">
        <w:rPr>
          <w:rFonts w:ascii="Times New Roman" w:hAnsiTheme="minorEastAsia" w:cs="Times New Roman"/>
          <w:color w:val="000000"/>
          <w:sz w:val="24"/>
          <w:szCs w:val="24"/>
        </w:rPr>
        <w:t>相关事项</w:t>
      </w:r>
      <w:r w:rsidRPr="0010160E">
        <w:rPr>
          <w:rFonts w:ascii="Times New Roman" w:hAnsiTheme="minorEastAsia" w:cs="Times New Roman"/>
          <w:color w:val="000000"/>
          <w:sz w:val="24"/>
          <w:szCs w:val="24"/>
        </w:rPr>
        <w:t>具体规则如下</w:t>
      </w:r>
      <w:r w:rsidR="00AF66A0" w:rsidRPr="0010160E">
        <w:rPr>
          <w:rFonts w:ascii="Times New Roman" w:hAnsiTheme="minorEastAsia" w:cs="Times New Roman"/>
          <w:color w:val="000000"/>
          <w:sz w:val="24"/>
          <w:szCs w:val="24"/>
        </w:rPr>
        <w:t>：</w:t>
      </w:r>
    </w:p>
    <w:p w:rsidR="006A74E4" w:rsidRPr="0010160E" w:rsidRDefault="006A74E4" w:rsidP="00A11FE3">
      <w:pPr>
        <w:adjustRightInd w:val="0"/>
        <w:snapToGrid w:val="0"/>
        <w:spacing w:line="360" w:lineRule="auto"/>
        <w:ind w:firstLineChars="200" w:firstLine="480"/>
        <w:rPr>
          <w:rFonts w:ascii="Times New Roman" w:hAnsi="Times New Roman" w:cs="Times New Roman"/>
          <w:color w:val="000000"/>
          <w:sz w:val="24"/>
          <w:szCs w:val="24"/>
        </w:rPr>
      </w:pPr>
    </w:p>
    <w:p w:rsidR="00ED2A67" w:rsidRDefault="00ED2A67" w:rsidP="008D5191">
      <w:pPr>
        <w:adjustRightInd w:val="0"/>
        <w:snapToGrid w:val="0"/>
        <w:spacing w:line="360" w:lineRule="auto"/>
        <w:ind w:firstLineChars="200" w:firstLine="482"/>
        <w:rPr>
          <w:rFonts w:ascii="Times New Roman" w:hAnsiTheme="minorEastAsia" w:cs="Times New Roman"/>
          <w:b/>
          <w:color w:val="000000"/>
          <w:sz w:val="24"/>
          <w:szCs w:val="24"/>
        </w:rPr>
      </w:pPr>
      <w:r w:rsidRPr="0010160E">
        <w:rPr>
          <w:rFonts w:ascii="Times New Roman" w:hAnsiTheme="minorEastAsia" w:cs="Times New Roman"/>
          <w:b/>
          <w:color w:val="000000"/>
          <w:sz w:val="24"/>
          <w:szCs w:val="24"/>
        </w:rPr>
        <w:t>一、新增代销</w:t>
      </w:r>
      <w:r w:rsidR="0088625A" w:rsidRPr="0010160E">
        <w:rPr>
          <w:rFonts w:ascii="Times New Roman" w:hAnsiTheme="minorEastAsia" w:cs="Times New Roman"/>
          <w:b/>
          <w:color w:val="000000"/>
          <w:sz w:val="24"/>
          <w:szCs w:val="24"/>
        </w:rPr>
        <w:t>、</w:t>
      </w:r>
      <w:r w:rsidR="008C207C">
        <w:rPr>
          <w:rFonts w:ascii="Times New Roman" w:hAnsiTheme="minorEastAsia" w:cs="Times New Roman"/>
          <w:b/>
          <w:color w:val="000000"/>
          <w:sz w:val="24"/>
          <w:szCs w:val="24"/>
        </w:rPr>
        <w:t>开通转换</w:t>
      </w:r>
      <w:r w:rsidR="008C207C">
        <w:rPr>
          <w:rFonts w:ascii="Times New Roman" w:hAnsiTheme="minorEastAsia" w:cs="Times New Roman" w:hint="eastAsia"/>
          <w:b/>
          <w:color w:val="000000"/>
          <w:sz w:val="24"/>
          <w:szCs w:val="24"/>
        </w:rPr>
        <w:t>、</w:t>
      </w:r>
      <w:r w:rsidR="000E40B7" w:rsidRPr="0010160E">
        <w:rPr>
          <w:rFonts w:ascii="Times New Roman" w:hAnsiTheme="minorEastAsia" w:cs="Times New Roman"/>
          <w:b/>
          <w:color w:val="000000"/>
          <w:sz w:val="24"/>
          <w:szCs w:val="24"/>
        </w:rPr>
        <w:t>开通</w:t>
      </w:r>
      <w:r w:rsidR="003F6C0A">
        <w:rPr>
          <w:rFonts w:ascii="Times New Roman" w:hAnsiTheme="minorEastAsia" w:cs="Times New Roman"/>
          <w:b/>
          <w:color w:val="000000"/>
          <w:sz w:val="24"/>
          <w:szCs w:val="24"/>
        </w:rPr>
        <w:t>定期定额投资</w:t>
      </w:r>
      <w:r w:rsidRPr="0010160E">
        <w:rPr>
          <w:rFonts w:ascii="Times New Roman" w:hAnsiTheme="minorEastAsia" w:cs="Times New Roman"/>
          <w:b/>
          <w:color w:val="000000"/>
          <w:sz w:val="24"/>
          <w:szCs w:val="24"/>
        </w:rPr>
        <w:t>业务适用基金范围</w:t>
      </w:r>
    </w:p>
    <w:tbl>
      <w:tblPr>
        <w:tblW w:w="9087" w:type="dxa"/>
        <w:tblInd w:w="93" w:type="dxa"/>
        <w:tblLook w:val="04A0"/>
      </w:tblPr>
      <w:tblGrid>
        <w:gridCol w:w="1280"/>
        <w:gridCol w:w="2560"/>
        <w:gridCol w:w="5247"/>
      </w:tblGrid>
      <w:tr w:rsidR="00606DBC" w:rsidRPr="00606DBC" w:rsidTr="004246C0">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序号</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基金代码</w:t>
            </w:r>
          </w:p>
        </w:tc>
        <w:tc>
          <w:tcPr>
            <w:tcW w:w="5247"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基金名称</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630001</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华商领先企业混合型证券投资基金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630002</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华商盛世成长混合型证券投资基金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630003</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华商收益增强债券型证券投资基金A</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630103</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华商收益增强债券型证券投资基金B</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630005</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华商动态阿尔法灵活配置混合型证券投资基金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630006</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华商产业升级混合型证券投资基金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630007</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华商稳健双利债券型证券投资基金A</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630107</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华商稳健双利债券型证券投资基金B</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630008</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华商策略精选灵活配置混合型证券投资基金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10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630009</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华商稳定增利债券型证券投资基金A</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11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630109</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华商稳定增利债券型证券投资基金C</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12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166301</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081D92">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华商新趋势优选灵活配置混合型证券投资基金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630010</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华商价值精选混合型证券投资基金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14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630011</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华商主题精选混合型证券投资基金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15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630015</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proofErr w:type="gramStart"/>
            <w:r w:rsidRPr="00606DBC">
              <w:rPr>
                <w:rFonts w:ascii="宋体" w:eastAsia="宋体" w:hAnsi="宋体" w:cs="宋体" w:hint="eastAsia"/>
                <w:color w:val="000000"/>
                <w:kern w:val="0"/>
                <w:sz w:val="22"/>
              </w:rPr>
              <w:t>华商大盘</w:t>
            </w:r>
            <w:proofErr w:type="gramEnd"/>
            <w:r w:rsidRPr="00606DBC">
              <w:rPr>
                <w:rFonts w:ascii="宋体" w:eastAsia="宋体" w:hAnsi="宋体" w:cs="宋体" w:hint="eastAsia"/>
                <w:color w:val="000000"/>
                <w:kern w:val="0"/>
                <w:sz w:val="22"/>
              </w:rPr>
              <w:t>量化精选灵活配置混合型证券投资基金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16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630016</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华商价值共享灵活配置混合型发起式证券投资基金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FFC000"/>
                <w:kern w:val="0"/>
                <w:sz w:val="22"/>
              </w:rPr>
            </w:pPr>
            <w:r w:rsidRPr="00606DBC">
              <w:rPr>
                <w:rFonts w:ascii="宋体" w:eastAsia="宋体" w:hAnsi="宋体" w:cs="宋体" w:hint="eastAsia"/>
                <w:color w:val="000000"/>
                <w:kern w:val="0"/>
                <w:sz w:val="22"/>
              </w:rPr>
              <w:t>17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000279</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华商红利优选灵活配置混合型证券投资基金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18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000390</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华商优势行业灵活配置混合型证券投资基金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lastRenderedPageBreak/>
              <w:t>19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000463</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proofErr w:type="gramStart"/>
            <w:r w:rsidRPr="00606DBC">
              <w:rPr>
                <w:rFonts w:ascii="宋体" w:eastAsia="宋体" w:hAnsi="宋体" w:cs="宋体" w:hint="eastAsia"/>
                <w:color w:val="000000"/>
                <w:kern w:val="0"/>
                <w:sz w:val="22"/>
              </w:rPr>
              <w:t>华商双债</w:t>
            </w:r>
            <w:proofErr w:type="gramEnd"/>
            <w:r w:rsidRPr="00606DBC">
              <w:rPr>
                <w:rFonts w:ascii="宋体" w:eastAsia="宋体" w:hAnsi="宋体" w:cs="宋体" w:hint="eastAsia"/>
                <w:color w:val="000000"/>
                <w:kern w:val="0"/>
                <w:sz w:val="22"/>
              </w:rPr>
              <w:t>丰利债券型证券投资基金A</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000481</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proofErr w:type="gramStart"/>
            <w:r w:rsidRPr="00606DBC">
              <w:rPr>
                <w:rFonts w:ascii="宋体" w:eastAsia="宋体" w:hAnsi="宋体" w:cs="宋体" w:hint="eastAsia"/>
                <w:color w:val="000000"/>
                <w:kern w:val="0"/>
                <w:sz w:val="22"/>
              </w:rPr>
              <w:t>华商双债</w:t>
            </w:r>
            <w:proofErr w:type="gramEnd"/>
            <w:r w:rsidRPr="00606DBC">
              <w:rPr>
                <w:rFonts w:ascii="宋体" w:eastAsia="宋体" w:hAnsi="宋体" w:cs="宋体" w:hint="eastAsia"/>
                <w:color w:val="000000"/>
                <w:kern w:val="0"/>
                <w:sz w:val="22"/>
              </w:rPr>
              <w:t>丰利债券型证券投资基金C</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21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000541</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华商创新成长灵活配置混合型发起式证券投资基金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FFC000"/>
                <w:kern w:val="0"/>
                <w:sz w:val="22"/>
              </w:rPr>
            </w:pPr>
            <w:r w:rsidRPr="00BF3E88">
              <w:rPr>
                <w:rFonts w:ascii="宋体" w:eastAsia="宋体" w:hAnsi="宋体" w:cs="宋体" w:hint="eastAsia"/>
                <w:color w:val="000000"/>
                <w:kern w:val="0"/>
                <w:sz w:val="22"/>
              </w:rPr>
              <w:t>22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000609</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华商新量化灵活配置混合型证券投资基金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23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000654</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华商新锐产业灵活配置混合型证券投资基金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24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000800</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华商未来主题混合型证券投资基金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25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000937</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华商稳固添利债券型证券投资基金A</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26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000938</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华商稳固添利债券型证券投资基金C</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4246C0" w:rsidRDefault="00606DBC" w:rsidP="00606DBC">
            <w:pPr>
              <w:widowControl/>
              <w:jc w:val="center"/>
              <w:rPr>
                <w:rFonts w:ascii="宋体" w:eastAsia="宋体" w:hAnsi="宋体" w:cs="宋体"/>
                <w:kern w:val="0"/>
                <w:sz w:val="22"/>
              </w:rPr>
            </w:pPr>
            <w:r w:rsidRPr="004246C0">
              <w:rPr>
                <w:rFonts w:ascii="宋体" w:eastAsia="宋体" w:hAnsi="宋体" w:cs="宋体" w:hint="eastAsia"/>
                <w:kern w:val="0"/>
                <w:sz w:val="22"/>
              </w:rPr>
              <w:t>27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001106</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华商健康生活灵活配置混合型基金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28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001143</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华商量化进取灵活配置混合型证券投资基金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29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001448</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华商双翼平衡混合型证券投资基金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30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001457</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华商新常态灵活配置混合型证券投资基金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31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001449</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proofErr w:type="gramStart"/>
            <w:r w:rsidRPr="00606DBC">
              <w:rPr>
                <w:rFonts w:ascii="宋体" w:eastAsia="宋体" w:hAnsi="宋体" w:cs="宋体" w:hint="eastAsia"/>
                <w:color w:val="000000"/>
                <w:kern w:val="0"/>
                <w:sz w:val="22"/>
              </w:rPr>
              <w:t>华商双驱</w:t>
            </w:r>
            <w:proofErr w:type="gramEnd"/>
            <w:r w:rsidRPr="00606DBC">
              <w:rPr>
                <w:rFonts w:ascii="宋体" w:eastAsia="宋体" w:hAnsi="宋体" w:cs="宋体" w:hint="eastAsia"/>
                <w:color w:val="000000"/>
                <w:kern w:val="0"/>
                <w:sz w:val="22"/>
              </w:rPr>
              <w:t>优选灵活配置混合型证券投资基金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4246C0" w:rsidRDefault="00606DBC" w:rsidP="00606DBC">
            <w:pPr>
              <w:widowControl/>
              <w:jc w:val="center"/>
              <w:rPr>
                <w:rFonts w:ascii="宋体" w:eastAsia="宋体" w:hAnsi="宋体" w:cs="宋体"/>
                <w:kern w:val="0"/>
                <w:sz w:val="22"/>
              </w:rPr>
            </w:pPr>
            <w:r w:rsidRPr="004246C0">
              <w:rPr>
                <w:rFonts w:ascii="宋体" w:eastAsia="宋体" w:hAnsi="宋体" w:cs="宋体" w:hint="eastAsia"/>
                <w:kern w:val="0"/>
                <w:sz w:val="22"/>
              </w:rPr>
              <w:t>32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630012</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华商现金增利货币市场基金A</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33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630112</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华商现金增利货币市场基金</w:t>
            </w:r>
            <w:r w:rsidR="00B65028" w:rsidRPr="00B65028">
              <w:rPr>
                <w:rFonts w:ascii="宋体" w:eastAsia="宋体" w:hAnsi="宋体" w:cs="宋体"/>
                <w:color w:val="000000"/>
                <w:kern w:val="0"/>
                <w:sz w:val="22"/>
              </w:rPr>
              <w:t>B</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34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001751</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华商信用增强债券型证券投资基金A</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35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001752</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华商信用增强债券型证券投资基金C</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36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001723</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华商新动力灵活配置混合型证券投资基金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4246C0" w:rsidRDefault="00606DBC" w:rsidP="00606DBC">
            <w:pPr>
              <w:widowControl/>
              <w:jc w:val="center"/>
              <w:rPr>
                <w:rFonts w:ascii="宋体" w:eastAsia="宋体" w:hAnsi="宋体" w:cs="宋体"/>
                <w:kern w:val="0"/>
                <w:sz w:val="22"/>
              </w:rPr>
            </w:pPr>
            <w:r w:rsidRPr="004246C0">
              <w:rPr>
                <w:rFonts w:ascii="宋体" w:eastAsia="宋体" w:hAnsi="宋体" w:cs="宋体" w:hint="eastAsia"/>
                <w:kern w:val="0"/>
                <w:sz w:val="22"/>
              </w:rPr>
              <w:t>37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001822</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华商智能生活灵活配置混合型证券投资基金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38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001959</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华商乐享互联灵活配置混合型证券投资基金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39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001933</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华商新兴活力灵活配置混合型证券投资基金</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40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002596</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891664"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华商保本1号混合型证券投资基金</w:t>
            </w:r>
          </w:p>
          <w:p w:rsidR="00606DBC" w:rsidRPr="00606DBC" w:rsidRDefault="004246C0" w:rsidP="00606DB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（本基金处于封闭期）</w:t>
            </w:r>
          </w:p>
        </w:tc>
      </w:tr>
      <w:tr w:rsidR="00606DBC" w:rsidRPr="00606DBC" w:rsidTr="004246C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41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606DBC" w:rsidRPr="00606DBC" w:rsidRDefault="00606DBC" w:rsidP="00606DBC">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002669</w:t>
            </w:r>
          </w:p>
        </w:tc>
        <w:tc>
          <w:tcPr>
            <w:tcW w:w="5247" w:type="dxa"/>
            <w:tcBorders>
              <w:top w:val="single" w:sz="4" w:space="0" w:color="auto"/>
              <w:left w:val="nil"/>
              <w:bottom w:val="single" w:sz="4" w:space="0" w:color="auto"/>
              <w:right w:val="single" w:sz="4" w:space="0" w:color="000000"/>
            </w:tcBorders>
            <w:shd w:val="clear" w:color="auto" w:fill="auto"/>
            <w:noWrap/>
            <w:vAlign w:val="center"/>
            <w:hideMark/>
          </w:tcPr>
          <w:p w:rsidR="00606DBC" w:rsidRPr="00606DBC" w:rsidRDefault="00606DBC" w:rsidP="00FB39C3">
            <w:pPr>
              <w:widowControl/>
              <w:jc w:val="center"/>
              <w:rPr>
                <w:rFonts w:ascii="宋体" w:eastAsia="宋体" w:hAnsi="宋体" w:cs="宋体"/>
                <w:color w:val="000000"/>
                <w:kern w:val="0"/>
                <w:sz w:val="22"/>
              </w:rPr>
            </w:pPr>
            <w:r w:rsidRPr="00606DBC">
              <w:rPr>
                <w:rFonts w:ascii="宋体" w:eastAsia="宋体" w:hAnsi="宋体" w:cs="宋体" w:hint="eastAsia"/>
                <w:color w:val="000000"/>
                <w:kern w:val="0"/>
                <w:sz w:val="22"/>
              </w:rPr>
              <w:t>华商万众创新灵活配置混合型证券投资基金</w:t>
            </w:r>
            <w:r w:rsidR="00891664">
              <w:rPr>
                <w:rFonts w:ascii="宋体" w:eastAsia="宋体" w:hAnsi="宋体" w:cs="宋体" w:hint="eastAsia"/>
                <w:color w:val="000000"/>
                <w:kern w:val="0"/>
                <w:sz w:val="22"/>
              </w:rPr>
              <w:t>（本基金发行期：2016年</w:t>
            </w:r>
            <w:r w:rsidR="00891664" w:rsidRPr="00891664">
              <w:rPr>
                <w:rFonts w:ascii="宋体" w:eastAsia="宋体" w:hAnsi="宋体" w:cs="宋体" w:hint="eastAsia"/>
                <w:color w:val="000000"/>
                <w:kern w:val="0"/>
                <w:sz w:val="22"/>
              </w:rPr>
              <w:t>5月26日—2016年6月24日</w:t>
            </w:r>
            <w:r w:rsidR="00891664">
              <w:rPr>
                <w:rFonts w:ascii="宋体" w:eastAsia="宋体" w:hAnsi="宋体" w:cs="宋体" w:hint="eastAsia"/>
                <w:color w:val="000000"/>
                <w:kern w:val="0"/>
                <w:sz w:val="22"/>
              </w:rPr>
              <w:t>）</w:t>
            </w:r>
          </w:p>
        </w:tc>
      </w:tr>
    </w:tbl>
    <w:p w:rsidR="008C207C" w:rsidRPr="00C278DF" w:rsidRDefault="008C207C" w:rsidP="00C278DF">
      <w:pPr>
        <w:adjustRightInd w:val="0"/>
        <w:snapToGrid w:val="0"/>
        <w:spacing w:line="360" w:lineRule="auto"/>
        <w:jc w:val="left"/>
        <w:rPr>
          <w:rFonts w:ascii="宋体" w:eastAsia="宋体" w:hAnsi="宋体" w:cs="宋体"/>
          <w:color w:val="000000"/>
          <w:kern w:val="0"/>
          <w:sz w:val="22"/>
        </w:rPr>
      </w:pPr>
      <w:bookmarkStart w:id="0" w:name="_GoBack"/>
      <w:bookmarkEnd w:id="0"/>
      <w:r w:rsidRPr="00C278DF">
        <w:rPr>
          <w:rFonts w:ascii="宋体" w:eastAsia="宋体" w:hAnsi="宋体" w:cs="宋体" w:hint="eastAsia"/>
          <w:color w:val="000000"/>
          <w:kern w:val="0"/>
          <w:sz w:val="22"/>
        </w:rPr>
        <w:t>注：</w:t>
      </w:r>
      <w:r w:rsidR="00081D92" w:rsidRPr="00C278DF">
        <w:rPr>
          <w:rFonts w:ascii="宋体" w:eastAsia="宋体" w:hAnsi="宋体" w:cs="宋体" w:hint="eastAsia"/>
          <w:color w:val="000000"/>
          <w:kern w:val="0"/>
          <w:sz w:val="22"/>
        </w:rPr>
        <w:t>华商新趋势优选灵活配置混合型证券投资基金暂未开通转换业务，</w:t>
      </w:r>
      <w:r w:rsidRPr="00C278DF">
        <w:rPr>
          <w:rFonts w:ascii="宋体" w:eastAsia="宋体" w:hAnsi="宋体" w:cs="宋体" w:hint="eastAsia"/>
          <w:color w:val="000000"/>
          <w:kern w:val="0"/>
          <w:sz w:val="22"/>
        </w:rPr>
        <w:t>同一基金不同类别之间不能互相转换。</w:t>
      </w:r>
    </w:p>
    <w:p w:rsidR="00956BAE" w:rsidRPr="008C207C" w:rsidRDefault="00956BAE" w:rsidP="00590A84">
      <w:pPr>
        <w:adjustRightInd w:val="0"/>
        <w:snapToGrid w:val="0"/>
        <w:spacing w:line="360" w:lineRule="auto"/>
        <w:rPr>
          <w:rFonts w:ascii="Times New Roman" w:hAnsiTheme="minorEastAsia" w:cs="Times New Roman"/>
          <w:color w:val="000000"/>
          <w:sz w:val="24"/>
          <w:szCs w:val="24"/>
        </w:rPr>
      </w:pPr>
    </w:p>
    <w:p w:rsidR="008C207C" w:rsidRPr="0010160E" w:rsidRDefault="008C207C" w:rsidP="008C207C">
      <w:pPr>
        <w:adjustRightInd w:val="0"/>
        <w:snapToGrid w:val="0"/>
        <w:spacing w:line="360" w:lineRule="auto"/>
        <w:ind w:firstLineChars="200" w:firstLine="482"/>
        <w:rPr>
          <w:rFonts w:ascii="Times New Roman" w:hAnsi="Times New Roman" w:cs="Times New Roman"/>
          <w:b/>
          <w:color w:val="000000"/>
          <w:sz w:val="24"/>
          <w:szCs w:val="24"/>
        </w:rPr>
      </w:pPr>
      <w:r w:rsidRPr="0010160E">
        <w:rPr>
          <w:rFonts w:ascii="Times New Roman" w:hAnsiTheme="minorEastAsia" w:cs="Times New Roman"/>
          <w:b/>
          <w:color w:val="000000"/>
          <w:sz w:val="24"/>
          <w:szCs w:val="24"/>
        </w:rPr>
        <w:t>二、基金转换业务</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imes New Roman" w:cs="Times New Roman"/>
          <w:color w:val="000000"/>
          <w:sz w:val="24"/>
          <w:szCs w:val="24"/>
        </w:rPr>
        <w:t>1</w:t>
      </w:r>
      <w:r w:rsidRPr="0010160E">
        <w:rPr>
          <w:rFonts w:ascii="Times New Roman" w:hAnsiTheme="minorEastAsia" w:cs="Times New Roman"/>
          <w:color w:val="000000"/>
          <w:sz w:val="24"/>
          <w:szCs w:val="24"/>
        </w:rPr>
        <w:t>、投资者在办理上述基金的</w:t>
      </w:r>
      <w:r>
        <w:rPr>
          <w:rFonts w:ascii="Times New Roman" w:hAnsiTheme="minorEastAsia" w:cs="Times New Roman" w:hint="eastAsia"/>
          <w:color w:val="000000"/>
          <w:sz w:val="24"/>
          <w:szCs w:val="24"/>
        </w:rPr>
        <w:t>基金</w:t>
      </w:r>
      <w:r w:rsidRPr="0010160E">
        <w:rPr>
          <w:rFonts w:ascii="Times New Roman" w:hAnsiTheme="minorEastAsia" w:cs="Times New Roman"/>
          <w:color w:val="000000"/>
          <w:sz w:val="24"/>
          <w:szCs w:val="24"/>
        </w:rPr>
        <w:t>转换业务时，应留意</w:t>
      </w:r>
      <w:r w:rsidR="00BB2B9D">
        <w:rPr>
          <w:rFonts w:ascii="Times New Roman" w:hAnsiTheme="minorEastAsia" w:cs="Times New Roman"/>
          <w:color w:val="000000"/>
          <w:sz w:val="24"/>
          <w:szCs w:val="24"/>
        </w:rPr>
        <w:t>东莞农商行</w:t>
      </w:r>
      <w:r w:rsidRPr="0010160E">
        <w:rPr>
          <w:rFonts w:ascii="Times New Roman" w:hAnsiTheme="minorEastAsia" w:cs="Times New Roman"/>
          <w:color w:val="000000"/>
          <w:sz w:val="24"/>
          <w:szCs w:val="24"/>
        </w:rPr>
        <w:t>相关公告，确认转出基金处于可赎回状态，转入基金处于可申购状态。</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imes New Roman" w:cs="Times New Roman"/>
          <w:color w:val="000000"/>
          <w:sz w:val="24"/>
          <w:szCs w:val="24"/>
        </w:rPr>
        <w:t>2</w:t>
      </w:r>
      <w:r w:rsidRPr="0010160E">
        <w:rPr>
          <w:rFonts w:ascii="Times New Roman" w:hAnsiTheme="minorEastAsia" w:cs="Times New Roman"/>
          <w:color w:val="000000"/>
          <w:sz w:val="24"/>
          <w:szCs w:val="24"/>
        </w:rPr>
        <w:t>、基金转换业务的费用</w:t>
      </w:r>
      <w:r w:rsidRPr="0010160E">
        <w:rPr>
          <w:rFonts w:ascii="Times New Roman" w:hAnsi="Times New Roman" w:cs="Times New Roman"/>
          <w:color w:val="000000"/>
          <w:sz w:val="24"/>
          <w:szCs w:val="24"/>
        </w:rPr>
        <w:t xml:space="preserve"> </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基金转换费用由转出和转入基金的申购费补差和转出基金的赎回费两部分构成，具体收取情况视每次转换时两只基金的申购费率差异情况和转出基金的赎</w:t>
      </w:r>
      <w:r w:rsidRPr="0010160E">
        <w:rPr>
          <w:rFonts w:ascii="Times New Roman" w:hAnsiTheme="minorEastAsia" w:cs="Times New Roman"/>
          <w:color w:val="000000"/>
          <w:sz w:val="24"/>
          <w:szCs w:val="24"/>
        </w:rPr>
        <w:lastRenderedPageBreak/>
        <w:t>回费率而定。基金转换费用由基金</w:t>
      </w:r>
      <w:r>
        <w:rPr>
          <w:rFonts w:ascii="Times New Roman" w:hAnsiTheme="minorEastAsia" w:cs="Times New Roman" w:hint="eastAsia"/>
          <w:color w:val="000000"/>
          <w:sz w:val="24"/>
          <w:szCs w:val="24"/>
        </w:rPr>
        <w:t>份额</w:t>
      </w:r>
      <w:r w:rsidRPr="0010160E">
        <w:rPr>
          <w:rFonts w:ascii="Times New Roman" w:hAnsiTheme="minorEastAsia" w:cs="Times New Roman"/>
          <w:color w:val="000000"/>
          <w:sz w:val="24"/>
          <w:szCs w:val="24"/>
        </w:rPr>
        <w:t>持有人承担。</w:t>
      </w:r>
    </w:p>
    <w:p w:rsidR="008C207C" w:rsidRDefault="008C207C" w:rsidP="008C207C">
      <w:pPr>
        <w:adjustRightInd w:val="0"/>
        <w:snapToGrid w:val="0"/>
        <w:spacing w:line="360" w:lineRule="auto"/>
        <w:ind w:firstLineChars="200" w:firstLine="480"/>
        <w:rPr>
          <w:rFonts w:ascii="Times New Roman" w:hAnsiTheme="minorEastAsia" w:cs="Times New Roman"/>
          <w:color w:val="000000"/>
          <w:sz w:val="24"/>
          <w:szCs w:val="24"/>
        </w:rPr>
      </w:pPr>
      <w:r w:rsidRPr="0010160E">
        <w:rPr>
          <w:rFonts w:ascii="Times New Roman" w:hAnsiTheme="minorEastAsia" w:cs="Times New Roman"/>
          <w:color w:val="000000"/>
          <w:sz w:val="24"/>
          <w:szCs w:val="24"/>
        </w:rPr>
        <w:t>计算基金转换费用所涉及的申购费率和赎回费率均按基金合同、更新的招募说明书和公司最新公告中规定的费率执行。</w:t>
      </w:r>
    </w:p>
    <w:p w:rsidR="008C207C" w:rsidRPr="000E4C9C" w:rsidRDefault="008C207C" w:rsidP="008C207C">
      <w:pPr>
        <w:adjustRightInd w:val="0"/>
        <w:snapToGrid w:val="0"/>
        <w:spacing w:line="360" w:lineRule="auto"/>
        <w:ind w:firstLineChars="200" w:firstLine="480"/>
        <w:rPr>
          <w:rFonts w:ascii="Times New Roman" w:hAnsiTheme="minorEastAsia" w:cs="Times New Roman"/>
          <w:color w:val="000000"/>
          <w:sz w:val="24"/>
          <w:szCs w:val="24"/>
        </w:rPr>
      </w:pPr>
      <w:r w:rsidRPr="000E4C9C">
        <w:rPr>
          <w:rFonts w:ascii="Times New Roman" w:hAnsiTheme="minorEastAsia" w:cs="Times New Roman"/>
          <w:color w:val="000000"/>
          <w:sz w:val="24"/>
          <w:szCs w:val="24"/>
        </w:rPr>
        <w:t>3</w:t>
      </w:r>
      <w:r w:rsidRPr="000E4C9C">
        <w:rPr>
          <w:rFonts w:ascii="Times New Roman" w:hAnsiTheme="minorEastAsia" w:cs="Times New Roman" w:hint="eastAsia"/>
          <w:color w:val="000000"/>
          <w:sz w:val="24"/>
          <w:szCs w:val="24"/>
        </w:rPr>
        <w:t>、</w:t>
      </w:r>
      <w:r w:rsidRPr="000E4C9C">
        <w:rPr>
          <w:rFonts w:ascii="Times New Roman" w:hAnsiTheme="minorEastAsia" w:cs="Times New Roman"/>
          <w:color w:val="000000"/>
          <w:sz w:val="24"/>
          <w:szCs w:val="24"/>
        </w:rPr>
        <w:t>暂停基金转换的情形及处理</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出现下列情况之一时，基金管理人可以暂停接受基金份额持有人的基金转换申请：</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1</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不可抗力的原因导致基金无法正常运作。</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2</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证券交易场所在交易时间非正常停市，导致基金管理人无法计算当日基金资产净值。</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3</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因市场剧烈波动或其它原因而出现连续巨额赎回，基金管理人认为有必要暂停接受该基金份额的转出申请。</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4</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基金管理人认为会有损于现有基金份额持有人利益的某笔转入或某笔转出。</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5</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发生基金合同规定的暂停基金资产估值情况。</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6</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基金资产规模过大，使基金管理人无法找到合适的投资品种，或可能对基金业绩产生负面影响，从而损害现有基金份额持有人的利益。</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7</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法律法规规定或经中国证监会认定的其他情形。</w:t>
      </w:r>
    </w:p>
    <w:p w:rsidR="008C207C" w:rsidRPr="0010160E" w:rsidRDefault="008C207C" w:rsidP="008C207C">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基金暂停转换或暂停后重新开放转换时，基金管理人应立即向中国证监会备案并在至少一种中国证监会指定的信息披露媒体上公告。</w:t>
      </w:r>
    </w:p>
    <w:p w:rsidR="008C207C" w:rsidRPr="008C207C" w:rsidRDefault="008C207C" w:rsidP="00590A84">
      <w:pPr>
        <w:adjustRightInd w:val="0"/>
        <w:snapToGrid w:val="0"/>
        <w:spacing w:line="360" w:lineRule="auto"/>
        <w:rPr>
          <w:rFonts w:ascii="Times New Roman" w:hAnsiTheme="minorEastAsia" w:cs="Times New Roman"/>
          <w:color w:val="000000"/>
          <w:sz w:val="24"/>
          <w:szCs w:val="24"/>
        </w:rPr>
      </w:pPr>
    </w:p>
    <w:p w:rsidR="00326654" w:rsidRDefault="008C207C" w:rsidP="008D5191">
      <w:pPr>
        <w:pStyle w:val="a4"/>
        <w:spacing w:line="301" w:lineRule="atLeast"/>
        <w:ind w:firstLineChars="200" w:firstLine="482"/>
        <w:rPr>
          <w:rStyle w:val="a5"/>
        </w:rPr>
      </w:pPr>
      <w:r>
        <w:rPr>
          <w:rStyle w:val="a5"/>
          <w:rFonts w:hint="eastAsia"/>
        </w:rPr>
        <w:t>三</w:t>
      </w:r>
      <w:r w:rsidR="00802E22" w:rsidRPr="00802E22">
        <w:rPr>
          <w:rStyle w:val="a5"/>
          <w:rFonts w:hint="eastAsia"/>
        </w:rPr>
        <w:t>、定期定额申购业务</w:t>
      </w:r>
    </w:p>
    <w:p w:rsidR="009C526C" w:rsidRPr="009C526C" w:rsidRDefault="009C526C" w:rsidP="009C526C">
      <w:pPr>
        <w:adjustRightInd w:val="0"/>
        <w:snapToGrid w:val="0"/>
        <w:spacing w:line="360" w:lineRule="auto"/>
        <w:ind w:firstLineChars="200" w:firstLine="480"/>
        <w:rPr>
          <w:rFonts w:ascii="Times New Roman" w:hAnsiTheme="minorEastAsia" w:cs="Times New Roman"/>
          <w:color w:val="000000"/>
          <w:sz w:val="24"/>
          <w:szCs w:val="24"/>
        </w:rPr>
      </w:pPr>
      <w:r w:rsidRPr="009C526C">
        <w:rPr>
          <w:rFonts w:ascii="Times New Roman" w:hAnsiTheme="minorEastAsia" w:cs="Times New Roman"/>
          <w:color w:val="000000"/>
          <w:sz w:val="24"/>
          <w:szCs w:val="24"/>
        </w:rPr>
        <w:t>1</w:t>
      </w:r>
      <w:r w:rsidRPr="009C526C">
        <w:rPr>
          <w:rFonts w:ascii="Times New Roman" w:hAnsiTheme="minorEastAsia" w:cs="Times New Roman" w:hint="eastAsia"/>
          <w:color w:val="000000"/>
          <w:sz w:val="24"/>
          <w:szCs w:val="24"/>
        </w:rPr>
        <w:t>、定期定额申购业务是基金申购业务的一种方式。投资者可以通过</w:t>
      </w:r>
      <w:r w:rsidR="00BB2B9D">
        <w:rPr>
          <w:rFonts w:ascii="Times New Roman" w:hAnsiTheme="minorEastAsia" w:cs="Times New Roman" w:hint="eastAsia"/>
          <w:color w:val="000000"/>
          <w:sz w:val="24"/>
          <w:szCs w:val="24"/>
        </w:rPr>
        <w:t>东莞农商行</w:t>
      </w:r>
      <w:r w:rsidRPr="009C526C">
        <w:rPr>
          <w:rFonts w:ascii="Times New Roman" w:hAnsiTheme="minorEastAsia" w:cs="Times New Roman" w:hint="eastAsia"/>
          <w:color w:val="000000"/>
          <w:sz w:val="24"/>
          <w:szCs w:val="24"/>
        </w:rPr>
        <w:t>提交申请，约定每期扣款时间、扣款金额及扣款方式，由</w:t>
      </w:r>
      <w:r w:rsidR="00BB2B9D">
        <w:rPr>
          <w:rFonts w:ascii="Times New Roman" w:hAnsiTheme="minorEastAsia" w:cs="Times New Roman" w:hint="eastAsia"/>
          <w:color w:val="000000"/>
          <w:sz w:val="24"/>
          <w:szCs w:val="24"/>
        </w:rPr>
        <w:t>东莞农商行</w:t>
      </w:r>
      <w:r w:rsidRPr="009C526C">
        <w:rPr>
          <w:rFonts w:ascii="Times New Roman" w:hAnsiTheme="minorEastAsia" w:cs="Times New Roman" w:hint="eastAsia"/>
          <w:color w:val="000000"/>
          <w:sz w:val="24"/>
          <w:szCs w:val="24"/>
        </w:rPr>
        <w:t>于约定扣款日在投资者指定资金账户内自动完成扣款及基金申购业务。投资者在办理相关基金定期定额投资业务的同时，仍然可以进行日常申购、赎回业务。</w:t>
      </w:r>
    </w:p>
    <w:p w:rsidR="00F04C93" w:rsidRPr="009C526C" w:rsidRDefault="009C526C" w:rsidP="009C526C">
      <w:pPr>
        <w:adjustRightInd w:val="0"/>
        <w:snapToGrid w:val="0"/>
        <w:spacing w:line="360" w:lineRule="auto"/>
        <w:ind w:firstLineChars="200" w:firstLine="480"/>
        <w:rPr>
          <w:rFonts w:ascii="Times New Roman" w:hAnsiTheme="minorEastAsia" w:cs="Times New Roman"/>
          <w:color w:val="000000"/>
          <w:sz w:val="24"/>
          <w:szCs w:val="24"/>
        </w:rPr>
      </w:pPr>
      <w:r w:rsidRPr="009C526C">
        <w:rPr>
          <w:rFonts w:ascii="Times New Roman" w:hAnsiTheme="minorEastAsia" w:cs="Times New Roman"/>
          <w:color w:val="000000"/>
          <w:sz w:val="24"/>
          <w:szCs w:val="24"/>
        </w:rPr>
        <w:t>2</w:t>
      </w:r>
      <w:r w:rsidRPr="009C526C">
        <w:rPr>
          <w:rFonts w:ascii="Times New Roman" w:hAnsiTheme="minorEastAsia" w:cs="Times New Roman" w:hint="eastAsia"/>
          <w:color w:val="000000"/>
          <w:sz w:val="24"/>
          <w:szCs w:val="24"/>
        </w:rPr>
        <w:t>、投资者办理本公司旗下基金的定期定额申购业务，相关流程和业务规则请遵循</w:t>
      </w:r>
      <w:r w:rsidR="00BB2B9D">
        <w:rPr>
          <w:rFonts w:ascii="Times New Roman" w:hAnsiTheme="minorEastAsia" w:cs="Times New Roman" w:hint="eastAsia"/>
          <w:color w:val="000000"/>
          <w:sz w:val="24"/>
          <w:szCs w:val="24"/>
        </w:rPr>
        <w:t>东莞农商行</w:t>
      </w:r>
      <w:r w:rsidRPr="009C526C">
        <w:rPr>
          <w:rFonts w:ascii="Times New Roman" w:hAnsiTheme="minorEastAsia" w:cs="Times New Roman" w:hint="eastAsia"/>
          <w:color w:val="000000"/>
          <w:sz w:val="24"/>
          <w:szCs w:val="24"/>
        </w:rPr>
        <w:t>的有关规定。</w:t>
      </w:r>
    </w:p>
    <w:p w:rsidR="000E40B7" w:rsidRPr="0010160E" w:rsidRDefault="000E40B7" w:rsidP="00F04C93">
      <w:pPr>
        <w:adjustRightInd w:val="0"/>
        <w:snapToGrid w:val="0"/>
        <w:spacing w:line="360" w:lineRule="auto"/>
        <w:ind w:firstLineChars="200" w:firstLine="420"/>
      </w:pPr>
    </w:p>
    <w:p w:rsidR="00ED2A67" w:rsidRPr="0010160E" w:rsidRDefault="008C207C" w:rsidP="008D5191">
      <w:pPr>
        <w:adjustRightInd w:val="0"/>
        <w:snapToGrid w:val="0"/>
        <w:spacing w:line="360" w:lineRule="auto"/>
        <w:ind w:firstLineChars="200" w:firstLine="482"/>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四</w:t>
      </w:r>
      <w:r w:rsidR="00ED2A67" w:rsidRPr="0010160E">
        <w:rPr>
          <w:rFonts w:ascii="Times New Roman" w:hAnsiTheme="minorEastAsia" w:cs="Times New Roman"/>
          <w:b/>
          <w:color w:val="000000"/>
          <w:sz w:val="24"/>
          <w:szCs w:val="24"/>
        </w:rPr>
        <w:t>、投资者可通过以下途径咨询有关情况</w:t>
      </w:r>
    </w:p>
    <w:p w:rsidR="00907F35" w:rsidRPr="006B2FD5" w:rsidRDefault="00907F35" w:rsidP="001217FF">
      <w:pPr>
        <w:adjustRightInd w:val="0"/>
        <w:snapToGrid w:val="0"/>
        <w:spacing w:line="360" w:lineRule="auto"/>
        <w:ind w:firstLineChars="200" w:firstLine="480"/>
        <w:rPr>
          <w:rFonts w:ascii="Times New Roman" w:hAnsiTheme="minorEastAsia" w:cs="Times New Roman"/>
          <w:color w:val="000000"/>
          <w:sz w:val="24"/>
          <w:szCs w:val="24"/>
        </w:rPr>
      </w:pPr>
      <w:r w:rsidRPr="006B2FD5">
        <w:rPr>
          <w:rFonts w:ascii="Times New Roman" w:hAnsiTheme="minorEastAsia" w:cs="Times New Roman"/>
          <w:color w:val="000000"/>
          <w:sz w:val="24"/>
          <w:szCs w:val="24"/>
        </w:rPr>
        <w:lastRenderedPageBreak/>
        <w:t>1</w:t>
      </w:r>
      <w:r w:rsidR="00F57933" w:rsidRPr="0010160E">
        <w:rPr>
          <w:rFonts w:ascii="Times New Roman" w:hAnsiTheme="minorEastAsia" w:cs="Times New Roman"/>
          <w:color w:val="000000"/>
          <w:sz w:val="24"/>
          <w:szCs w:val="24"/>
        </w:rPr>
        <w:t>、</w:t>
      </w:r>
      <w:r w:rsidR="00BB2B9D">
        <w:rPr>
          <w:rFonts w:ascii="Times New Roman" w:hAnsiTheme="minorEastAsia" w:cs="Times New Roman"/>
          <w:color w:val="000000"/>
          <w:sz w:val="24"/>
          <w:szCs w:val="24"/>
        </w:rPr>
        <w:t>东莞农村商业银行股份有限公司</w:t>
      </w:r>
    </w:p>
    <w:p w:rsidR="001217FF" w:rsidRPr="006B2FD5" w:rsidRDefault="001217FF" w:rsidP="006B2FD5">
      <w:pPr>
        <w:adjustRightInd w:val="0"/>
        <w:snapToGrid w:val="0"/>
        <w:spacing w:line="360" w:lineRule="auto"/>
        <w:ind w:firstLineChars="200" w:firstLine="480"/>
        <w:rPr>
          <w:rFonts w:ascii="Times New Roman" w:hAnsi="Times New Roman" w:cs="Times New Roman"/>
          <w:b/>
          <w:sz w:val="24"/>
          <w:szCs w:val="24"/>
        </w:rPr>
      </w:pPr>
      <w:r w:rsidRPr="006B2FD5">
        <w:rPr>
          <w:rFonts w:ascii="Times New Roman" w:hAnsiTheme="minorEastAsia" w:cs="Times New Roman"/>
          <w:color w:val="000000"/>
          <w:sz w:val="24"/>
          <w:szCs w:val="24"/>
        </w:rPr>
        <w:t>客服电话：</w:t>
      </w:r>
      <w:r w:rsidR="00FD416C" w:rsidRPr="00FD416C">
        <w:rPr>
          <w:rFonts w:ascii="Times New Roman" w:hAnsi="Times New Roman" w:cs="Times New Roman"/>
          <w:b/>
          <w:sz w:val="24"/>
          <w:szCs w:val="24"/>
        </w:rPr>
        <w:t>0769-961122</w:t>
      </w:r>
      <w:r w:rsidR="00FD416C">
        <w:rPr>
          <w:rFonts w:ascii="Times New Roman" w:hAnsiTheme="minorEastAsia" w:cs="Times New Roman"/>
          <w:color w:val="000000"/>
          <w:sz w:val="24"/>
          <w:szCs w:val="24"/>
        </w:rPr>
        <w:t xml:space="preserve"> </w:t>
      </w:r>
    </w:p>
    <w:p w:rsidR="007139E4" w:rsidRPr="006B2FD5" w:rsidRDefault="001217FF" w:rsidP="006B2FD5">
      <w:pPr>
        <w:adjustRightInd w:val="0"/>
        <w:snapToGrid w:val="0"/>
        <w:spacing w:line="360" w:lineRule="auto"/>
        <w:ind w:firstLineChars="200" w:firstLine="480"/>
        <w:rPr>
          <w:rFonts w:ascii="Times New Roman" w:hAnsi="Times New Roman" w:cs="Times New Roman"/>
          <w:b/>
          <w:sz w:val="24"/>
          <w:szCs w:val="24"/>
        </w:rPr>
      </w:pPr>
      <w:r w:rsidRPr="006B2FD5">
        <w:rPr>
          <w:rFonts w:ascii="Times New Roman" w:hAnsiTheme="minorEastAsia" w:cs="Times New Roman"/>
          <w:color w:val="000000"/>
          <w:sz w:val="24"/>
          <w:szCs w:val="24"/>
        </w:rPr>
        <w:t>公司网址</w:t>
      </w:r>
      <w:r w:rsidRPr="009779CE">
        <w:rPr>
          <w:rFonts w:ascii="Times New Roman" w:hAnsi="Times New Roman" w:cs="Times New Roman"/>
          <w:b/>
          <w:sz w:val="24"/>
          <w:szCs w:val="24"/>
        </w:rPr>
        <w:t>：</w:t>
      </w:r>
      <w:hyperlink r:id="rId8" w:history="1">
        <w:r w:rsidR="00FD416C" w:rsidRPr="001F7E64">
          <w:rPr>
            <w:rFonts w:ascii="Times New Roman" w:hAnsi="Times New Roman" w:cs="Times New Roman" w:hint="eastAsia"/>
            <w:b/>
            <w:sz w:val="24"/>
            <w:szCs w:val="24"/>
          </w:rPr>
          <w:t>www.</w:t>
        </w:r>
        <w:r w:rsidR="00FD416C" w:rsidRPr="001F7E64">
          <w:rPr>
            <w:rFonts w:ascii="Times New Roman" w:hAnsi="Times New Roman" w:cs="Times New Roman"/>
            <w:b/>
            <w:sz w:val="24"/>
            <w:szCs w:val="24"/>
          </w:rPr>
          <w:t>drcbank</w:t>
        </w:r>
        <w:r w:rsidR="00FD416C" w:rsidRPr="001F7E64">
          <w:rPr>
            <w:rFonts w:ascii="Times New Roman" w:hAnsi="Times New Roman" w:cs="Times New Roman" w:hint="eastAsia"/>
            <w:b/>
            <w:sz w:val="24"/>
            <w:szCs w:val="24"/>
          </w:rPr>
          <w:t>.com</w:t>
        </w:r>
      </w:hyperlink>
      <w:r w:rsidR="009779CE" w:rsidRPr="001F7E64">
        <w:rPr>
          <w:rFonts w:ascii="Times New Roman" w:hAnsi="Times New Roman" w:cs="Times New Roman"/>
          <w:b/>
          <w:sz w:val="24"/>
          <w:szCs w:val="24"/>
        </w:rPr>
        <w:t xml:space="preserve"> </w:t>
      </w:r>
      <w:r w:rsidR="009779CE" w:rsidRPr="001F7E64">
        <w:rPr>
          <w:rFonts w:ascii="Times New Roman" w:hAnsi="Times New Roman" w:cs="Times New Roman" w:hint="eastAsia"/>
          <w:b/>
          <w:sz w:val="24"/>
          <w:szCs w:val="24"/>
        </w:rPr>
        <w:t xml:space="preserve">  </w:t>
      </w:r>
    </w:p>
    <w:p w:rsidR="00907F35" w:rsidRPr="0010160E"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imes New Roman" w:cs="Times New Roman"/>
          <w:color w:val="000000"/>
          <w:sz w:val="24"/>
          <w:szCs w:val="24"/>
        </w:rPr>
        <w:t>2</w:t>
      </w:r>
      <w:r w:rsidRPr="0010160E">
        <w:rPr>
          <w:rFonts w:ascii="Times New Roman" w:hAnsiTheme="minorEastAsia" w:cs="Times New Roman"/>
          <w:color w:val="000000"/>
          <w:sz w:val="24"/>
          <w:szCs w:val="24"/>
        </w:rPr>
        <w:t>、华商基金管理有公司</w:t>
      </w:r>
    </w:p>
    <w:p w:rsidR="00907F35" w:rsidRPr="0010160E" w:rsidRDefault="00907F35" w:rsidP="00907F35">
      <w:pPr>
        <w:adjustRightInd w:val="0"/>
        <w:snapToGrid w:val="0"/>
        <w:spacing w:line="360" w:lineRule="auto"/>
        <w:ind w:firstLineChars="200" w:firstLine="480"/>
        <w:rPr>
          <w:rFonts w:ascii="Times New Roman" w:hAnsi="Times New Roman" w:cs="Times New Roman"/>
          <w:b/>
          <w:color w:val="000000"/>
          <w:sz w:val="24"/>
          <w:szCs w:val="24"/>
        </w:rPr>
      </w:pPr>
      <w:r w:rsidRPr="0010160E">
        <w:rPr>
          <w:rFonts w:ascii="Times New Roman" w:hAnsiTheme="minorEastAsia" w:cs="Times New Roman"/>
          <w:color w:val="000000"/>
          <w:sz w:val="24"/>
          <w:szCs w:val="24"/>
        </w:rPr>
        <w:t>客服电话：</w:t>
      </w:r>
      <w:r w:rsidR="00584BEF" w:rsidRPr="0010160E">
        <w:rPr>
          <w:rFonts w:ascii="Times New Roman" w:hAnsi="Times New Roman" w:cs="Times New Roman"/>
          <w:b/>
          <w:color w:val="000000"/>
          <w:sz w:val="24"/>
          <w:szCs w:val="24"/>
        </w:rPr>
        <w:t>400-700-8880</w:t>
      </w:r>
      <w:r w:rsidR="00584BEF" w:rsidRPr="0010160E">
        <w:rPr>
          <w:rFonts w:ascii="Times New Roman" w:hAnsiTheme="minorEastAsia" w:cs="Times New Roman"/>
          <w:b/>
          <w:color w:val="000000"/>
          <w:sz w:val="24"/>
          <w:szCs w:val="24"/>
        </w:rPr>
        <w:t>；</w:t>
      </w:r>
      <w:r w:rsidR="00584BEF" w:rsidRPr="0010160E">
        <w:rPr>
          <w:rFonts w:ascii="Times New Roman" w:hAnsi="Times New Roman" w:cs="Times New Roman"/>
          <w:b/>
          <w:color w:val="000000"/>
          <w:sz w:val="24"/>
          <w:szCs w:val="24"/>
        </w:rPr>
        <w:t>010-58573300</w:t>
      </w:r>
    </w:p>
    <w:p w:rsidR="00F31D9D" w:rsidRPr="0010160E" w:rsidRDefault="00907F35" w:rsidP="00F31D9D">
      <w:pPr>
        <w:adjustRightInd w:val="0"/>
        <w:snapToGrid w:val="0"/>
        <w:spacing w:line="360" w:lineRule="auto"/>
        <w:ind w:firstLineChars="200" w:firstLine="480"/>
        <w:rPr>
          <w:rFonts w:ascii="Times New Roman" w:hAnsi="Times New Roman" w:cs="Times New Roman"/>
          <w:b/>
          <w:sz w:val="24"/>
          <w:szCs w:val="24"/>
        </w:rPr>
      </w:pPr>
      <w:r w:rsidRPr="0010160E">
        <w:rPr>
          <w:rFonts w:ascii="Times New Roman" w:hAnsiTheme="minorEastAsia" w:cs="Times New Roman"/>
          <w:color w:val="000000"/>
          <w:sz w:val="24"/>
          <w:szCs w:val="24"/>
        </w:rPr>
        <w:t>公司网址：</w:t>
      </w:r>
      <w:r w:rsidR="00F819FC" w:rsidRPr="0010160E">
        <w:rPr>
          <w:rFonts w:ascii="Times New Roman" w:hAnsi="Times New Roman" w:cs="Times New Roman"/>
          <w:b/>
          <w:sz w:val="24"/>
          <w:szCs w:val="24"/>
        </w:rPr>
        <w:t xml:space="preserve">www.hsfund.com </w:t>
      </w:r>
    </w:p>
    <w:p w:rsidR="000E40B7" w:rsidRPr="0010160E" w:rsidRDefault="000E40B7" w:rsidP="008D5191">
      <w:pPr>
        <w:adjustRightInd w:val="0"/>
        <w:snapToGrid w:val="0"/>
        <w:spacing w:line="360" w:lineRule="auto"/>
        <w:ind w:firstLineChars="200" w:firstLine="482"/>
        <w:rPr>
          <w:rFonts w:ascii="Times New Roman" w:hAnsi="Times New Roman" w:cs="Times New Roman"/>
          <w:b/>
          <w:color w:val="000000"/>
          <w:sz w:val="24"/>
          <w:szCs w:val="24"/>
        </w:rPr>
      </w:pPr>
    </w:p>
    <w:p w:rsidR="00ED2A67" w:rsidRPr="0010160E" w:rsidRDefault="008C207C" w:rsidP="008D5191">
      <w:pPr>
        <w:adjustRightInd w:val="0"/>
        <w:snapToGrid w:val="0"/>
        <w:spacing w:line="360" w:lineRule="auto"/>
        <w:ind w:firstLineChars="200" w:firstLine="482"/>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五</w:t>
      </w:r>
      <w:r w:rsidR="00ED2A67" w:rsidRPr="0010160E">
        <w:rPr>
          <w:rFonts w:ascii="Times New Roman" w:hAnsiTheme="minorEastAsia" w:cs="Times New Roman"/>
          <w:b/>
          <w:color w:val="000000"/>
          <w:sz w:val="24"/>
          <w:szCs w:val="24"/>
        </w:rPr>
        <w:t>、风险提示</w:t>
      </w:r>
    </w:p>
    <w:p w:rsidR="00907F35" w:rsidRPr="0010160E"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基金管理人承诺以诚实信用、勤勉尽责的原则管理和运用基金资产，但不保证基金一定盈利，也不保证最低收益。投资者在投资本公司旗下基金前，请务必考虑自己的风险承受能力，在控制风险的前提下实现投资收益。投资有风险，选择须谨慎。敬请投资者于投资前认真阅读各基金的《基金合同》和《招募说明书》。</w:t>
      </w:r>
    </w:p>
    <w:p w:rsidR="00750BAD" w:rsidRPr="0010160E" w:rsidRDefault="00750BAD" w:rsidP="00907F35">
      <w:pPr>
        <w:adjustRightInd w:val="0"/>
        <w:snapToGrid w:val="0"/>
        <w:spacing w:line="360" w:lineRule="auto"/>
        <w:ind w:firstLineChars="200" w:firstLine="480"/>
        <w:rPr>
          <w:rFonts w:ascii="Times New Roman" w:hAnsi="Times New Roman" w:cs="Times New Roman"/>
          <w:color w:val="000000"/>
          <w:sz w:val="24"/>
          <w:szCs w:val="24"/>
        </w:rPr>
      </w:pPr>
    </w:p>
    <w:p w:rsidR="00907F35" w:rsidRPr="0010160E"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特此公告。</w:t>
      </w:r>
    </w:p>
    <w:p w:rsidR="00750BAD" w:rsidRPr="0010160E" w:rsidRDefault="00750BAD" w:rsidP="00907F35">
      <w:pPr>
        <w:adjustRightInd w:val="0"/>
        <w:snapToGrid w:val="0"/>
        <w:spacing w:line="360" w:lineRule="auto"/>
        <w:ind w:firstLineChars="200" w:firstLine="480"/>
        <w:rPr>
          <w:rFonts w:ascii="Times New Roman" w:hAnsi="Times New Roman" w:cs="Times New Roman"/>
          <w:color w:val="000000"/>
          <w:sz w:val="24"/>
          <w:szCs w:val="24"/>
        </w:rPr>
      </w:pPr>
    </w:p>
    <w:p w:rsidR="00907F35" w:rsidRPr="0010160E" w:rsidRDefault="00907F35" w:rsidP="00907F35">
      <w:pPr>
        <w:spacing w:line="360" w:lineRule="auto"/>
        <w:ind w:firstLineChars="200" w:firstLine="480"/>
        <w:jc w:val="right"/>
        <w:rPr>
          <w:rFonts w:ascii="Times New Roman" w:hAnsi="Times New Roman" w:cs="Times New Roman"/>
          <w:color w:val="000000"/>
          <w:sz w:val="24"/>
          <w:szCs w:val="24"/>
        </w:rPr>
      </w:pPr>
      <w:r w:rsidRPr="0010160E">
        <w:rPr>
          <w:rFonts w:ascii="Times New Roman" w:hAnsiTheme="minorEastAsia" w:cs="Times New Roman"/>
          <w:color w:val="000000"/>
          <w:sz w:val="24"/>
          <w:szCs w:val="24"/>
        </w:rPr>
        <w:t>华商基金管理有限公司</w:t>
      </w:r>
    </w:p>
    <w:p w:rsidR="00623DE7" w:rsidRPr="0010160E" w:rsidRDefault="00F57933">
      <w:pPr>
        <w:spacing w:line="360" w:lineRule="auto"/>
        <w:ind w:firstLineChars="200" w:firstLine="480"/>
        <w:jc w:val="right"/>
        <w:rPr>
          <w:rFonts w:ascii="Times New Roman" w:hAnsi="Times New Roman" w:cs="Times New Roman"/>
          <w:color w:val="000000"/>
          <w:sz w:val="24"/>
          <w:szCs w:val="24"/>
        </w:rPr>
      </w:pPr>
      <w:r w:rsidRPr="0010160E">
        <w:rPr>
          <w:rFonts w:ascii="Times New Roman" w:hAnsi="Times New Roman" w:cs="Times New Roman"/>
          <w:color w:val="000000"/>
          <w:sz w:val="24"/>
          <w:szCs w:val="24"/>
        </w:rPr>
        <w:t>201</w:t>
      </w:r>
      <w:r w:rsidR="00211B0C">
        <w:rPr>
          <w:rFonts w:ascii="Times New Roman" w:hAnsi="Times New Roman" w:cs="Times New Roman" w:hint="eastAsia"/>
          <w:color w:val="000000"/>
          <w:sz w:val="24"/>
          <w:szCs w:val="24"/>
        </w:rPr>
        <w:t>6</w:t>
      </w:r>
      <w:r w:rsidR="00907F35" w:rsidRPr="0010160E">
        <w:rPr>
          <w:rFonts w:ascii="Times New Roman" w:hAnsiTheme="minorEastAsia" w:cs="Times New Roman"/>
          <w:color w:val="000000"/>
          <w:sz w:val="24"/>
          <w:szCs w:val="24"/>
        </w:rPr>
        <w:t>年</w:t>
      </w:r>
      <w:r w:rsidR="00590A84">
        <w:rPr>
          <w:rFonts w:ascii="Times New Roman" w:hAnsi="Times New Roman" w:cs="Times New Roman" w:hint="eastAsia"/>
          <w:color w:val="000000"/>
          <w:sz w:val="24"/>
          <w:szCs w:val="24"/>
        </w:rPr>
        <w:t>6</w:t>
      </w:r>
      <w:r w:rsidR="00907F35" w:rsidRPr="0010160E">
        <w:rPr>
          <w:rFonts w:ascii="Times New Roman" w:hAnsiTheme="minorEastAsia" w:cs="Times New Roman"/>
          <w:color w:val="000000"/>
          <w:sz w:val="24"/>
          <w:szCs w:val="24"/>
        </w:rPr>
        <w:t>月</w:t>
      </w:r>
      <w:r w:rsidR="00BF3E88">
        <w:rPr>
          <w:rFonts w:ascii="Times New Roman" w:hAnsi="Times New Roman" w:cs="Times New Roman"/>
          <w:color w:val="000000"/>
          <w:sz w:val="24"/>
          <w:szCs w:val="24"/>
        </w:rPr>
        <w:t>24</w:t>
      </w:r>
      <w:r w:rsidR="00907F35" w:rsidRPr="0010160E">
        <w:rPr>
          <w:rFonts w:ascii="Times New Roman" w:hAnsiTheme="minorEastAsia" w:cs="Times New Roman"/>
          <w:color w:val="000000"/>
          <w:sz w:val="24"/>
          <w:szCs w:val="24"/>
        </w:rPr>
        <w:t>日</w:t>
      </w:r>
    </w:p>
    <w:p w:rsidR="00900302" w:rsidRPr="0010160E" w:rsidRDefault="00900302" w:rsidP="00907F35">
      <w:pPr>
        <w:spacing w:line="360" w:lineRule="auto"/>
        <w:ind w:firstLineChars="200" w:firstLine="480"/>
        <w:jc w:val="right"/>
        <w:rPr>
          <w:rFonts w:ascii="Times New Roman" w:hAnsi="Times New Roman" w:cs="Times New Roman"/>
          <w:color w:val="000000"/>
          <w:sz w:val="24"/>
          <w:szCs w:val="24"/>
        </w:rPr>
      </w:pPr>
    </w:p>
    <w:sectPr w:rsidR="00900302" w:rsidRPr="0010160E" w:rsidSect="009003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09D" w:rsidRDefault="0009109D" w:rsidP="0038068F">
      <w:r>
        <w:separator/>
      </w:r>
    </w:p>
  </w:endnote>
  <w:endnote w:type="continuationSeparator" w:id="0">
    <w:p w:rsidR="0009109D" w:rsidRDefault="0009109D" w:rsidP="00380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09D" w:rsidRDefault="0009109D" w:rsidP="0038068F">
      <w:r>
        <w:separator/>
      </w:r>
    </w:p>
  </w:footnote>
  <w:footnote w:type="continuationSeparator" w:id="0">
    <w:p w:rsidR="0009109D" w:rsidRDefault="0009109D" w:rsidP="00380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29D"/>
    <w:multiLevelType w:val="hybridMultilevel"/>
    <w:tmpl w:val="1920639E"/>
    <w:lvl w:ilvl="0" w:tplc="B1D25A3C">
      <w:start w:val="1"/>
      <w:numFmt w:val="decimal"/>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rson w15:author="yangdl@yingmi.cn">
    <w15:presenceInfo w15:providerId="None" w15:userId="yangdl@yingmi.c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126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F35"/>
    <w:rsid w:val="00005F08"/>
    <w:rsid w:val="0002222C"/>
    <w:rsid w:val="00025B34"/>
    <w:rsid w:val="000339AD"/>
    <w:rsid w:val="00037749"/>
    <w:rsid w:val="00066C43"/>
    <w:rsid w:val="0006713A"/>
    <w:rsid w:val="00070817"/>
    <w:rsid w:val="00072348"/>
    <w:rsid w:val="00081D92"/>
    <w:rsid w:val="0009109D"/>
    <w:rsid w:val="00097B16"/>
    <w:rsid w:val="000A0C2F"/>
    <w:rsid w:val="000A7D51"/>
    <w:rsid w:val="000D2F12"/>
    <w:rsid w:val="000E40B7"/>
    <w:rsid w:val="000E4C9C"/>
    <w:rsid w:val="000E4EF5"/>
    <w:rsid w:val="000F0A64"/>
    <w:rsid w:val="000F28A6"/>
    <w:rsid w:val="000F3E92"/>
    <w:rsid w:val="0010160E"/>
    <w:rsid w:val="001071A5"/>
    <w:rsid w:val="00113276"/>
    <w:rsid w:val="001217FF"/>
    <w:rsid w:val="001230F3"/>
    <w:rsid w:val="00134D54"/>
    <w:rsid w:val="00155087"/>
    <w:rsid w:val="001703DF"/>
    <w:rsid w:val="0018021B"/>
    <w:rsid w:val="0018766A"/>
    <w:rsid w:val="001B2331"/>
    <w:rsid w:val="001C1D5E"/>
    <w:rsid w:val="001C40B8"/>
    <w:rsid w:val="001D2420"/>
    <w:rsid w:val="001D4DC6"/>
    <w:rsid w:val="001D7E67"/>
    <w:rsid w:val="001E2A1C"/>
    <w:rsid w:val="001E2D29"/>
    <w:rsid w:val="001F2AF7"/>
    <w:rsid w:val="001F7E64"/>
    <w:rsid w:val="00211B0C"/>
    <w:rsid w:val="002131D3"/>
    <w:rsid w:val="00224CB8"/>
    <w:rsid w:val="00233609"/>
    <w:rsid w:val="00235798"/>
    <w:rsid w:val="00246ED0"/>
    <w:rsid w:val="00254004"/>
    <w:rsid w:val="00255D07"/>
    <w:rsid w:val="00262EE5"/>
    <w:rsid w:val="00264B26"/>
    <w:rsid w:val="00285505"/>
    <w:rsid w:val="002863B3"/>
    <w:rsid w:val="002A2BA2"/>
    <w:rsid w:val="002B6EFB"/>
    <w:rsid w:val="002C22B2"/>
    <w:rsid w:val="002D15D0"/>
    <w:rsid w:val="002D1F67"/>
    <w:rsid w:val="002D3D7F"/>
    <w:rsid w:val="002E031D"/>
    <w:rsid w:val="002E3DF4"/>
    <w:rsid w:val="002E5520"/>
    <w:rsid w:val="002F390A"/>
    <w:rsid w:val="002F68BB"/>
    <w:rsid w:val="00326654"/>
    <w:rsid w:val="003270E0"/>
    <w:rsid w:val="003502D1"/>
    <w:rsid w:val="00350C10"/>
    <w:rsid w:val="003710A6"/>
    <w:rsid w:val="00371BDF"/>
    <w:rsid w:val="0038068F"/>
    <w:rsid w:val="003A4F12"/>
    <w:rsid w:val="003A65F3"/>
    <w:rsid w:val="003C2FD0"/>
    <w:rsid w:val="003E1850"/>
    <w:rsid w:val="003F0C38"/>
    <w:rsid w:val="003F3914"/>
    <w:rsid w:val="003F6C0A"/>
    <w:rsid w:val="003F7D34"/>
    <w:rsid w:val="00415EDD"/>
    <w:rsid w:val="004246C0"/>
    <w:rsid w:val="00447326"/>
    <w:rsid w:val="004477C2"/>
    <w:rsid w:val="00454A22"/>
    <w:rsid w:val="00455F74"/>
    <w:rsid w:val="004600B9"/>
    <w:rsid w:val="00464232"/>
    <w:rsid w:val="00484A26"/>
    <w:rsid w:val="004B49E0"/>
    <w:rsid w:val="004B597C"/>
    <w:rsid w:val="004C3274"/>
    <w:rsid w:val="004E67DD"/>
    <w:rsid w:val="004E680B"/>
    <w:rsid w:val="004F0F23"/>
    <w:rsid w:val="004F27F7"/>
    <w:rsid w:val="0050067F"/>
    <w:rsid w:val="00503842"/>
    <w:rsid w:val="0050568B"/>
    <w:rsid w:val="00510B04"/>
    <w:rsid w:val="00510DDF"/>
    <w:rsid w:val="005175AA"/>
    <w:rsid w:val="00522C8B"/>
    <w:rsid w:val="0052783A"/>
    <w:rsid w:val="00536074"/>
    <w:rsid w:val="00540079"/>
    <w:rsid w:val="0054043F"/>
    <w:rsid w:val="00544354"/>
    <w:rsid w:val="00550491"/>
    <w:rsid w:val="005537F1"/>
    <w:rsid w:val="00553EC2"/>
    <w:rsid w:val="0055720F"/>
    <w:rsid w:val="0056095D"/>
    <w:rsid w:val="00560AE8"/>
    <w:rsid w:val="005615A1"/>
    <w:rsid w:val="00567B0D"/>
    <w:rsid w:val="0057225A"/>
    <w:rsid w:val="00576AAE"/>
    <w:rsid w:val="00580843"/>
    <w:rsid w:val="00584BEF"/>
    <w:rsid w:val="00590A84"/>
    <w:rsid w:val="005A20C3"/>
    <w:rsid w:val="005B483B"/>
    <w:rsid w:val="005B617E"/>
    <w:rsid w:val="005D3B1F"/>
    <w:rsid w:val="005F4670"/>
    <w:rsid w:val="005F7974"/>
    <w:rsid w:val="00600875"/>
    <w:rsid w:val="00602B5A"/>
    <w:rsid w:val="00606DBC"/>
    <w:rsid w:val="00623DE7"/>
    <w:rsid w:val="0062427E"/>
    <w:rsid w:val="00624649"/>
    <w:rsid w:val="00627E50"/>
    <w:rsid w:val="0063182E"/>
    <w:rsid w:val="00635240"/>
    <w:rsid w:val="006421AD"/>
    <w:rsid w:val="00646072"/>
    <w:rsid w:val="00646095"/>
    <w:rsid w:val="006465FA"/>
    <w:rsid w:val="006742BF"/>
    <w:rsid w:val="00674AA0"/>
    <w:rsid w:val="006A74E4"/>
    <w:rsid w:val="006B2FD5"/>
    <w:rsid w:val="006B6A12"/>
    <w:rsid w:val="006C3A4A"/>
    <w:rsid w:val="006C6256"/>
    <w:rsid w:val="006C7ACF"/>
    <w:rsid w:val="006E01A3"/>
    <w:rsid w:val="006E7033"/>
    <w:rsid w:val="006F466D"/>
    <w:rsid w:val="00706C5C"/>
    <w:rsid w:val="00711D8F"/>
    <w:rsid w:val="007139E4"/>
    <w:rsid w:val="007229C4"/>
    <w:rsid w:val="007231B3"/>
    <w:rsid w:val="00750BAD"/>
    <w:rsid w:val="00755BD0"/>
    <w:rsid w:val="00757AF9"/>
    <w:rsid w:val="00760202"/>
    <w:rsid w:val="0077045E"/>
    <w:rsid w:val="0077395F"/>
    <w:rsid w:val="00793F8F"/>
    <w:rsid w:val="00793FF5"/>
    <w:rsid w:val="00796C64"/>
    <w:rsid w:val="007A2ACC"/>
    <w:rsid w:val="007A7845"/>
    <w:rsid w:val="007B29DD"/>
    <w:rsid w:val="007B3022"/>
    <w:rsid w:val="007B399F"/>
    <w:rsid w:val="007B5F9E"/>
    <w:rsid w:val="007F1CC0"/>
    <w:rsid w:val="007F4BC4"/>
    <w:rsid w:val="00802E22"/>
    <w:rsid w:val="008063F9"/>
    <w:rsid w:val="008072BC"/>
    <w:rsid w:val="0082034F"/>
    <w:rsid w:val="00821C2F"/>
    <w:rsid w:val="00823FC8"/>
    <w:rsid w:val="00832162"/>
    <w:rsid w:val="0084431C"/>
    <w:rsid w:val="00854F7C"/>
    <w:rsid w:val="00875855"/>
    <w:rsid w:val="0087639B"/>
    <w:rsid w:val="0088625A"/>
    <w:rsid w:val="00891664"/>
    <w:rsid w:val="00895B8B"/>
    <w:rsid w:val="008A4D30"/>
    <w:rsid w:val="008B2866"/>
    <w:rsid w:val="008B79C5"/>
    <w:rsid w:val="008C1E79"/>
    <w:rsid w:val="008C207C"/>
    <w:rsid w:val="008C2A43"/>
    <w:rsid w:val="008D064B"/>
    <w:rsid w:val="008D4636"/>
    <w:rsid w:val="008D5191"/>
    <w:rsid w:val="008F3DEC"/>
    <w:rsid w:val="008F4604"/>
    <w:rsid w:val="00900302"/>
    <w:rsid w:val="009063B4"/>
    <w:rsid w:val="00907C9B"/>
    <w:rsid w:val="00907F35"/>
    <w:rsid w:val="00912D50"/>
    <w:rsid w:val="0091545B"/>
    <w:rsid w:val="009256B0"/>
    <w:rsid w:val="0093019F"/>
    <w:rsid w:val="00953570"/>
    <w:rsid w:val="00956BAE"/>
    <w:rsid w:val="00962876"/>
    <w:rsid w:val="009661C0"/>
    <w:rsid w:val="0097118A"/>
    <w:rsid w:val="00973D3C"/>
    <w:rsid w:val="009779CE"/>
    <w:rsid w:val="009A6CD4"/>
    <w:rsid w:val="009B176A"/>
    <w:rsid w:val="009B63FF"/>
    <w:rsid w:val="009C526C"/>
    <w:rsid w:val="009D14B8"/>
    <w:rsid w:val="009E0116"/>
    <w:rsid w:val="009E0399"/>
    <w:rsid w:val="009F08C5"/>
    <w:rsid w:val="00A023CB"/>
    <w:rsid w:val="00A040A3"/>
    <w:rsid w:val="00A048EF"/>
    <w:rsid w:val="00A10718"/>
    <w:rsid w:val="00A11FE3"/>
    <w:rsid w:val="00A4355E"/>
    <w:rsid w:val="00A46B34"/>
    <w:rsid w:val="00A632BF"/>
    <w:rsid w:val="00A63716"/>
    <w:rsid w:val="00A65160"/>
    <w:rsid w:val="00A90276"/>
    <w:rsid w:val="00A914A6"/>
    <w:rsid w:val="00A94506"/>
    <w:rsid w:val="00AB00A7"/>
    <w:rsid w:val="00AB1B05"/>
    <w:rsid w:val="00AB2765"/>
    <w:rsid w:val="00AE18FE"/>
    <w:rsid w:val="00AF66A0"/>
    <w:rsid w:val="00B01D5D"/>
    <w:rsid w:val="00B04F68"/>
    <w:rsid w:val="00B413B6"/>
    <w:rsid w:val="00B60DAD"/>
    <w:rsid w:val="00B61BE4"/>
    <w:rsid w:val="00B61FA0"/>
    <w:rsid w:val="00B65028"/>
    <w:rsid w:val="00B83EBA"/>
    <w:rsid w:val="00B94E0B"/>
    <w:rsid w:val="00B95D35"/>
    <w:rsid w:val="00BB271E"/>
    <w:rsid w:val="00BB2B9D"/>
    <w:rsid w:val="00BB5A60"/>
    <w:rsid w:val="00BC79B8"/>
    <w:rsid w:val="00BD0F1F"/>
    <w:rsid w:val="00BD6FB0"/>
    <w:rsid w:val="00BE1C54"/>
    <w:rsid w:val="00BE5A0E"/>
    <w:rsid w:val="00BE6733"/>
    <w:rsid w:val="00BF3E88"/>
    <w:rsid w:val="00BF66F9"/>
    <w:rsid w:val="00C00A84"/>
    <w:rsid w:val="00C07399"/>
    <w:rsid w:val="00C10D01"/>
    <w:rsid w:val="00C143E0"/>
    <w:rsid w:val="00C169A8"/>
    <w:rsid w:val="00C233B9"/>
    <w:rsid w:val="00C24E97"/>
    <w:rsid w:val="00C278DF"/>
    <w:rsid w:val="00C40999"/>
    <w:rsid w:val="00C61A89"/>
    <w:rsid w:val="00C6791F"/>
    <w:rsid w:val="00C82599"/>
    <w:rsid w:val="00C97D2C"/>
    <w:rsid w:val="00CA05A7"/>
    <w:rsid w:val="00CA3254"/>
    <w:rsid w:val="00CB2967"/>
    <w:rsid w:val="00CC308B"/>
    <w:rsid w:val="00CD0208"/>
    <w:rsid w:val="00CD19EA"/>
    <w:rsid w:val="00CD23C6"/>
    <w:rsid w:val="00CE75DA"/>
    <w:rsid w:val="00CF65A0"/>
    <w:rsid w:val="00D07C2E"/>
    <w:rsid w:val="00D15DBD"/>
    <w:rsid w:val="00D17627"/>
    <w:rsid w:val="00D21FA8"/>
    <w:rsid w:val="00D230E8"/>
    <w:rsid w:val="00D319E1"/>
    <w:rsid w:val="00D4482C"/>
    <w:rsid w:val="00D4545B"/>
    <w:rsid w:val="00D54FFE"/>
    <w:rsid w:val="00D60F22"/>
    <w:rsid w:val="00D81208"/>
    <w:rsid w:val="00D871FA"/>
    <w:rsid w:val="00D87224"/>
    <w:rsid w:val="00DA2B15"/>
    <w:rsid w:val="00DA2F3D"/>
    <w:rsid w:val="00DA3E3B"/>
    <w:rsid w:val="00DA56A6"/>
    <w:rsid w:val="00DB22C7"/>
    <w:rsid w:val="00DD0EDB"/>
    <w:rsid w:val="00DD529F"/>
    <w:rsid w:val="00E10ED8"/>
    <w:rsid w:val="00E13642"/>
    <w:rsid w:val="00E21BBB"/>
    <w:rsid w:val="00E22CAA"/>
    <w:rsid w:val="00E27C58"/>
    <w:rsid w:val="00E3142C"/>
    <w:rsid w:val="00E35092"/>
    <w:rsid w:val="00E430B5"/>
    <w:rsid w:val="00E4573F"/>
    <w:rsid w:val="00E45AB5"/>
    <w:rsid w:val="00E56A16"/>
    <w:rsid w:val="00E62C4D"/>
    <w:rsid w:val="00E65315"/>
    <w:rsid w:val="00E704A4"/>
    <w:rsid w:val="00E728FA"/>
    <w:rsid w:val="00E72C83"/>
    <w:rsid w:val="00E959F1"/>
    <w:rsid w:val="00EA06E9"/>
    <w:rsid w:val="00EA2CF7"/>
    <w:rsid w:val="00EA595C"/>
    <w:rsid w:val="00EA7FB5"/>
    <w:rsid w:val="00EB0400"/>
    <w:rsid w:val="00EB3EC6"/>
    <w:rsid w:val="00EB48A3"/>
    <w:rsid w:val="00EB6023"/>
    <w:rsid w:val="00EC2AA8"/>
    <w:rsid w:val="00ED03CC"/>
    <w:rsid w:val="00ED2A67"/>
    <w:rsid w:val="00ED55EB"/>
    <w:rsid w:val="00EE6FAD"/>
    <w:rsid w:val="00EF01AF"/>
    <w:rsid w:val="00EF02ED"/>
    <w:rsid w:val="00F01B34"/>
    <w:rsid w:val="00F045BE"/>
    <w:rsid w:val="00F04C93"/>
    <w:rsid w:val="00F05CD7"/>
    <w:rsid w:val="00F05D8C"/>
    <w:rsid w:val="00F12E4C"/>
    <w:rsid w:val="00F20B8B"/>
    <w:rsid w:val="00F22EB5"/>
    <w:rsid w:val="00F276FE"/>
    <w:rsid w:val="00F31D9D"/>
    <w:rsid w:val="00F37F44"/>
    <w:rsid w:val="00F41E9D"/>
    <w:rsid w:val="00F51DDA"/>
    <w:rsid w:val="00F57933"/>
    <w:rsid w:val="00F6267A"/>
    <w:rsid w:val="00F81393"/>
    <w:rsid w:val="00F819FC"/>
    <w:rsid w:val="00F90AA1"/>
    <w:rsid w:val="00F9713E"/>
    <w:rsid w:val="00F974A3"/>
    <w:rsid w:val="00F97DF1"/>
    <w:rsid w:val="00FA0173"/>
    <w:rsid w:val="00FA10BB"/>
    <w:rsid w:val="00FB0509"/>
    <w:rsid w:val="00FB39C3"/>
    <w:rsid w:val="00FB607A"/>
    <w:rsid w:val="00FC3FB1"/>
    <w:rsid w:val="00FD11EA"/>
    <w:rsid w:val="00FD416C"/>
    <w:rsid w:val="00FE5003"/>
    <w:rsid w:val="00FF7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F35"/>
    <w:rPr>
      <w:color w:val="0000FF"/>
      <w:u w:val="single"/>
    </w:rPr>
  </w:style>
  <w:style w:type="paragraph" w:styleId="a4">
    <w:name w:val="Normal (Web)"/>
    <w:basedOn w:val="a"/>
    <w:uiPriority w:val="99"/>
    <w:unhideWhenUsed/>
    <w:rsid w:val="00907F3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07F35"/>
    <w:rPr>
      <w:b/>
      <w:bCs/>
    </w:rPr>
  </w:style>
  <w:style w:type="paragraph" w:styleId="a6">
    <w:name w:val="header"/>
    <w:basedOn w:val="a"/>
    <w:link w:val="Char"/>
    <w:uiPriority w:val="99"/>
    <w:unhideWhenUsed/>
    <w:rsid w:val="00380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068F"/>
    <w:rPr>
      <w:sz w:val="18"/>
      <w:szCs w:val="18"/>
    </w:rPr>
  </w:style>
  <w:style w:type="paragraph" w:styleId="a7">
    <w:name w:val="footer"/>
    <w:basedOn w:val="a"/>
    <w:link w:val="Char0"/>
    <w:uiPriority w:val="99"/>
    <w:unhideWhenUsed/>
    <w:rsid w:val="0038068F"/>
    <w:pPr>
      <w:tabs>
        <w:tab w:val="center" w:pos="4153"/>
        <w:tab w:val="right" w:pos="8306"/>
      </w:tabs>
      <w:snapToGrid w:val="0"/>
      <w:jc w:val="left"/>
    </w:pPr>
    <w:rPr>
      <w:sz w:val="18"/>
      <w:szCs w:val="18"/>
    </w:rPr>
  </w:style>
  <w:style w:type="character" w:customStyle="1" w:styleId="Char0">
    <w:name w:val="页脚 Char"/>
    <w:basedOn w:val="a0"/>
    <w:link w:val="a7"/>
    <w:uiPriority w:val="99"/>
    <w:rsid w:val="0038068F"/>
    <w:rPr>
      <w:sz w:val="18"/>
      <w:szCs w:val="18"/>
    </w:rPr>
  </w:style>
  <w:style w:type="paragraph" w:styleId="a8">
    <w:name w:val="Balloon Text"/>
    <w:basedOn w:val="a"/>
    <w:link w:val="Char1"/>
    <w:uiPriority w:val="99"/>
    <w:semiHidden/>
    <w:unhideWhenUsed/>
    <w:rsid w:val="00BC79B8"/>
    <w:rPr>
      <w:sz w:val="18"/>
      <w:szCs w:val="18"/>
    </w:rPr>
  </w:style>
  <w:style w:type="character" w:customStyle="1" w:styleId="Char1">
    <w:name w:val="批注框文本 Char"/>
    <w:basedOn w:val="a0"/>
    <w:link w:val="a8"/>
    <w:uiPriority w:val="99"/>
    <w:semiHidden/>
    <w:rsid w:val="00BC79B8"/>
    <w:rPr>
      <w:sz w:val="18"/>
      <w:szCs w:val="18"/>
    </w:rPr>
  </w:style>
  <w:style w:type="paragraph" w:styleId="a9">
    <w:name w:val="Date"/>
    <w:basedOn w:val="a"/>
    <w:next w:val="a"/>
    <w:link w:val="Char2"/>
    <w:uiPriority w:val="99"/>
    <w:semiHidden/>
    <w:unhideWhenUsed/>
    <w:rsid w:val="00ED03CC"/>
    <w:pPr>
      <w:ind w:leftChars="2500" w:left="100"/>
    </w:pPr>
  </w:style>
  <w:style w:type="character" w:customStyle="1" w:styleId="Char2">
    <w:name w:val="日期 Char"/>
    <w:basedOn w:val="a0"/>
    <w:link w:val="a9"/>
    <w:uiPriority w:val="99"/>
    <w:semiHidden/>
    <w:rsid w:val="00ED03CC"/>
  </w:style>
  <w:style w:type="paragraph" w:styleId="aa">
    <w:name w:val="List Paragraph"/>
    <w:basedOn w:val="a"/>
    <w:uiPriority w:val="34"/>
    <w:qFormat/>
    <w:rsid w:val="00ED03CC"/>
    <w:pPr>
      <w:ind w:firstLineChars="200" w:firstLine="420"/>
    </w:pPr>
  </w:style>
  <w:style w:type="character" w:styleId="ab">
    <w:name w:val="annotation reference"/>
    <w:basedOn w:val="a0"/>
    <w:uiPriority w:val="99"/>
    <w:semiHidden/>
    <w:unhideWhenUsed/>
    <w:rsid w:val="00646072"/>
    <w:rPr>
      <w:sz w:val="21"/>
      <w:szCs w:val="21"/>
    </w:rPr>
  </w:style>
  <w:style w:type="paragraph" w:styleId="ac">
    <w:name w:val="annotation text"/>
    <w:basedOn w:val="a"/>
    <w:link w:val="Char3"/>
    <w:uiPriority w:val="99"/>
    <w:semiHidden/>
    <w:unhideWhenUsed/>
    <w:rsid w:val="00646072"/>
    <w:pPr>
      <w:jc w:val="left"/>
    </w:pPr>
  </w:style>
  <w:style w:type="character" w:customStyle="1" w:styleId="Char3">
    <w:name w:val="批注文字 Char"/>
    <w:basedOn w:val="a0"/>
    <w:link w:val="ac"/>
    <w:uiPriority w:val="99"/>
    <w:semiHidden/>
    <w:rsid w:val="00646072"/>
  </w:style>
  <w:style w:type="paragraph" w:styleId="ad">
    <w:name w:val="annotation subject"/>
    <w:basedOn w:val="ac"/>
    <w:next w:val="ac"/>
    <w:link w:val="Char4"/>
    <w:uiPriority w:val="99"/>
    <w:semiHidden/>
    <w:unhideWhenUsed/>
    <w:rsid w:val="00646072"/>
    <w:rPr>
      <w:b/>
      <w:bCs/>
    </w:rPr>
  </w:style>
  <w:style w:type="character" w:customStyle="1" w:styleId="Char4">
    <w:name w:val="批注主题 Char"/>
    <w:basedOn w:val="Char3"/>
    <w:link w:val="ad"/>
    <w:uiPriority w:val="99"/>
    <w:semiHidden/>
    <w:rsid w:val="00646072"/>
    <w:rPr>
      <w:b/>
      <w:bCs/>
    </w:rPr>
  </w:style>
</w:styles>
</file>

<file path=word/webSettings.xml><?xml version="1.0" encoding="utf-8"?>
<w:webSettings xmlns:r="http://schemas.openxmlformats.org/officeDocument/2006/relationships" xmlns:w="http://schemas.openxmlformats.org/wordprocessingml/2006/main">
  <w:divs>
    <w:div w:id="465516230">
      <w:bodyDiv w:val="1"/>
      <w:marLeft w:val="0"/>
      <w:marRight w:val="0"/>
      <w:marTop w:val="0"/>
      <w:marBottom w:val="0"/>
      <w:divBdr>
        <w:top w:val="none" w:sz="0" w:space="0" w:color="auto"/>
        <w:left w:val="none" w:sz="0" w:space="0" w:color="auto"/>
        <w:bottom w:val="none" w:sz="0" w:space="0" w:color="auto"/>
        <w:right w:val="none" w:sz="0" w:space="0" w:color="auto"/>
      </w:divBdr>
    </w:div>
    <w:div w:id="871378172">
      <w:bodyDiv w:val="1"/>
      <w:marLeft w:val="0"/>
      <w:marRight w:val="0"/>
      <w:marTop w:val="0"/>
      <w:marBottom w:val="0"/>
      <w:divBdr>
        <w:top w:val="none" w:sz="0" w:space="0" w:color="auto"/>
        <w:left w:val="none" w:sz="0" w:space="0" w:color="auto"/>
        <w:bottom w:val="none" w:sz="0" w:space="0" w:color="auto"/>
        <w:right w:val="none" w:sz="0" w:space="0" w:color="auto"/>
      </w:divBdr>
    </w:div>
    <w:div w:id="1156336432">
      <w:bodyDiv w:val="1"/>
      <w:marLeft w:val="0"/>
      <w:marRight w:val="0"/>
      <w:marTop w:val="0"/>
      <w:marBottom w:val="0"/>
      <w:divBdr>
        <w:top w:val="none" w:sz="0" w:space="0" w:color="auto"/>
        <w:left w:val="none" w:sz="0" w:space="0" w:color="auto"/>
        <w:bottom w:val="none" w:sz="0" w:space="0" w:color="auto"/>
        <w:right w:val="none" w:sz="0" w:space="0" w:color="auto"/>
      </w:divBdr>
    </w:div>
    <w:div w:id="1302734491">
      <w:bodyDiv w:val="1"/>
      <w:marLeft w:val="0"/>
      <w:marRight w:val="0"/>
      <w:marTop w:val="0"/>
      <w:marBottom w:val="0"/>
      <w:divBdr>
        <w:top w:val="none" w:sz="0" w:space="0" w:color="auto"/>
        <w:left w:val="none" w:sz="0" w:space="0" w:color="auto"/>
        <w:bottom w:val="none" w:sz="0" w:space="0" w:color="auto"/>
        <w:right w:val="none" w:sz="0" w:space="0" w:color="auto"/>
      </w:divBdr>
      <w:divsChild>
        <w:div w:id="722632064">
          <w:marLeft w:val="0"/>
          <w:marRight w:val="0"/>
          <w:marTop w:val="0"/>
          <w:marBottom w:val="0"/>
          <w:divBdr>
            <w:top w:val="none" w:sz="0" w:space="0" w:color="auto"/>
            <w:left w:val="none" w:sz="0" w:space="0" w:color="auto"/>
            <w:bottom w:val="none" w:sz="0" w:space="0" w:color="auto"/>
            <w:right w:val="none" w:sz="0" w:space="0" w:color="auto"/>
          </w:divBdr>
          <w:divsChild>
            <w:div w:id="562178485">
              <w:marLeft w:val="0"/>
              <w:marRight w:val="0"/>
              <w:marTop w:val="120"/>
              <w:marBottom w:val="0"/>
              <w:divBdr>
                <w:top w:val="none" w:sz="0" w:space="0" w:color="auto"/>
                <w:left w:val="none" w:sz="0" w:space="0" w:color="auto"/>
                <w:bottom w:val="single" w:sz="6" w:space="0" w:color="DDDDDD"/>
                <w:right w:val="none" w:sz="0" w:space="0" w:color="auto"/>
              </w:divBdr>
              <w:divsChild>
                <w:div w:id="1038429528">
                  <w:marLeft w:val="0"/>
                  <w:marRight w:val="0"/>
                  <w:marTop w:val="0"/>
                  <w:marBottom w:val="0"/>
                  <w:divBdr>
                    <w:top w:val="none" w:sz="0" w:space="0" w:color="auto"/>
                    <w:left w:val="none" w:sz="0" w:space="0" w:color="auto"/>
                    <w:bottom w:val="none" w:sz="0" w:space="0" w:color="auto"/>
                    <w:right w:val="none" w:sz="0" w:space="0" w:color="auto"/>
                  </w:divBdr>
                  <w:divsChild>
                    <w:div w:id="1482193443">
                      <w:marLeft w:val="375"/>
                      <w:marRight w:val="0"/>
                      <w:marTop w:val="0"/>
                      <w:marBottom w:val="0"/>
                      <w:divBdr>
                        <w:top w:val="none" w:sz="0" w:space="0" w:color="auto"/>
                        <w:left w:val="none" w:sz="0" w:space="0" w:color="auto"/>
                        <w:bottom w:val="none" w:sz="0" w:space="0" w:color="auto"/>
                        <w:right w:val="none" w:sz="0" w:space="0" w:color="auto"/>
                      </w:divBdr>
                      <w:divsChild>
                        <w:div w:id="64228285">
                          <w:marLeft w:val="75"/>
                          <w:marRight w:val="150"/>
                          <w:marTop w:val="0"/>
                          <w:marBottom w:val="450"/>
                          <w:divBdr>
                            <w:top w:val="none" w:sz="0" w:space="0" w:color="auto"/>
                            <w:left w:val="none" w:sz="0" w:space="0" w:color="auto"/>
                            <w:bottom w:val="none" w:sz="0" w:space="0" w:color="auto"/>
                            <w:right w:val="none" w:sz="0" w:space="0" w:color="auto"/>
                          </w:divBdr>
                          <w:divsChild>
                            <w:div w:id="20947408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0107">
      <w:bodyDiv w:val="1"/>
      <w:marLeft w:val="0"/>
      <w:marRight w:val="0"/>
      <w:marTop w:val="0"/>
      <w:marBottom w:val="0"/>
      <w:divBdr>
        <w:top w:val="none" w:sz="0" w:space="0" w:color="auto"/>
        <w:left w:val="none" w:sz="0" w:space="0" w:color="auto"/>
        <w:bottom w:val="none" w:sz="0" w:space="0" w:color="auto"/>
        <w:right w:val="none" w:sz="0" w:space="0" w:color="auto"/>
      </w:divBdr>
      <w:divsChild>
        <w:div w:id="1762607911">
          <w:marLeft w:val="0"/>
          <w:marRight w:val="0"/>
          <w:marTop w:val="0"/>
          <w:marBottom w:val="0"/>
          <w:divBdr>
            <w:top w:val="none" w:sz="0" w:space="0" w:color="auto"/>
            <w:left w:val="none" w:sz="0" w:space="0" w:color="auto"/>
            <w:bottom w:val="none" w:sz="0" w:space="0" w:color="auto"/>
            <w:right w:val="none" w:sz="0" w:space="0" w:color="auto"/>
          </w:divBdr>
          <w:divsChild>
            <w:div w:id="1204488752">
              <w:marLeft w:val="0"/>
              <w:marRight w:val="0"/>
              <w:marTop w:val="120"/>
              <w:marBottom w:val="0"/>
              <w:divBdr>
                <w:top w:val="none" w:sz="0" w:space="0" w:color="auto"/>
                <w:left w:val="none" w:sz="0" w:space="0" w:color="auto"/>
                <w:bottom w:val="single" w:sz="6" w:space="0" w:color="DDDDDD"/>
                <w:right w:val="none" w:sz="0" w:space="0" w:color="auto"/>
              </w:divBdr>
              <w:divsChild>
                <w:div w:id="629283020">
                  <w:marLeft w:val="0"/>
                  <w:marRight w:val="0"/>
                  <w:marTop w:val="0"/>
                  <w:marBottom w:val="0"/>
                  <w:divBdr>
                    <w:top w:val="none" w:sz="0" w:space="0" w:color="auto"/>
                    <w:left w:val="none" w:sz="0" w:space="0" w:color="auto"/>
                    <w:bottom w:val="none" w:sz="0" w:space="0" w:color="auto"/>
                    <w:right w:val="none" w:sz="0" w:space="0" w:color="auto"/>
                  </w:divBdr>
                  <w:divsChild>
                    <w:div w:id="410784543">
                      <w:marLeft w:val="375"/>
                      <w:marRight w:val="0"/>
                      <w:marTop w:val="0"/>
                      <w:marBottom w:val="0"/>
                      <w:divBdr>
                        <w:top w:val="none" w:sz="0" w:space="0" w:color="auto"/>
                        <w:left w:val="none" w:sz="0" w:space="0" w:color="auto"/>
                        <w:bottom w:val="none" w:sz="0" w:space="0" w:color="auto"/>
                        <w:right w:val="none" w:sz="0" w:space="0" w:color="auto"/>
                      </w:divBdr>
                      <w:divsChild>
                        <w:div w:id="1784499633">
                          <w:marLeft w:val="75"/>
                          <w:marRight w:val="150"/>
                          <w:marTop w:val="0"/>
                          <w:marBottom w:val="450"/>
                          <w:divBdr>
                            <w:top w:val="none" w:sz="0" w:space="0" w:color="auto"/>
                            <w:left w:val="none" w:sz="0" w:space="0" w:color="auto"/>
                            <w:bottom w:val="none" w:sz="0" w:space="0" w:color="auto"/>
                            <w:right w:val="none" w:sz="0" w:space="0" w:color="auto"/>
                          </w:divBdr>
                          <w:divsChild>
                            <w:div w:id="1941721183">
                              <w:marLeft w:val="0"/>
                              <w:marRight w:val="0"/>
                              <w:marTop w:val="0"/>
                              <w:marBottom w:val="0"/>
                              <w:divBdr>
                                <w:top w:val="none" w:sz="0" w:space="0" w:color="auto"/>
                                <w:left w:val="none" w:sz="0" w:space="0" w:color="auto"/>
                                <w:bottom w:val="none" w:sz="0" w:space="0" w:color="auto"/>
                                <w:right w:val="none" w:sz="0" w:space="0" w:color="auto"/>
                              </w:divBdr>
                            </w:div>
                            <w:div w:id="18893408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03367">
      <w:bodyDiv w:val="1"/>
      <w:marLeft w:val="0"/>
      <w:marRight w:val="0"/>
      <w:marTop w:val="0"/>
      <w:marBottom w:val="0"/>
      <w:divBdr>
        <w:top w:val="none" w:sz="0" w:space="0" w:color="auto"/>
        <w:left w:val="none" w:sz="0" w:space="0" w:color="auto"/>
        <w:bottom w:val="none" w:sz="0" w:space="0" w:color="auto"/>
        <w:right w:val="none" w:sz="0" w:space="0" w:color="auto"/>
      </w:divBdr>
    </w:div>
    <w:div w:id="1587423030">
      <w:bodyDiv w:val="1"/>
      <w:marLeft w:val="0"/>
      <w:marRight w:val="0"/>
      <w:marTop w:val="0"/>
      <w:marBottom w:val="0"/>
      <w:divBdr>
        <w:top w:val="none" w:sz="0" w:space="0" w:color="auto"/>
        <w:left w:val="none" w:sz="0" w:space="0" w:color="auto"/>
        <w:bottom w:val="none" w:sz="0" w:space="0" w:color="auto"/>
        <w:right w:val="none" w:sz="0" w:space="0" w:color="auto"/>
      </w:divBdr>
    </w:div>
    <w:div w:id="1672832734">
      <w:bodyDiv w:val="1"/>
      <w:marLeft w:val="0"/>
      <w:marRight w:val="0"/>
      <w:marTop w:val="0"/>
      <w:marBottom w:val="0"/>
      <w:divBdr>
        <w:top w:val="none" w:sz="0" w:space="0" w:color="auto"/>
        <w:left w:val="none" w:sz="0" w:space="0" w:color="auto"/>
        <w:bottom w:val="none" w:sz="0" w:space="0" w:color="auto"/>
        <w:right w:val="none" w:sz="0" w:space="0" w:color="auto"/>
      </w:divBdr>
    </w:div>
    <w:div w:id="1899710109">
      <w:bodyDiv w:val="1"/>
      <w:marLeft w:val="0"/>
      <w:marRight w:val="0"/>
      <w:marTop w:val="0"/>
      <w:marBottom w:val="0"/>
      <w:divBdr>
        <w:top w:val="none" w:sz="0" w:space="0" w:color="auto"/>
        <w:left w:val="none" w:sz="0" w:space="0" w:color="auto"/>
        <w:bottom w:val="none" w:sz="0" w:space="0" w:color="auto"/>
        <w:right w:val="none" w:sz="0" w:space="0" w:color="auto"/>
      </w:divBdr>
      <w:divsChild>
        <w:div w:id="1195730337">
          <w:marLeft w:val="0"/>
          <w:marRight w:val="0"/>
          <w:marTop w:val="0"/>
          <w:marBottom w:val="0"/>
          <w:divBdr>
            <w:top w:val="none" w:sz="0" w:space="0" w:color="auto"/>
            <w:left w:val="none" w:sz="0" w:space="0" w:color="auto"/>
            <w:bottom w:val="none" w:sz="0" w:space="0" w:color="auto"/>
            <w:right w:val="none" w:sz="0" w:space="0" w:color="auto"/>
          </w:divBdr>
          <w:divsChild>
            <w:div w:id="1646351187">
              <w:marLeft w:val="0"/>
              <w:marRight w:val="0"/>
              <w:marTop w:val="120"/>
              <w:marBottom w:val="0"/>
              <w:divBdr>
                <w:top w:val="none" w:sz="0" w:space="0" w:color="auto"/>
                <w:left w:val="none" w:sz="0" w:space="0" w:color="auto"/>
                <w:bottom w:val="single" w:sz="6" w:space="0" w:color="DDDDDD"/>
                <w:right w:val="none" w:sz="0" w:space="0" w:color="auto"/>
              </w:divBdr>
              <w:divsChild>
                <w:div w:id="867328963">
                  <w:marLeft w:val="0"/>
                  <w:marRight w:val="0"/>
                  <w:marTop w:val="0"/>
                  <w:marBottom w:val="0"/>
                  <w:divBdr>
                    <w:top w:val="none" w:sz="0" w:space="0" w:color="auto"/>
                    <w:left w:val="none" w:sz="0" w:space="0" w:color="auto"/>
                    <w:bottom w:val="none" w:sz="0" w:space="0" w:color="auto"/>
                    <w:right w:val="none" w:sz="0" w:space="0" w:color="auto"/>
                  </w:divBdr>
                  <w:divsChild>
                    <w:div w:id="56712787">
                      <w:marLeft w:val="375"/>
                      <w:marRight w:val="0"/>
                      <w:marTop w:val="0"/>
                      <w:marBottom w:val="0"/>
                      <w:divBdr>
                        <w:top w:val="none" w:sz="0" w:space="0" w:color="auto"/>
                        <w:left w:val="none" w:sz="0" w:space="0" w:color="auto"/>
                        <w:bottom w:val="none" w:sz="0" w:space="0" w:color="auto"/>
                        <w:right w:val="none" w:sz="0" w:space="0" w:color="auto"/>
                      </w:divBdr>
                      <w:divsChild>
                        <w:div w:id="539634104">
                          <w:marLeft w:val="75"/>
                          <w:marRight w:val="150"/>
                          <w:marTop w:val="0"/>
                          <w:marBottom w:val="450"/>
                          <w:divBdr>
                            <w:top w:val="none" w:sz="0" w:space="0" w:color="auto"/>
                            <w:left w:val="none" w:sz="0" w:space="0" w:color="auto"/>
                            <w:bottom w:val="none" w:sz="0" w:space="0" w:color="auto"/>
                            <w:right w:val="none" w:sz="0" w:space="0" w:color="auto"/>
                          </w:divBdr>
                          <w:divsChild>
                            <w:div w:id="407075714">
                              <w:marLeft w:val="0"/>
                              <w:marRight w:val="0"/>
                              <w:marTop w:val="0"/>
                              <w:marBottom w:val="0"/>
                              <w:divBdr>
                                <w:top w:val="none" w:sz="0" w:space="0" w:color="auto"/>
                                <w:left w:val="none" w:sz="0" w:space="0" w:color="auto"/>
                                <w:bottom w:val="none" w:sz="0" w:space="0" w:color="auto"/>
                                <w:right w:val="none" w:sz="0" w:space="0" w:color="auto"/>
                              </w:divBdr>
                            </w:div>
                            <w:div w:id="1691565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1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cbank.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D89DB-064F-488B-AE24-45C02179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402</Words>
  <Characters>2294</Characters>
  <Application>Microsoft Office Word</Application>
  <DocSecurity>0</DocSecurity>
  <Lines>19</Lines>
  <Paragraphs>5</Paragraphs>
  <ScaleCrop>false</ScaleCrop>
  <Company>P R C</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zongp</cp:lastModifiedBy>
  <cp:revision>100</cp:revision>
  <dcterms:created xsi:type="dcterms:W3CDTF">2015-12-28T03:15:00Z</dcterms:created>
  <dcterms:modified xsi:type="dcterms:W3CDTF">2016-06-20T02:15:00Z</dcterms:modified>
</cp:coreProperties>
</file>