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F9" w:rsidRDefault="00915BF9" w:rsidP="00915BF9">
      <w:pPr>
        <w:pStyle w:val="a5"/>
        <w:spacing w:line="432" w:lineRule="auto"/>
        <w:jc w:val="center"/>
      </w:pPr>
      <w:r>
        <w:rPr>
          <w:rStyle w:val="a6"/>
          <w:rFonts w:hint="eastAsia"/>
          <w:color w:val="0000FF"/>
        </w:rPr>
        <w:t>合格境外机构投资者督察</w:t>
      </w:r>
      <w:proofErr w:type="gramStart"/>
      <w:r>
        <w:rPr>
          <w:rStyle w:val="a6"/>
          <w:rFonts w:hint="eastAsia"/>
          <w:color w:val="0000FF"/>
        </w:rPr>
        <w:t>员指导</w:t>
      </w:r>
      <w:proofErr w:type="gramEnd"/>
      <w:r>
        <w:rPr>
          <w:rStyle w:val="a6"/>
          <w:rFonts w:hint="eastAsia"/>
          <w:color w:val="0000FF"/>
        </w:rPr>
        <w:t>意见</w:t>
      </w:r>
    </w:p>
    <w:p w:rsidR="00915BF9" w:rsidRDefault="00915BF9" w:rsidP="00915BF9">
      <w:pPr>
        <w:pStyle w:val="a5"/>
        <w:spacing w:line="432" w:lineRule="auto"/>
        <w:rPr>
          <w:rFonts w:hint="eastAsia"/>
        </w:rPr>
      </w:pPr>
      <w:r>
        <w:rPr>
          <w:rFonts w:hint="eastAsia"/>
        </w:rPr>
        <w:t>    第一条 为了指导合格境外机构投资者（以下简称“合格投资者”）加强合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控制，规范合格境外投资者督察员的管理，根据《合格境外机构投资者境内证券投资管理办法》（以下简称《管理办法》）和其他有关法律、行政法规，制定本指导意见。</w:t>
      </w:r>
    </w:p>
    <w:p w:rsidR="00915BF9" w:rsidRDefault="00915BF9" w:rsidP="00915BF9">
      <w:pPr>
        <w:pStyle w:val="a5"/>
        <w:spacing w:line="432" w:lineRule="auto"/>
        <w:rPr>
          <w:rFonts w:hint="eastAsia"/>
        </w:rPr>
      </w:pPr>
      <w:r>
        <w:rPr>
          <w:rFonts w:hint="eastAsia"/>
        </w:rPr>
        <w:t>    第二条 本指导意见所称合格境外投资者督察员（以下简称督察员），是指符合本指导意见第四条规定的条件，监督合格投资者合法合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运作的人员。</w:t>
      </w:r>
    </w:p>
    <w:p w:rsidR="00915BF9" w:rsidRDefault="00915BF9" w:rsidP="00915BF9">
      <w:pPr>
        <w:pStyle w:val="a5"/>
        <w:spacing w:line="432" w:lineRule="auto"/>
        <w:rPr>
          <w:rFonts w:hint="eastAsia"/>
        </w:rPr>
      </w:pPr>
      <w:r>
        <w:rPr>
          <w:rFonts w:hint="eastAsia"/>
        </w:rPr>
        <w:t>    第三条 合格投资者应当按照本指导意见，指定符合规定条件的人员担任督察员。</w:t>
      </w:r>
    </w:p>
    <w:p w:rsidR="00915BF9" w:rsidRDefault="00915BF9" w:rsidP="00915BF9">
      <w:pPr>
        <w:pStyle w:val="a5"/>
        <w:spacing w:line="432" w:lineRule="auto"/>
        <w:rPr>
          <w:rFonts w:hint="eastAsia"/>
        </w:rPr>
      </w:pPr>
      <w:r>
        <w:rPr>
          <w:rFonts w:hint="eastAsia"/>
        </w:rPr>
        <w:t>    合格投资者应当营造合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文化氛围，提高合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控制水平，确保督察员行使职责。</w:t>
      </w:r>
    </w:p>
    <w:p w:rsidR="00915BF9" w:rsidRDefault="00915BF9" w:rsidP="00915BF9">
      <w:pPr>
        <w:pStyle w:val="a5"/>
        <w:spacing w:line="432" w:lineRule="auto"/>
        <w:rPr>
          <w:rFonts w:hint="eastAsia"/>
        </w:rPr>
      </w:pPr>
      <w:r>
        <w:rPr>
          <w:rFonts w:hint="eastAsia"/>
        </w:rPr>
        <w:t>    第四条 督察员应当熟悉《管理办法》及中国证券市场相关法律法规，职业操守良好。</w:t>
      </w:r>
    </w:p>
    <w:p w:rsidR="00915BF9" w:rsidRDefault="00915BF9" w:rsidP="00915BF9">
      <w:pPr>
        <w:pStyle w:val="a5"/>
        <w:spacing w:line="432" w:lineRule="auto"/>
        <w:rPr>
          <w:rFonts w:hint="eastAsia"/>
        </w:rPr>
      </w:pPr>
      <w:r>
        <w:rPr>
          <w:rFonts w:hint="eastAsia"/>
        </w:rPr>
        <w:t>    第五条 合格投资者应当在指定督察员后10个工作日内，填写督察员基本情况表（见附件），报送中国证监会。</w:t>
      </w:r>
    </w:p>
    <w:p w:rsidR="00915BF9" w:rsidRDefault="00915BF9" w:rsidP="00915BF9">
      <w:pPr>
        <w:pStyle w:val="a5"/>
        <w:spacing w:line="432" w:lineRule="auto"/>
        <w:rPr>
          <w:rFonts w:hint="eastAsia"/>
        </w:rPr>
      </w:pPr>
      <w:r>
        <w:rPr>
          <w:rFonts w:hint="eastAsia"/>
        </w:rPr>
        <w:t>    第六条 合格投资者拟更换督察员的，应当在10个工作日内向中国证监会报告并确定拟接任人选。</w:t>
      </w:r>
    </w:p>
    <w:p w:rsidR="00915BF9" w:rsidRDefault="00915BF9" w:rsidP="00915BF9">
      <w:pPr>
        <w:pStyle w:val="a5"/>
        <w:spacing w:line="432" w:lineRule="auto"/>
        <w:rPr>
          <w:rFonts w:hint="eastAsia"/>
        </w:rPr>
      </w:pPr>
      <w:r>
        <w:rPr>
          <w:rFonts w:hint="eastAsia"/>
        </w:rPr>
        <w:t>    第七条 督察员履行职责的范围，内容包括但不限于：</w:t>
      </w:r>
    </w:p>
    <w:p w:rsidR="00915BF9" w:rsidRDefault="00915BF9" w:rsidP="00915BF9">
      <w:pPr>
        <w:pStyle w:val="a5"/>
        <w:spacing w:line="432" w:lineRule="auto"/>
        <w:rPr>
          <w:rFonts w:hint="eastAsia"/>
        </w:rPr>
      </w:pPr>
      <w:r>
        <w:rPr>
          <w:rFonts w:hint="eastAsia"/>
        </w:rPr>
        <w:t>    （一） 就合格投资者合法合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运作情况，向中国证监会报告；</w:t>
      </w:r>
    </w:p>
    <w:p w:rsidR="00915BF9" w:rsidRDefault="00915BF9" w:rsidP="00915BF9">
      <w:pPr>
        <w:pStyle w:val="a5"/>
        <w:spacing w:line="432" w:lineRule="auto"/>
        <w:rPr>
          <w:rFonts w:hint="eastAsia"/>
        </w:rPr>
      </w:pPr>
      <w:r>
        <w:rPr>
          <w:rFonts w:hint="eastAsia"/>
        </w:rPr>
        <w:t>    （二） 客户合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审查；</w:t>
      </w:r>
    </w:p>
    <w:p w:rsidR="00915BF9" w:rsidRDefault="00915BF9" w:rsidP="00915BF9">
      <w:pPr>
        <w:pStyle w:val="a5"/>
        <w:spacing w:line="432" w:lineRule="auto"/>
        <w:rPr>
          <w:rFonts w:hint="eastAsia"/>
        </w:rPr>
      </w:pPr>
      <w:r>
        <w:rPr>
          <w:rFonts w:hint="eastAsia"/>
        </w:rPr>
        <w:lastRenderedPageBreak/>
        <w:t>    （三） 审核向中国证监会提交的申请文件以及产品、业务报告并签字；</w:t>
      </w:r>
    </w:p>
    <w:p w:rsidR="00915BF9" w:rsidRDefault="00915BF9" w:rsidP="00915BF9">
      <w:pPr>
        <w:pStyle w:val="a5"/>
        <w:spacing w:line="432" w:lineRule="auto"/>
        <w:rPr>
          <w:rFonts w:hint="eastAsia"/>
        </w:rPr>
      </w:pPr>
      <w:r>
        <w:rPr>
          <w:rFonts w:hint="eastAsia"/>
        </w:rPr>
        <w:t>    （四） 会同合格投资者相关部门，对合格投资者交易实施日常监督，对异常交易予以重点关注；</w:t>
      </w:r>
    </w:p>
    <w:p w:rsidR="00915BF9" w:rsidRDefault="00915BF9" w:rsidP="00915BF9">
      <w:pPr>
        <w:pStyle w:val="a5"/>
        <w:spacing w:line="432" w:lineRule="auto"/>
        <w:rPr>
          <w:rFonts w:hint="eastAsia"/>
        </w:rPr>
      </w:pPr>
      <w:r>
        <w:rPr>
          <w:rFonts w:hint="eastAsia"/>
        </w:rPr>
        <w:t>    （五） 对合格投资者交易活动进行定期检查及抽查；</w:t>
      </w:r>
    </w:p>
    <w:p w:rsidR="00915BF9" w:rsidRDefault="00915BF9" w:rsidP="00915BF9">
      <w:pPr>
        <w:pStyle w:val="a5"/>
        <w:spacing w:line="432" w:lineRule="auto"/>
        <w:rPr>
          <w:rFonts w:hint="eastAsia"/>
        </w:rPr>
      </w:pPr>
      <w:r>
        <w:rPr>
          <w:rFonts w:hint="eastAsia"/>
        </w:rPr>
        <w:t>    （六） 监督合格投资者境内证券投资信息披露行为；</w:t>
      </w:r>
    </w:p>
    <w:p w:rsidR="00915BF9" w:rsidRDefault="00915BF9" w:rsidP="00915BF9">
      <w:pPr>
        <w:pStyle w:val="a5"/>
        <w:spacing w:line="432" w:lineRule="auto"/>
        <w:rPr>
          <w:rFonts w:hint="eastAsia"/>
        </w:rPr>
      </w:pPr>
      <w:r>
        <w:rPr>
          <w:rFonts w:hint="eastAsia"/>
        </w:rPr>
        <w:t>    （七） 组织相关部门进行合格投资者相关法律法规培训。</w:t>
      </w:r>
    </w:p>
    <w:p w:rsidR="00915BF9" w:rsidRDefault="00915BF9" w:rsidP="00915BF9">
      <w:pPr>
        <w:pStyle w:val="a5"/>
        <w:spacing w:line="432" w:lineRule="auto"/>
        <w:rPr>
          <w:rFonts w:hint="eastAsia"/>
        </w:rPr>
      </w:pPr>
      <w:r>
        <w:rPr>
          <w:rFonts w:hint="eastAsia"/>
        </w:rPr>
        <w:t>    第八条 督察员履行职责时，对与本人有利益冲突的事项应当回避，同时，合格投资者应当做出相关安排，以确保督察职责的有效履行。</w:t>
      </w:r>
    </w:p>
    <w:p w:rsidR="00915BF9" w:rsidRDefault="00915BF9" w:rsidP="00915BF9">
      <w:pPr>
        <w:pStyle w:val="a5"/>
        <w:spacing w:line="432" w:lineRule="auto"/>
        <w:rPr>
          <w:rFonts w:hint="eastAsia"/>
        </w:rPr>
      </w:pPr>
      <w:r>
        <w:rPr>
          <w:rFonts w:hint="eastAsia"/>
        </w:rPr>
        <w:t>    第九条 合格投资者应当于上年度结束后30日内，向中国证监会报送上年度合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报告。</w:t>
      </w:r>
    </w:p>
    <w:p w:rsidR="00915BF9" w:rsidRDefault="00915BF9" w:rsidP="00915BF9">
      <w:pPr>
        <w:pStyle w:val="a5"/>
        <w:spacing w:line="432" w:lineRule="auto"/>
        <w:rPr>
          <w:rFonts w:hint="eastAsia"/>
        </w:rPr>
      </w:pPr>
      <w:r>
        <w:rPr>
          <w:rFonts w:hint="eastAsia"/>
        </w:rPr>
        <w:t>    第十条 督察员发现投资运作中有违反境内法律法规行为的，应当及时制止，并在10个工作日内报告中国证监会。</w:t>
      </w:r>
    </w:p>
    <w:p w:rsidR="00915BF9" w:rsidRDefault="00915BF9" w:rsidP="00915BF9">
      <w:pPr>
        <w:pStyle w:val="a5"/>
        <w:spacing w:line="432" w:lineRule="auto"/>
        <w:rPr>
          <w:rFonts w:hint="eastAsia"/>
        </w:rPr>
      </w:pPr>
      <w:r>
        <w:rPr>
          <w:rFonts w:hint="eastAsia"/>
        </w:rPr>
        <w:t>    第十一条 督察员应当对合格投资者运作的合法合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情况以及合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风险控制情况做出客观、公正的判断。</w:t>
      </w:r>
    </w:p>
    <w:p w:rsidR="00915BF9" w:rsidRDefault="00915BF9" w:rsidP="00915BF9">
      <w:pPr>
        <w:pStyle w:val="a5"/>
        <w:spacing w:line="432" w:lineRule="auto"/>
        <w:rPr>
          <w:rFonts w:hint="eastAsia"/>
        </w:rPr>
      </w:pPr>
      <w:r>
        <w:rPr>
          <w:rFonts w:hint="eastAsia"/>
        </w:rPr>
        <w:t>    第十二条 中国证监会定期对督察员履行职责情况及合格投资者合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运作情况进行评估。</w:t>
      </w:r>
    </w:p>
    <w:p w:rsidR="00915BF9" w:rsidRDefault="00915BF9" w:rsidP="00915BF9">
      <w:pPr>
        <w:pStyle w:val="a5"/>
        <w:spacing w:line="432" w:lineRule="auto"/>
        <w:rPr>
          <w:rFonts w:hint="eastAsia"/>
        </w:rPr>
      </w:pPr>
      <w:r>
        <w:rPr>
          <w:rFonts w:hint="eastAsia"/>
        </w:rPr>
        <w:t>    第十三条 本指导意见中“工作日”是指上海证券交易所和深圳证券交易所的正常交易日。</w:t>
      </w:r>
    </w:p>
    <w:p w:rsidR="002E6F4E" w:rsidRPr="00915BF9" w:rsidRDefault="00915BF9" w:rsidP="00915BF9">
      <w:pPr>
        <w:pStyle w:val="a5"/>
        <w:spacing w:line="432" w:lineRule="auto"/>
      </w:pPr>
      <w:r>
        <w:rPr>
          <w:rFonts w:hint="eastAsia"/>
        </w:rPr>
        <w:t>    第十四条 本指导意见自发布之日起施行。</w:t>
      </w:r>
    </w:p>
    <w:sectPr w:rsidR="002E6F4E" w:rsidRPr="00915BF9" w:rsidSect="002E6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51D" w:rsidRDefault="009E051D" w:rsidP="00915BF9">
      <w:r>
        <w:separator/>
      </w:r>
    </w:p>
  </w:endnote>
  <w:endnote w:type="continuationSeparator" w:id="0">
    <w:p w:rsidR="009E051D" w:rsidRDefault="009E051D" w:rsidP="00915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51D" w:rsidRDefault="009E051D" w:rsidP="00915BF9">
      <w:r>
        <w:separator/>
      </w:r>
    </w:p>
  </w:footnote>
  <w:footnote w:type="continuationSeparator" w:id="0">
    <w:p w:rsidR="009E051D" w:rsidRDefault="009E051D" w:rsidP="00915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BF9"/>
    <w:rsid w:val="002E6F4E"/>
    <w:rsid w:val="00915BF9"/>
    <w:rsid w:val="009E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B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BF9"/>
    <w:rPr>
      <w:sz w:val="18"/>
      <w:szCs w:val="18"/>
    </w:rPr>
  </w:style>
  <w:style w:type="paragraph" w:styleId="a5">
    <w:name w:val="Normal (Web)"/>
    <w:basedOn w:val="a"/>
    <w:uiPriority w:val="99"/>
    <w:unhideWhenUsed/>
    <w:rsid w:val="00915B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15B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</dc:creator>
  <cp:keywords/>
  <dc:description/>
  <cp:lastModifiedBy>yangl</cp:lastModifiedBy>
  <cp:revision>2</cp:revision>
  <dcterms:created xsi:type="dcterms:W3CDTF">2013-06-19T03:19:00Z</dcterms:created>
  <dcterms:modified xsi:type="dcterms:W3CDTF">2013-06-19T03:20:00Z</dcterms:modified>
</cp:coreProperties>
</file>