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4" w:rsidRPr="003C5B0E" w:rsidRDefault="003C5B0E" w:rsidP="003C5B0E">
      <w:pPr>
        <w:jc w:val="center"/>
        <w:rPr>
          <w:rFonts w:ascii="黑体" w:eastAsia="黑体" w:hint="eastAsia"/>
          <w:b/>
          <w:sz w:val="32"/>
          <w:szCs w:val="32"/>
        </w:rPr>
      </w:pPr>
      <w:r w:rsidRPr="003C5B0E">
        <w:rPr>
          <w:rFonts w:ascii="黑体" w:eastAsia="黑体" w:hint="eastAsia"/>
          <w:b/>
          <w:sz w:val="32"/>
          <w:szCs w:val="32"/>
        </w:rPr>
        <w:t>关于进一步优化基金分类审核工作有关问题的通知</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各基金管理公司、基金托管银行：</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为适应市场化改革需要，推动行业稳健发展，现就进一步优化基金分类审核工作有关问题通知如下：</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 xml:space="preserve"> 一、基金管理公司通过境内基金通道上报产品，不再按照固定收益类基金、主动投资</w:t>
      </w:r>
      <w:proofErr w:type="gramStart"/>
      <w:r w:rsidRPr="003C5B0E">
        <w:rPr>
          <w:rFonts w:ascii="仿宋_GB2312" w:eastAsia="仿宋_GB2312" w:hint="eastAsia"/>
          <w:sz w:val="28"/>
          <w:szCs w:val="28"/>
        </w:rPr>
        <w:t>的偏股类</w:t>
      </w:r>
      <w:proofErr w:type="gramEnd"/>
      <w:r w:rsidRPr="003C5B0E">
        <w:rPr>
          <w:rFonts w:ascii="仿宋_GB2312" w:eastAsia="仿宋_GB2312" w:hint="eastAsia"/>
          <w:sz w:val="28"/>
          <w:szCs w:val="28"/>
        </w:rPr>
        <w:t>基金、指数类股票基金的分类方式分别排队，可以同时上报三只基金的募集申请，三只基金可以是同一类型，也可以是不同类型。QDII基金、创新产品和特定资产管理计划仍按原方式申报。</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二、基金管理公司在本通知实施之前已经上报但尚未核准和已经核准但尚未募集成立的境内基金总数少于三只的，可以根据自身具体情况，另行上报境内基金的募集申请。基金管理公司已经上报但尚未核准和已经核准但尚未募集成立的境内基金总数达到三只的，不得再上报境内基金的募集申请。</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三、各基金管理公司在上报基金募集申请时，应当根据自身投资管理能力和销售服务水平等自身条件，认真做好产品规划、人员储备等各项工作。</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四、《关于进一步优化基金审核工作有关问题的通知》（基金部通知【2009】44号）同时废止。</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五、本通知自发布之日起实施。</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 xml:space="preserve">                                 </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 xml:space="preserve">                                       基金监管部</w:t>
      </w:r>
    </w:p>
    <w:p w:rsidR="003C5B0E" w:rsidRPr="003C5B0E" w:rsidRDefault="003C5B0E" w:rsidP="003C5B0E">
      <w:pPr>
        <w:rPr>
          <w:rFonts w:ascii="仿宋_GB2312" w:eastAsia="仿宋_GB2312" w:hint="eastAsia"/>
          <w:sz w:val="28"/>
          <w:szCs w:val="28"/>
        </w:rPr>
      </w:pPr>
      <w:r w:rsidRPr="003C5B0E">
        <w:rPr>
          <w:rFonts w:ascii="仿宋_GB2312" w:eastAsia="仿宋_GB2312" w:hint="eastAsia"/>
          <w:sz w:val="28"/>
          <w:szCs w:val="28"/>
        </w:rPr>
        <w:t xml:space="preserve">                               二</w:t>
      </w:r>
      <w:r w:rsidRPr="003C5B0E">
        <w:rPr>
          <w:rFonts w:ascii="仿宋_GB2312" w:hint="eastAsia"/>
          <w:sz w:val="28"/>
          <w:szCs w:val="28"/>
        </w:rPr>
        <w:t>〇</w:t>
      </w:r>
      <w:r w:rsidRPr="003C5B0E">
        <w:rPr>
          <w:rFonts w:ascii="仿宋_GB2312" w:eastAsia="仿宋_GB2312" w:hint="eastAsia"/>
          <w:sz w:val="28"/>
          <w:szCs w:val="28"/>
        </w:rPr>
        <w:t>一二年三月二日</w:t>
      </w:r>
    </w:p>
    <w:p w:rsidR="003C5B0E" w:rsidRPr="003C5B0E" w:rsidRDefault="003C5B0E" w:rsidP="003C5B0E">
      <w:pPr>
        <w:rPr>
          <w:rFonts w:ascii="仿宋_GB2312" w:eastAsia="仿宋_GB2312" w:hint="eastAsia"/>
          <w:sz w:val="28"/>
          <w:szCs w:val="28"/>
        </w:rPr>
      </w:pPr>
    </w:p>
    <w:sectPr w:rsidR="003C5B0E" w:rsidRPr="003C5B0E" w:rsidSect="003C5B0E">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41" w:rsidRDefault="00654441" w:rsidP="003C5B0E">
      <w:r>
        <w:separator/>
      </w:r>
    </w:p>
  </w:endnote>
  <w:endnote w:type="continuationSeparator" w:id="0">
    <w:p w:rsidR="00654441" w:rsidRDefault="00654441" w:rsidP="003C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41" w:rsidRDefault="00654441" w:rsidP="003C5B0E">
      <w:r>
        <w:separator/>
      </w:r>
    </w:p>
  </w:footnote>
  <w:footnote w:type="continuationSeparator" w:id="0">
    <w:p w:rsidR="00654441" w:rsidRDefault="00654441" w:rsidP="003C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B0E"/>
    <w:rsid w:val="003C5B0E"/>
    <w:rsid w:val="00654441"/>
    <w:rsid w:val="00B60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B0E"/>
    <w:rPr>
      <w:sz w:val="18"/>
      <w:szCs w:val="18"/>
    </w:rPr>
  </w:style>
  <w:style w:type="paragraph" w:styleId="a4">
    <w:name w:val="footer"/>
    <w:basedOn w:val="a"/>
    <w:link w:val="Char0"/>
    <w:uiPriority w:val="99"/>
    <w:semiHidden/>
    <w:unhideWhenUsed/>
    <w:rsid w:val="003C5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B0E"/>
    <w:rPr>
      <w:sz w:val="18"/>
      <w:szCs w:val="18"/>
    </w:rPr>
  </w:style>
</w:styles>
</file>

<file path=word/webSettings.xml><?xml version="1.0" encoding="utf-8"?>
<w:webSettings xmlns:r="http://schemas.openxmlformats.org/officeDocument/2006/relationships" xmlns:w="http://schemas.openxmlformats.org/wordprocessingml/2006/main">
  <w:divs>
    <w:div w:id="1076904901">
      <w:bodyDiv w:val="1"/>
      <w:marLeft w:val="300"/>
      <w:marRight w:val="150"/>
      <w:marTop w:val="300"/>
      <w:marBottom w:val="0"/>
      <w:divBdr>
        <w:top w:val="none" w:sz="0" w:space="0" w:color="auto"/>
        <w:left w:val="none" w:sz="0" w:space="0" w:color="auto"/>
        <w:bottom w:val="none" w:sz="0" w:space="0" w:color="auto"/>
        <w:right w:val="none" w:sz="0" w:space="0" w:color="auto"/>
      </w:divBdr>
      <w:divsChild>
        <w:div w:id="1083576042">
          <w:marLeft w:val="0"/>
          <w:marRight w:val="0"/>
          <w:marTop w:val="0"/>
          <w:marBottom w:val="0"/>
          <w:divBdr>
            <w:top w:val="single" w:sz="6" w:space="0" w:color="000000"/>
            <w:left w:val="single" w:sz="6" w:space="0" w:color="000000"/>
            <w:bottom w:val="single" w:sz="6" w:space="0" w:color="000000"/>
            <w:right w:val="single" w:sz="6" w:space="0" w:color="000000"/>
          </w:divBdr>
          <w:divsChild>
            <w:div w:id="196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hsfund</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2012-12-18T05:46:00Z</dcterms:created>
  <dcterms:modified xsi:type="dcterms:W3CDTF">2012-12-18T05:47:00Z</dcterms:modified>
</cp:coreProperties>
</file>