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1F8" w:rsidRDefault="008B31F8" w:rsidP="008B31F8">
      <w:pPr>
        <w:pStyle w:val="a5"/>
        <w:spacing w:line="360" w:lineRule="auto"/>
        <w:ind w:firstLine="360"/>
        <w:jc w:val="center"/>
        <w:rPr>
          <w:rFonts w:hint="eastAsia"/>
          <w:color w:val="000000"/>
          <w:sz w:val="18"/>
          <w:szCs w:val="18"/>
        </w:rPr>
      </w:pPr>
      <w:r>
        <w:rPr>
          <w:rFonts w:ascii="黑体" w:eastAsia="黑体" w:hint="eastAsia"/>
          <w:color w:val="000000"/>
          <w:bdr w:val="none" w:sz="0" w:space="0" w:color="auto" w:frame="1"/>
        </w:rPr>
        <w:t>中国证券监督管理委员会公告</w:t>
      </w:r>
      <w:r>
        <w:rPr>
          <w:rFonts w:hint="eastAsia"/>
          <w:color w:val="000000"/>
          <w:sz w:val="21"/>
          <w:szCs w:val="21"/>
          <w:bdr w:val="none" w:sz="0" w:space="0" w:color="auto" w:frame="1"/>
        </w:rPr>
        <w:t xml:space="preserve"> </w:t>
      </w:r>
    </w:p>
    <w:p w:rsidR="008B31F8" w:rsidRDefault="008B31F8" w:rsidP="008B31F8">
      <w:pPr>
        <w:pStyle w:val="a5"/>
        <w:spacing w:line="360" w:lineRule="auto"/>
        <w:ind w:firstLine="360"/>
        <w:jc w:val="center"/>
        <w:rPr>
          <w:rFonts w:hint="eastAsia"/>
          <w:color w:val="000000"/>
          <w:sz w:val="18"/>
          <w:szCs w:val="18"/>
        </w:rPr>
      </w:pPr>
      <w:r>
        <w:rPr>
          <w:rFonts w:hint="eastAsia"/>
          <w:color w:val="000000"/>
          <w:sz w:val="18"/>
          <w:szCs w:val="18"/>
        </w:rPr>
        <w:t> </w:t>
      </w:r>
    </w:p>
    <w:p w:rsidR="008B31F8" w:rsidRDefault="008B31F8" w:rsidP="008B31F8">
      <w:pPr>
        <w:pStyle w:val="a5"/>
        <w:spacing w:line="360" w:lineRule="auto"/>
        <w:ind w:firstLine="360"/>
        <w:jc w:val="center"/>
        <w:rPr>
          <w:rFonts w:hint="eastAsia"/>
          <w:color w:val="000000"/>
          <w:sz w:val="18"/>
          <w:szCs w:val="18"/>
        </w:rPr>
      </w:pPr>
      <w:r>
        <w:rPr>
          <w:rFonts w:hint="eastAsia"/>
          <w:color w:val="000000"/>
          <w:sz w:val="21"/>
          <w:szCs w:val="21"/>
          <w:bdr w:val="none" w:sz="0" w:space="0" w:color="auto" w:frame="1"/>
        </w:rPr>
        <w:t xml:space="preserve">〔2011〕12 号 </w:t>
      </w:r>
    </w:p>
    <w:p w:rsidR="008B31F8" w:rsidRDefault="008B31F8" w:rsidP="008B31F8">
      <w:pPr>
        <w:pStyle w:val="a5"/>
        <w:spacing w:line="360" w:lineRule="auto"/>
        <w:ind w:firstLine="360"/>
        <w:jc w:val="center"/>
        <w:rPr>
          <w:rFonts w:hint="eastAsia"/>
          <w:color w:val="000000"/>
          <w:sz w:val="18"/>
          <w:szCs w:val="18"/>
        </w:rPr>
      </w:pPr>
      <w:r>
        <w:rPr>
          <w:rFonts w:hint="eastAsia"/>
          <w:color w:val="000000"/>
          <w:sz w:val="21"/>
          <w:szCs w:val="21"/>
        </w:rPr>
        <w:t> </w:t>
      </w:r>
    </w:p>
    <w:p w:rsidR="008B31F8" w:rsidRDefault="008B31F8" w:rsidP="008B31F8">
      <w:pPr>
        <w:pStyle w:val="a5"/>
        <w:spacing w:line="360" w:lineRule="auto"/>
        <w:ind w:firstLine="360"/>
        <w:rPr>
          <w:rFonts w:hint="eastAsia"/>
          <w:color w:val="000000"/>
          <w:sz w:val="18"/>
          <w:szCs w:val="18"/>
        </w:rPr>
      </w:pPr>
      <w:r>
        <w:rPr>
          <w:rFonts w:hint="eastAsia"/>
          <w:color w:val="000000"/>
          <w:sz w:val="21"/>
          <w:szCs w:val="21"/>
          <w:bdr w:val="none" w:sz="0" w:space="0" w:color="auto" w:frame="1"/>
        </w:rPr>
        <w:t xml:space="preserve">　　　　  现公布《合格境外机构投资者参与股指期货交易指引》，自公布之日起施行。 </w:t>
      </w:r>
    </w:p>
    <w:p w:rsidR="008B31F8" w:rsidRDefault="008B31F8" w:rsidP="008B31F8">
      <w:pPr>
        <w:pStyle w:val="a5"/>
        <w:spacing w:line="360" w:lineRule="auto"/>
        <w:ind w:firstLine="360"/>
        <w:rPr>
          <w:rFonts w:hint="eastAsia"/>
          <w:color w:val="000000"/>
          <w:sz w:val="18"/>
          <w:szCs w:val="18"/>
        </w:rPr>
      </w:pPr>
      <w:r>
        <w:rPr>
          <w:rFonts w:hint="eastAsia"/>
          <w:color w:val="000000"/>
          <w:sz w:val="21"/>
          <w:szCs w:val="21"/>
          <w:bdr w:val="none" w:sz="0" w:space="0" w:color="auto" w:frame="1"/>
        </w:rPr>
        <w:t xml:space="preserve">　　　　　　　　　　　　　　 </w:t>
      </w:r>
    </w:p>
    <w:p w:rsidR="008B31F8" w:rsidRDefault="008B31F8" w:rsidP="008B31F8">
      <w:pPr>
        <w:pStyle w:val="a5"/>
        <w:spacing w:line="360" w:lineRule="auto"/>
        <w:ind w:firstLine="360"/>
        <w:rPr>
          <w:rFonts w:hint="eastAsia"/>
          <w:color w:val="000000"/>
          <w:sz w:val="18"/>
          <w:szCs w:val="18"/>
        </w:rPr>
      </w:pPr>
      <w:r>
        <w:rPr>
          <w:rFonts w:hint="eastAsia"/>
          <w:color w:val="000000"/>
          <w:sz w:val="21"/>
          <w:szCs w:val="21"/>
          <w:bdr w:val="none" w:sz="0" w:space="0" w:color="auto" w:frame="1"/>
        </w:rPr>
        <w:t xml:space="preserve">　　　　　　　　　　　　　　　　　　　　　　　　　　　　　　　　　　中国证券监督管理委员会</w:t>
      </w:r>
    </w:p>
    <w:p w:rsidR="008B31F8" w:rsidRDefault="008B31F8" w:rsidP="008B31F8">
      <w:pPr>
        <w:pStyle w:val="a5"/>
        <w:spacing w:line="360" w:lineRule="auto"/>
        <w:ind w:firstLine="360"/>
        <w:rPr>
          <w:rFonts w:hint="eastAsia"/>
          <w:color w:val="000000"/>
          <w:sz w:val="18"/>
          <w:szCs w:val="18"/>
        </w:rPr>
      </w:pPr>
      <w:r>
        <w:rPr>
          <w:rFonts w:hint="eastAsia"/>
          <w:color w:val="000000"/>
          <w:sz w:val="21"/>
          <w:szCs w:val="21"/>
          <w:bdr w:val="none" w:sz="0" w:space="0" w:color="auto" w:frame="1"/>
        </w:rPr>
        <w:t xml:space="preserve">　　　　　　　　　　　　　　　　　　　　　　　　　　　　　　　　　　　二○一一年五月四日</w:t>
      </w:r>
    </w:p>
    <w:p w:rsidR="008B31F8" w:rsidRDefault="008B31F8" w:rsidP="008B31F8">
      <w:pPr>
        <w:pStyle w:val="a5"/>
        <w:spacing w:line="360" w:lineRule="auto"/>
        <w:ind w:firstLine="360"/>
        <w:rPr>
          <w:rFonts w:hint="eastAsia"/>
          <w:color w:val="000000"/>
          <w:sz w:val="18"/>
          <w:szCs w:val="18"/>
        </w:rPr>
      </w:pPr>
      <w:r>
        <w:rPr>
          <w:rFonts w:hint="eastAsia"/>
          <w:color w:val="000000"/>
          <w:sz w:val="18"/>
          <w:szCs w:val="18"/>
        </w:rPr>
        <w:t> </w:t>
      </w:r>
    </w:p>
    <w:p w:rsidR="008B31F8" w:rsidRDefault="008B31F8" w:rsidP="008B31F8">
      <w:pPr>
        <w:pStyle w:val="a5"/>
        <w:spacing w:line="360" w:lineRule="auto"/>
        <w:ind w:firstLine="360"/>
        <w:jc w:val="center"/>
        <w:rPr>
          <w:rFonts w:hint="eastAsia"/>
          <w:color w:val="000000"/>
          <w:sz w:val="18"/>
          <w:szCs w:val="18"/>
          <w:bdr w:val="none" w:sz="0" w:space="0" w:color="auto" w:frame="1"/>
        </w:rPr>
      </w:pPr>
      <w:r>
        <w:rPr>
          <w:rFonts w:ascii="黑体" w:eastAsia="黑体" w:hint="eastAsia"/>
          <w:color w:val="000000"/>
          <w:bdr w:val="none" w:sz="0" w:space="0" w:color="auto" w:frame="1"/>
        </w:rPr>
        <w:t>合格境外机构投资者参与股指期货交易指引</w:t>
      </w:r>
    </w:p>
    <w:p w:rsidR="008B31F8" w:rsidRDefault="008B31F8" w:rsidP="008B31F8">
      <w:pPr>
        <w:pStyle w:val="a5"/>
        <w:spacing w:line="360" w:lineRule="auto"/>
        <w:ind w:firstLine="360"/>
        <w:rPr>
          <w:rFonts w:hint="eastAsia"/>
          <w:color w:val="000000"/>
          <w:sz w:val="18"/>
          <w:szCs w:val="18"/>
          <w:bdr w:val="none" w:sz="0" w:space="0" w:color="auto" w:frame="1"/>
        </w:rPr>
      </w:pPr>
      <w:r>
        <w:rPr>
          <w:rFonts w:hint="eastAsia"/>
          <w:color w:val="000000"/>
          <w:sz w:val="21"/>
          <w:szCs w:val="21"/>
          <w:bdr w:val="none" w:sz="0" w:space="0" w:color="auto" w:frame="1"/>
        </w:rPr>
        <w:t xml:space="preserve">　　</w:t>
      </w:r>
    </w:p>
    <w:p w:rsidR="008B31F8" w:rsidRDefault="008B31F8" w:rsidP="008B31F8">
      <w:pPr>
        <w:pStyle w:val="a5"/>
        <w:spacing w:line="360" w:lineRule="auto"/>
        <w:ind w:firstLine="360"/>
        <w:rPr>
          <w:rFonts w:hint="eastAsia"/>
          <w:color w:val="000000"/>
          <w:sz w:val="18"/>
          <w:szCs w:val="18"/>
          <w:bdr w:val="none" w:sz="0" w:space="0" w:color="auto" w:frame="1"/>
        </w:rPr>
      </w:pPr>
      <w:r>
        <w:rPr>
          <w:rFonts w:hint="eastAsia"/>
          <w:color w:val="000000"/>
          <w:sz w:val="21"/>
          <w:szCs w:val="21"/>
          <w:bdr w:val="none" w:sz="0" w:space="0" w:color="auto" w:frame="1"/>
        </w:rPr>
        <w:t>第一条　为了规范合格境外机构投资者（以下简称合格投资者）参与股指期货交易的行为，根据《合格境外机构投资者境内证券投资管理办法》（证监会令第36号）、《合格境外机构投资者境内证券投资外汇管理规定》（国家外汇管理局公告〔2009〕第1号）等规定，制定本指引。</w:t>
      </w:r>
    </w:p>
    <w:p w:rsidR="008B31F8" w:rsidRDefault="008B31F8" w:rsidP="008B31F8">
      <w:pPr>
        <w:pStyle w:val="a5"/>
        <w:spacing w:line="360" w:lineRule="auto"/>
        <w:ind w:firstLine="360"/>
        <w:rPr>
          <w:rFonts w:hint="eastAsia"/>
          <w:color w:val="000000"/>
          <w:sz w:val="18"/>
          <w:szCs w:val="18"/>
          <w:bdr w:val="none" w:sz="0" w:space="0" w:color="auto" w:frame="1"/>
        </w:rPr>
      </w:pPr>
      <w:r>
        <w:rPr>
          <w:rFonts w:hint="eastAsia"/>
          <w:color w:val="000000"/>
          <w:sz w:val="21"/>
          <w:szCs w:val="21"/>
          <w:bdr w:val="none" w:sz="0" w:space="0" w:color="auto" w:frame="1"/>
        </w:rPr>
        <w:t>第二条　本指引所称股指期货，是指经中国证券监督管理委员会（以下简称中国证监会）批准、在中国金融期货交易所（以下简称中金所）上市交易的、以股票价格指数为标的</w:t>
      </w:r>
      <w:proofErr w:type="gramStart"/>
      <w:r>
        <w:rPr>
          <w:rFonts w:hint="eastAsia"/>
          <w:color w:val="000000"/>
          <w:sz w:val="21"/>
          <w:szCs w:val="21"/>
          <w:bdr w:val="none" w:sz="0" w:space="0" w:color="auto" w:frame="1"/>
        </w:rPr>
        <w:t>的</w:t>
      </w:r>
      <w:proofErr w:type="gramEnd"/>
      <w:r>
        <w:rPr>
          <w:rFonts w:hint="eastAsia"/>
          <w:color w:val="000000"/>
          <w:sz w:val="21"/>
          <w:szCs w:val="21"/>
          <w:bdr w:val="none" w:sz="0" w:space="0" w:color="auto" w:frame="1"/>
        </w:rPr>
        <w:t>金融期货合约。</w:t>
      </w:r>
    </w:p>
    <w:p w:rsidR="008B31F8" w:rsidRDefault="008B31F8" w:rsidP="008B31F8">
      <w:pPr>
        <w:pStyle w:val="a5"/>
        <w:spacing w:line="360" w:lineRule="auto"/>
        <w:ind w:firstLine="360"/>
        <w:rPr>
          <w:rFonts w:hint="eastAsia"/>
          <w:color w:val="000000"/>
          <w:sz w:val="18"/>
          <w:szCs w:val="18"/>
          <w:bdr w:val="none" w:sz="0" w:space="0" w:color="auto" w:frame="1"/>
        </w:rPr>
      </w:pPr>
      <w:r>
        <w:rPr>
          <w:rFonts w:hint="eastAsia"/>
          <w:color w:val="000000"/>
          <w:sz w:val="21"/>
          <w:szCs w:val="21"/>
          <w:bdr w:val="none" w:sz="0" w:space="0" w:color="auto" w:frame="1"/>
        </w:rPr>
        <w:t>第三条　合格投资者参与股指期货交易，只能从事套期保值交易，并按照中金所的有关规定执行。</w:t>
      </w:r>
    </w:p>
    <w:p w:rsidR="008B31F8" w:rsidRDefault="008B31F8" w:rsidP="008B31F8">
      <w:pPr>
        <w:pStyle w:val="a5"/>
        <w:spacing w:line="360" w:lineRule="auto"/>
        <w:ind w:firstLine="360"/>
        <w:rPr>
          <w:rFonts w:hint="eastAsia"/>
          <w:color w:val="000000"/>
          <w:sz w:val="18"/>
          <w:szCs w:val="18"/>
          <w:bdr w:val="none" w:sz="0" w:space="0" w:color="auto" w:frame="1"/>
        </w:rPr>
      </w:pPr>
      <w:r>
        <w:rPr>
          <w:rFonts w:hint="eastAsia"/>
          <w:color w:val="000000"/>
          <w:sz w:val="21"/>
          <w:szCs w:val="21"/>
          <w:bdr w:val="none" w:sz="0" w:space="0" w:color="auto" w:frame="1"/>
        </w:rPr>
        <w:t>第四条　合格投资者参与股指期货交易，除中国证监会另有规定外，应当遵守下列要求：</w:t>
      </w:r>
    </w:p>
    <w:p w:rsidR="008B31F8" w:rsidRDefault="008B31F8" w:rsidP="008B31F8">
      <w:pPr>
        <w:pStyle w:val="a5"/>
        <w:spacing w:line="360" w:lineRule="auto"/>
        <w:ind w:firstLine="360"/>
        <w:rPr>
          <w:rFonts w:hint="eastAsia"/>
          <w:color w:val="000000"/>
          <w:sz w:val="18"/>
          <w:szCs w:val="18"/>
          <w:bdr w:val="none" w:sz="0" w:space="0" w:color="auto" w:frame="1"/>
        </w:rPr>
      </w:pPr>
      <w:r>
        <w:rPr>
          <w:rFonts w:hint="eastAsia"/>
          <w:color w:val="000000"/>
          <w:sz w:val="21"/>
          <w:szCs w:val="21"/>
          <w:bdr w:val="none" w:sz="0" w:space="0" w:color="auto" w:frame="1"/>
        </w:rPr>
        <w:t>（一）在任何交易日日终，合格投资者持有的股指期货合约价值不得超过其投资额度。</w:t>
      </w:r>
    </w:p>
    <w:p w:rsidR="008B31F8" w:rsidRDefault="008B31F8" w:rsidP="008B31F8">
      <w:pPr>
        <w:pStyle w:val="a5"/>
        <w:spacing w:line="360" w:lineRule="auto"/>
        <w:ind w:firstLine="360"/>
        <w:rPr>
          <w:rFonts w:hint="eastAsia"/>
          <w:color w:val="000000"/>
          <w:sz w:val="18"/>
          <w:szCs w:val="18"/>
          <w:bdr w:val="none" w:sz="0" w:space="0" w:color="auto" w:frame="1"/>
        </w:rPr>
      </w:pPr>
      <w:r>
        <w:rPr>
          <w:rFonts w:hint="eastAsia"/>
          <w:color w:val="000000"/>
          <w:sz w:val="21"/>
          <w:szCs w:val="21"/>
          <w:bdr w:val="none" w:sz="0" w:space="0" w:color="auto" w:frame="1"/>
        </w:rPr>
        <w:t>（二）在任何交易日日内，合格投资者的股指期货成交金额（不包括平仓）不得超过其投资额度。</w:t>
      </w:r>
    </w:p>
    <w:p w:rsidR="008B31F8" w:rsidRDefault="008B31F8" w:rsidP="008B31F8">
      <w:pPr>
        <w:pStyle w:val="a5"/>
        <w:spacing w:line="360" w:lineRule="auto"/>
        <w:ind w:firstLine="360"/>
        <w:rPr>
          <w:rFonts w:hint="eastAsia"/>
          <w:color w:val="000000"/>
          <w:sz w:val="18"/>
          <w:szCs w:val="18"/>
          <w:bdr w:val="none" w:sz="0" w:space="0" w:color="auto" w:frame="1"/>
        </w:rPr>
      </w:pPr>
      <w:r>
        <w:rPr>
          <w:rFonts w:hint="eastAsia"/>
          <w:color w:val="000000"/>
          <w:sz w:val="21"/>
          <w:szCs w:val="21"/>
          <w:bdr w:val="none" w:sz="0" w:space="0" w:color="auto" w:frame="1"/>
        </w:rPr>
        <w:t>（三）法律法规的其他规定。</w:t>
      </w:r>
    </w:p>
    <w:p w:rsidR="008B31F8" w:rsidRDefault="008B31F8" w:rsidP="008B31F8">
      <w:pPr>
        <w:pStyle w:val="a5"/>
        <w:spacing w:line="360" w:lineRule="auto"/>
        <w:ind w:firstLine="360"/>
        <w:rPr>
          <w:rFonts w:hint="eastAsia"/>
          <w:color w:val="000000"/>
          <w:sz w:val="18"/>
          <w:szCs w:val="18"/>
          <w:bdr w:val="none" w:sz="0" w:space="0" w:color="auto" w:frame="1"/>
        </w:rPr>
      </w:pPr>
      <w:r>
        <w:rPr>
          <w:rFonts w:hint="eastAsia"/>
          <w:color w:val="000000"/>
          <w:sz w:val="21"/>
          <w:szCs w:val="21"/>
          <w:bdr w:val="none" w:sz="0" w:space="0" w:color="auto" w:frame="1"/>
        </w:rPr>
        <w:t>由于证券期货市场价格波动等原因导致持有的期货合约价值不符合上述规定的，合格投资者应当在10个交易日内调整完毕。</w:t>
      </w:r>
    </w:p>
    <w:p w:rsidR="008B31F8" w:rsidRDefault="008B31F8" w:rsidP="008B31F8">
      <w:pPr>
        <w:pStyle w:val="a5"/>
        <w:spacing w:line="360" w:lineRule="auto"/>
        <w:ind w:firstLine="360"/>
        <w:rPr>
          <w:rFonts w:hint="eastAsia"/>
          <w:color w:val="000000"/>
          <w:sz w:val="18"/>
          <w:szCs w:val="18"/>
          <w:bdr w:val="none" w:sz="0" w:space="0" w:color="auto" w:frame="1"/>
        </w:rPr>
      </w:pPr>
      <w:r>
        <w:rPr>
          <w:rFonts w:hint="eastAsia"/>
          <w:color w:val="000000"/>
          <w:sz w:val="21"/>
          <w:szCs w:val="21"/>
          <w:bdr w:val="none" w:sz="0" w:space="0" w:color="auto" w:frame="1"/>
        </w:rPr>
        <w:lastRenderedPageBreak/>
        <w:t>第五条　参与股指期货交易的合格投资者应当按照中金所的有关规定，办理开户、申请套期保值额度等事宜。投资额度发生变化的，合格投资者应当在3个工作日内报告中金所。需要调整套期保值额度的，应当按照中金所的有关规定办理。</w:t>
      </w:r>
    </w:p>
    <w:p w:rsidR="008B31F8" w:rsidRDefault="008B31F8" w:rsidP="008B31F8">
      <w:pPr>
        <w:pStyle w:val="a5"/>
        <w:spacing w:line="360" w:lineRule="auto"/>
        <w:ind w:firstLine="360"/>
        <w:rPr>
          <w:rFonts w:hint="eastAsia"/>
          <w:color w:val="000000"/>
          <w:sz w:val="18"/>
          <w:szCs w:val="18"/>
          <w:bdr w:val="none" w:sz="0" w:space="0" w:color="auto" w:frame="1"/>
        </w:rPr>
      </w:pPr>
      <w:r>
        <w:rPr>
          <w:rFonts w:hint="eastAsia"/>
          <w:color w:val="000000"/>
          <w:sz w:val="21"/>
          <w:szCs w:val="21"/>
          <w:bdr w:val="none" w:sz="0" w:space="0" w:color="auto" w:frame="1"/>
        </w:rPr>
        <w:t>第六条　合格投资者参与股指期货交易，应当根据中国人民银行、国家外汇管理局（以下简称国家外汇局）核准开立的不同资金账户分别向中金所申请交易编码。合格投资者的不同资金账户参与股指期货交易应当独立运作。</w:t>
      </w:r>
    </w:p>
    <w:p w:rsidR="008B31F8" w:rsidRDefault="008B31F8" w:rsidP="008B31F8">
      <w:pPr>
        <w:pStyle w:val="a5"/>
        <w:spacing w:line="360" w:lineRule="auto"/>
        <w:ind w:firstLine="360"/>
        <w:rPr>
          <w:rFonts w:hint="eastAsia"/>
          <w:color w:val="000000"/>
          <w:sz w:val="18"/>
          <w:szCs w:val="18"/>
          <w:bdr w:val="none" w:sz="0" w:space="0" w:color="auto" w:frame="1"/>
        </w:rPr>
      </w:pPr>
      <w:r>
        <w:rPr>
          <w:rFonts w:hint="eastAsia"/>
          <w:color w:val="000000"/>
          <w:sz w:val="21"/>
          <w:szCs w:val="21"/>
          <w:bdr w:val="none" w:sz="0" w:space="0" w:color="auto" w:frame="1"/>
        </w:rPr>
        <w:t>每个合格投资者可以分别委托不超过3家境内期货公司进行股指期货交易。</w:t>
      </w:r>
    </w:p>
    <w:p w:rsidR="008B31F8" w:rsidRDefault="008B31F8" w:rsidP="008B31F8">
      <w:pPr>
        <w:pStyle w:val="a5"/>
        <w:spacing w:line="360" w:lineRule="auto"/>
        <w:ind w:firstLine="360"/>
        <w:rPr>
          <w:rFonts w:hint="eastAsia"/>
          <w:color w:val="000000"/>
          <w:sz w:val="18"/>
          <w:szCs w:val="18"/>
          <w:bdr w:val="none" w:sz="0" w:space="0" w:color="auto" w:frame="1"/>
        </w:rPr>
      </w:pPr>
      <w:r>
        <w:rPr>
          <w:rFonts w:hint="eastAsia"/>
          <w:color w:val="000000"/>
          <w:sz w:val="21"/>
          <w:szCs w:val="21"/>
          <w:bdr w:val="none" w:sz="0" w:space="0" w:color="auto" w:frame="1"/>
        </w:rPr>
        <w:t>第七条　合格投资者、托管人、期货公司应当根据中金所的有关规定，确定合格投资者参与股指期货交易的交易结算模式，明确交易执行、资金划拨、资金清算、会计核算、保证金存管等业务中的权利和义务，建立资金安全保障机制。</w:t>
      </w:r>
    </w:p>
    <w:p w:rsidR="008B31F8" w:rsidRDefault="008B31F8" w:rsidP="008B31F8">
      <w:pPr>
        <w:pStyle w:val="a5"/>
        <w:spacing w:line="360" w:lineRule="auto"/>
        <w:ind w:firstLine="360"/>
        <w:rPr>
          <w:rFonts w:hint="eastAsia"/>
          <w:color w:val="000000"/>
          <w:sz w:val="18"/>
          <w:szCs w:val="18"/>
          <w:bdr w:val="none" w:sz="0" w:space="0" w:color="auto" w:frame="1"/>
        </w:rPr>
      </w:pPr>
      <w:r>
        <w:rPr>
          <w:rFonts w:hint="eastAsia"/>
          <w:color w:val="000000"/>
          <w:sz w:val="21"/>
          <w:szCs w:val="21"/>
          <w:bdr w:val="none" w:sz="0" w:space="0" w:color="auto" w:frame="1"/>
        </w:rPr>
        <w:t>第八条　合格投资者应当严格遵守相关法律法规和中金所的有关业务规则，及时履行信息披露义务。</w:t>
      </w:r>
    </w:p>
    <w:p w:rsidR="008B31F8" w:rsidRDefault="008B31F8" w:rsidP="008B31F8">
      <w:pPr>
        <w:pStyle w:val="a5"/>
        <w:spacing w:line="360" w:lineRule="auto"/>
        <w:ind w:firstLine="360"/>
        <w:rPr>
          <w:rFonts w:hint="eastAsia"/>
          <w:color w:val="000000"/>
          <w:sz w:val="18"/>
          <w:szCs w:val="18"/>
          <w:bdr w:val="none" w:sz="0" w:space="0" w:color="auto" w:frame="1"/>
        </w:rPr>
      </w:pPr>
      <w:r>
        <w:rPr>
          <w:rFonts w:hint="eastAsia"/>
          <w:color w:val="000000"/>
          <w:sz w:val="21"/>
          <w:szCs w:val="21"/>
          <w:bdr w:val="none" w:sz="0" w:space="0" w:color="auto" w:frame="1"/>
        </w:rPr>
        <w:t>第九条　托管人、期货公司应当严格执行合格投资者参与股指期货交易的有关规定，加强对合格投资者交易行为的监督、核查和风险控制，按时履行中国证监会和国家外汇局要求的数据统计和报备责任，并及时报告所发现的异常交易和违法违规行为。</w:t>
      </w:r>
    </w:p>
    <w:p w:rsidR="008B31F8" w:rsidRDefault="008B31F8" w:rsidP="008B31F8">
      <w:pPr>
        <w:pStyle w:val="a5"/>
        <w:spacing w:line="360" w:lineRule="auto"/>
        <w:ind w:firstLine="360"/>
        <w:rPr>
          <w:rFonts w:hint="eastAsia"/>
          <w:color w:val="000000"/>
          <w:sz w:val="18"/>
          <w:szCs w:val="18"/>
          <w:bdr w:val="none" w:sz="0" w:space="0" w:color="auto" w:frame="1"/>
        </w:rPr>
      </w:pPr>
      <w:r>
        <w:rPr>
          <w:rFonts w:hint="eastAsia"/>
          <w:color w:val="000000"/>
          <w:sz w:val="21"/>
          <w:szCs w:val="21"/>
          <w:bdr w:val="none" w:sz="0" w:space="0" w:color="auto" w:frame="1"/>
        </w:rPr>
        <w:t>托管人应当定期向中国证监会报告合格投资者参与股指期货交易的投资和交易情况。</w:t>
      </w:r>
    </w:p>
    <w:p w:rsidR="008B31F8" w:rsidRDefault="008B31F8" w:rsidP="008B31F8">
      <w:pPr>
        <w:pStyle w:val="a5"/>
        <w:spacing w:line="360" w:lineRule="auto"/>
        <w:ind w:firstLine="360"/>
        <w:rPr>
          <w:rFonts w:hint="eastAsia"/>
          <w:color w:val="000000"/>
          <w:sz w:val="18"/>
          <w:szCs w:val="18"/>
          <w:bdr w:val="none" w:sz="0" w:space="0" w:color="auto" w:frame="1"/>
        </w:rPr>
      </w:pPr>
      <w:r>
        <w:rPr>
          <w:rFonts w:hint="eastAsia"/>
          <w:color w:val="000000"/>
          <w:sz w:val="21"/>
          <w:szCs w:val="21"/>
          <w:bdr w:val="none" w:sz="0" w:space="0" w:color="auto" w:frame="1"/>
        </w:rPr>
        <w:t>第十条　中金所应当对合格投资者参与股指期货交易的套期保值额度、交易行为等进行管理，并定期向中国证监会和国家外汇局报告批准合格投资者的套期保值额度情况。</w:t>
      </w:r>
    </w:p>
    <w:p w:rsidR="008B31F8" w:rsidRDefault="008B31F8" w:rsidP="008B31F8">
      <w:pPr>
        <w:pStyle w:val="a5"/>
        <w:spacing w:line="360" w:lineRule="auto"/>
        <w:ind w:firstLine="360"/>
        <w:rPr>
          <w:rFonts w:hint="eastAsia"/>
          <w:color w:val="000000"/>
          <w:sz w:val="18"/>
          <w:szCs w:val="18"/>
          <w:bdr w:val="none" w:sz="0" w:space="0" w:color="auto" w:frame="1"/>
        </w:rPr>
      </w:pPr>
      <w:r>
        <w:rPr>
          <w:rFonts w:hint="eastAsia"/>
          <w:color w:val="000000"/>
          <w:sz w:val="21"/>
          <w:szCs w:val="21"/>
          <w:bdr w:val="none" w:sz="0" w:space="0" w:color="auto" w:frame="1"/>
        </w:rPr>
        <w:t>第十一条　合格投资者参与股指期货交易发生重大违法违规行为的，中国证监会将依法采取处罚措施。</w:t>
      </w:r>
    </w:p>
    <w:p w:rsidR="008B31F8" w:rsidRDefault="008B31F8" w:rsidP="008B31F8">
      <w:pPr>
        <w:pStyle w:val="a5"/>
        <w:spacing w:line="360" w:lineRule="auto"/>
        <w:ind w:firstLine="360"/>
        <w:rPr>
          <w:rFonts w:hint="eastAsia"/>
          <w:color w:val="000000"/>
          <w:sz w:val="18"/>
          <w:szCs w:val="18"/>
          <w:bdr w:val="none" w:sz="0" w:space="0" w:color="auto" w:frame="1"/>
        </w:rPr>
      </w:pPr>
      <w:r>
        <w:rPr>
          <w:rFonts w:hint="eastAsia"/>
          <w:color w:val="000000"/>
          <w:sz w:val="21"/>
          <w:szCs w:val="21"/>
          <w:bdr w:val="none" w:sz="0" w:space="0" w:color="auto" w:frame="1"/>
        </w:rPr>
        <w:t>第十二条　本指引所称投资额度，是指合格投资者获得国家外汇局批准并实际汇入的或者经国家外汇局调整确认的投资本金金额。</w:t>
      </w:r>
    </w:p>
    <w:p w:rsidR="008B31F8" w:rsidRDefault="008B31F8" w:rsidP="008B31F8">
      <w:pPr>
        <w:pStyle w:val="a5"/>
        <w:spacing w:line="360" w:lineRule="auto"/>
        <w:ind w:firstLine="360"/>
        <w:rPr>
          <w:rFonts w:hint="eastAsia"/>
          <w:color w:val="000000"/>
          <w:sz w:val="18"/>
          <w:szCs w:val="18"/>
          <w:bdr w:val="none" w:sz="0" w:space="0" w:color="auto" w:frame="1"/>
        </w:rPr>
      </w:pPr>
      <w:r>
        <w:rPr>
          <w:rFonts w:hint="eastAsia"/>
          <w:color w:val="000000"/>
          <w:sz w:val="21"/>
          <w:szCs w:val="21"/>
          <w:bdr w:val="none" w:sz="0" w:space="0" w:color="auto" w:frame="1"/>
        </w:rPr>
        <w:t>第十三条　本指引自公布之日起施行。</w:t>
      </w:r>
    </w:p>
    <w:p w:rsidR="008975D6" w:rsidRPr="008B31F8" w:rsidRDefault="008975D6"/>
    <w:sectPr w:rsidR="008975D6" w:rsidRPr="008B31F8" w:rsidSect="008975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3BF" w:rsidRDefault="005463BF" w:rsidP="008B31F8">
      <w:r>
        <w:separator/>
      </w:r>
    </w:p>
  </w:endnote>
  <w:endnote w:type="continuationSeparator" w:id="0">
    <w:p w:rsidR="005463BF" w:rsidRDefault="005463BF" w:rsidP="008B31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3BF" w:rsidRDefault="005463BF" w:rsidP="008B31F8">
      <w:r>
        <w:separator/>
      </w:r>
    </w:p>
  </w:footnote>
  <w:footnote w:type="continuationSeparator" w:id="0">
    <w:p w:rsidR="005463BF" w:rsidRDefault="005463BF" w:rsidP="008B31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31F8"/>
    <w:rsid w:val="005463BF"/>
    <w:rsid w:val="008975D6"/>
    <w:rsid w:val="008B31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5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31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B31F8"/>
    <w:rPr>
      <w:sz w:val="18"/>
      <w:szCs w:val="18"/>
    </w:rPr>
  </w:style>
  <w:style w:type="paragraph" w:styleId="a4">
    <w:name w:val="footer"/>
    <w:basedOn w:val="a"/>
    <w:link w:val="Char0"/>
    <w:uiPriority w:val="99"/>
    <w:semiHidden/>
    <w:unhideWhenUsed/>
    <w:rsid w:val="008B31F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B31F8"/>
    <w:rPr>
      <w:sz w:val="18"/>
      <w:szCs w:val="18"/>
    </w:rPr>
  </w:style>
  <w:style w:type="paragraph" w:styleId="a5">
    <w:name w:val="Normal (Web)"/>
    <w:basedOn w:val="a"/>
    <w:uiPriority w:val="99"/>
    <w:semiHidden/>
    <w:unhideWhenUsed/>
    <w:rsid w:val="008B31F8"/>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05735632">
      <w:bodyDiv w:val="1"/>
      <w:marLeft w:val="0"/>
      <w:marRight w:val="0"/>
      <w:marTop w:val="0"/>
      <w:marBottom w:val="0"/>
      <w:divBdr>
        <w:top w:val="none" w:sz="0" w:space="0" w:color="auto"/>
        <w:left w:val="none" w:sz="0" w:space="0" w:color="auto"/>
        <w:bottom w:val="none" w:sz="0" w:space="0" w:color="auto"/>
        <w:right w:val="none" w:sz="0" w:space="0" w:color="auto"/>
      </w:divBdr>
      <w:divsChild>
        <w:div w:id="858783956">
          <w:marLeft w:val="0"/>
          <w:marRight w:val="0"/>
          <w:marTop w:val="0"/>
          <w:marBottom w:val="0"/>
          <w:divBdr>
            <w:top w:val="none" w:sz="0" w:space="0" w:color="auto"/>
            <w:left w:val="none" w:sz="0" w:space="0" w:color="auto"/>
            <w:bottom w:val="none" w:sz="0" w:space="0" w:color="auto"/>
            <w:right w:val="none" w:sz="0" w:space="0" w:color="auto"/>
          </w:divBdr>
          <w:divsChild>
            <w:div w:id="88044804">
              <w:marLeft w:val="0"/>
              <w:marRight w:val="0"/>
              <w:marTop w:val="0"/>
              <w:marBottom w:val="0"/>
              <w:divBdr>
                <w:top w:val="none" w:sz="0" w:space="0" w:color="auto"/>
                <w:left w:val="none" w:sz="0" w:space="0" w:color="auto"/>
                <w:bottom w:val="none" w:sz="0" w:space="0" w:color="auto"/>
                <w:right w:val="none" w:sz="0" w:space="0" w:color="auto"/>
              </w:divBdr>
              <w:divsChild>
                <w:div w:id="612593789">
                  <w:marLeft w:val="0"/>
                  <w:marRight w:val="0"/>
                  <w:marTop w:val="0"/>
                  <w:marBottom w:val="0"/>
                  <w:divBdr>
                    <w:top w:val="none" w:sz="0" w:space="0" w:color="auto"/>
                    <w:left w:val="none" w:sz="0" w:space="0" w:color="auto"/>
                    <w:bottom w:val="none" w:sz="0" w:space="0" w:color="auto"/>
                    <w:right w:val="none" w:sz="0" w:space="0" w:color="auto"/>
                  </w:divBdr>
                  <w:divsChild>
                    <w:div w:id="939995837">
                      <w:marLeft w:val="0"/>
                      <w:marRight w:val="0"/>
                      <w:marTop w:val="0"/>
                      <w:marBottom w:val="0"/>
                      <w:divBdr>
                        <w:top w:val="none" w:sz="0" w:space="0" w:color="auto"/>
                        <w:left w:val="none" w:sz="0" w:space="0" w:color="auto"/>
                        <w:bottom w:val="none" w:sz="0" w:space="0" w:color="auto"/>
                        <w:right w:val="none" w:sz="0" w:space="0" w:color="auto"/>
                      </w:divBdr>
                      <w:divsChild>
                        <w:div w:id="2605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1185</Characters>
  <Application>Microsoft Office Word</Application>
  <DocSecurity>0</DocSecurity>
  <Lines>9</Lines>
  <Paragraphs>2</Paragraphs>
  <ScaleCrop>false</ScaleCrop>
  <Company>hsfund</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yangl</dc:creator>
  <cp:keywords/>
  <dc:description/>
  <cp:lastModifiedBy>yangl</cp:lastModifiedBy>
  <cp:revision>2</cp:revision>
  <dcterms:created xsi:type="dcterms:W3CDTF">2012-12-19T05:21:00Z</dcterms:created>
  <dcterms:modified xsi:type="dcterms:W3CDTF">2012-12-19T05:22:00Z</dcterms:modified>
</cp:coreProperties>
</file>