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E7F" w:rsidRPr="006705D8" w:rsidRDefault="00FE0E7F" w:rsidP="0034300B">
      <w:pPr>
        <w:autoSpaceDE w:val="0"/>
        <w:autoSpaceDN w:val="0"/>
        <w:adjustRightInd w:val="0"/>
        <w:ind w:left="2160"/>
        <w:jc w:val="left"/>
        <w:rPr>
          <w:rFonts w:ascii="楷体_GB2312" w:eastAsia="楷体_GB2312"/>
          <w:kern w:val="0"/>
        </w:rPr>
      </w:pPr>
      <w:bookmarkStart w:id="0" w:name="_Toc253644151"/>
      <w:bookmarkStart w:id="1" w:name="_Toc253644221"/>
      <w:bookmarkStart w:id="2" w:name="_Toc253644384"/>
    </w:p>
    <w:p w:rsidR="00FE0E7F" w:rsidRDefault="00FE0E7F" w:rsidP="0034300B">
      <w:pPr>
        <w:ind w:left="2160"/>
        <w:jc w:val="center"/>
        <w:rPr>
          <w:rFonts w:ascii="华文行楷" w:eastAsia="华文行楷"/>
          <w:b/>
          <w:bCs/>
          <w:sz w:val="44"/>
          <w:szCs w:val="44"/>
        </w:rPr>
      </w:pPr>
    </w:p>
    <w:p w:rsidR="00FE0E7F" w:rsidRDefault="00FE0E7F" w:rsidP="00C62665">
      <w:pPr>
        <w:jc w:val="center"/>
        <w:rPr>
          <w:rFonts w:ascii="华文行楷" w:eastAsia="华文行楷"/>
          <w:b/>
          <w:bCs/>
          <w:sz w:val="44"/>
          <w:szCs w:val="44"/>
        </w:rPr>
      </w:pPr>
    </w:p>
    <w:p w:rsidR="00FE0E7F" w:rsidRDefault="00FE0E7F" w:rsidP="00C62665">
      <w:pPr>
        <w:jc w:val="center"/>
        <w:rPr>
          <w:rFonts w:ascii="华文行楷" w:eastAsia="华文行楷"/>
          <w:b/>
          <w:bCs/>
          <w:sz w:val="44"/>
          <w:szCs w:val="44"/>
        </w:rPr>
      </w:pPr>
    </w:p>
    <w:p w:rsidR="00FE0E7F" w:rsidRDefault="00FE0E7F" w:rsidP="00C62665">
      <w:pPr>
        <w:jc w:val="center"/>
        <w:rPr>
          <w:rFonts w:ascii="华文行楷" w:eastAsia="华文行楷"/>
          <w:b/>
          <w:bCs/>
          <w:sz w:val="44"/>
          <w:szCs w:val="44"/>
        </w:rPr>
      </w:pPr>
    </w:p>
    <w:p w:rsidR="00FE0E7F" w:rsidRDefault="00FE0E7F" w:rsidP="00C62665">
      <w:pPr>
        <w:jc w:val="center"/>
        <w:rPr>
          <w:rFonts w:ascii="华文行楷" w:eastAsia="华文行楷"/>
          <w:b/>
          <w:bCs/>
          <w:sz w:val="44"/>
          <w:szCs w:val="44"/>
        </w:rPr>
      </w:pPr>
    </w:p>
    <w:p w:rsidR="00FE0E7F" w:rsidRDefault="00FE0E7F" w:rsidP="00C62665">
      <w:pPr>
        <w:jc w:val="center"/>
        <w:rPr>
          <w:rFonts w:ascii="华文行楷" w:eastAsia="华文行楷"/>
          <w:b/>
          <w:bCs/>
          <w:sz w:val="44"/>
          <w:szCs w:val="44"/>
        </w:rPr>
      </w:pPr>
    </w:p>
    <w:p w:rsidR="00FE0E7F" w:rsidRDefault="00FE0E7F" w:rsidP="00C62665">
      <w:pPr>
        <w:jc w:val="center"/>
        <w:rPr>
          <w:rFonts w:ascii="华文行楷" w:eastAsia="华文行楷"/>
          <w:b/>
          <w:bCs/>
          <w:sz w:val="44"/>
          <w:szCs w:val="44"/>
        </w:rPr>
      </w:pPr>
    </w:p>
    <w:p w:rsidR="00FE0E7F" w:rsidRDefault="00FE0E7F" w:rsidP="00C62665">
      <w:pPr>
        <w:jc w:val="center"/>
        <w:rPr>
          <w:rFonts w:ascii="华文行楷" w:eastAsia="华文行楷"/>
          <w:b/>
          <w:bCs/>
          <w:sz w:val="44"/>
          <w:szCs w:val="44"/>
        </w:rPr>
      </w:pPr>
    </w:p>
    <w:p w:rsidR="00FE0E7F" w:rsidRDefault="00FE0E7F" w:rsidP="00C62665">
      <w:pPr>
        <w:jc w:val="center"/>
        <w:rPr>
          <w:rFonts w:ascii="华文行楷" w:eastAsia="华文行楷"/>
          <w:b/>
          <w:bCs/>
          <w:sz w:val="44"/>
          <w:szCs w:val="44"/>
        </w:rPr>
      </w:pPr>
    </w:p>
    <w:p w:rsidR="00FE0E7F" w:rsidRDefault="00FE0E7F" w:rsidP="00C62665">
      <w:pPr>
        <w:jc w:val="center"/>
        <w:rPr>
          <w:rFonts w:ascii="华文行楷" w:eastAsia="华文行楷"/>
          <w:b/>
          <w:bCs/>
          <w:sz w:val="44"/>
          <w:szCs w:val="44"/>
        </w:rPr>
      </w:pPr>
    </w:p>
    <w:p w:rsidR="00FE0E7F" w:rsidRPr="001646B7" w:rsidRDefault="00FE0E7F" w:rsidP="001646B7">
      <w:pPr>
        <w:jc w:val="center"/>
        <w:rPr>
          <w:rFonts w:ascii="华文行楷" w:eastAsia="华文行楷"/>
          <w:b/>
          <w:bCs/>
          <w:sz w:val="72"/>
          <w:szCs w:val="72"/>
        </w:rPr>
      </w:pPr>
      <w:r w:rsidRPr="001646B7">
        <w:rPr>
          <w:rFonts w:ascii="华文行楷" w:eastAsia="华文行楷" w:cs="华文行楷"/>
          <w:b/>
          <w:bCs/>
          <w:sz w:val="72"/>
          <w:szCs w:val="72"/>
        </w:rPr>
        <w:t>20</w:t>
      </w:r>
      <w:r>
        <w:rPr>
          <w:rFonts w:ascii="华文行楷" w:eastAsia="华文行楷" w:cs="华文行楷"/>
          <w:b/>
          <w:bCs/>
          <w:sz w:val="72"/>
          <w:szCs w:val="72"/>
        </w:rPr>
        <w:t>1</w:t>
      </w:r>
      <w:r w:rsidR="00F07D08">
        <w:rPr>
          <w:rFonts w:ascii="华文行楷" w:eastAsia="华文行楷" w:cs="华文行楷" w:hint="eastAsia"/>
          <w:b/>
          <w:bCs/>
          <w:sz w:val="72"/>
          <w:szCs w:val="72"/>
        </w:rPr>
        <w:t>2</w:t>
      </w:r>
      <w:r w:rsidRPr="001646B7">
        <w:rPr>
          <w:rFonts w:ascii="华文行楷" w:eastAsia="华文行楷" w:cs="华文行楷" w:hint="eastAsia"/>
          <w:b/>
          <w:bCs/>
          <w:sz w:val="72"/>
          <w:szCs w:val="72"/>
        </w:rPr>
        <w:t>投资策略报告</w:t>
      </w:r>
    </w:p>
    <w:p w:rsidR="00FE0E7F" w:rsidRDefault="00F07D08" w:rsidP="001646B7">
      <w:pPr>
        <w:jc w:val="center"/>
        <w:rPr>
          <w:rFonts w:ascii="华文行楷" w:eastAsia="华文行楷"/>
          <w:b/>
          <w:bCs/>
          <w:sz w:val="44"/>
          <w:szCs w:val="44"/>
        </w:rPr>
      </w:pPr>
      <w:r>
        <w:rPr>
          <w:rFonts w:ascii="华文行楷" w:eastAsia="华文行楷" w:hint="eastAsia"/>
          <w:b/>
          <w:bCs/>
          <w:sz w:val="44"/>
          <w:szCs w:val="44"/>
        </w:rPr>
        <w:t>不破不立，不悲不喜</w:t>
      </w:r>
    </w:p>
    <w:p w:rsidR="00FE0E7F" w:rsidRPr="001646B7" w:rsidRDefault="00FE0E7F" w:rsidP="001646B7">
      <w:pPr>
        <w:jc w:val="center"/>
        <w:rPr>
          <w:rFonts w:ascii="华文行楷" w:eastAsia="华文行楷" w:hAnsi="Edwardian Script ITC"/>
          <w:b/>
          <w:bCs/>
          <w:sz w:val="44"/>
          <w:szCs w:val="44"/>
        </w:rPr>
      </w:pPr>
      <w:r>
        <w:rPr>
          <w:rFonts w:ascii="华文行楷" w:eastAsia="华文行楷" w:hAnsi="Edwardian Script ITC" w:cs="华文行楷"/>
          <w:b/>
          <w:bCs/>
          <w:sz w:val="44"/>
          <w:szCs w:val="44"/>
        </w:rPr>
        <w:t>201</w:t>
      </w:r>
      <w:r w:rsidR="00F07D08">
        <w:rPr>
          <w:rFonts w:ascii="华文行楷" w:eastAsia="华文行楷" w:hAnsi="Edwardian Script ITC" w:cs="华文行楷" w:hint="eastAsia"/>
          <w:b/>
          <w:bCs/>
          <w:sz w:val="44"/>
          <w:szCs w:val="44"/>
        </w:rPr>
        <w:t>1</w:t>
      </w:r>
      <w:r w:rsidRPr="001646B7">
        <w:rPr>
          <w:rFonts w:ascii="华文行楷" w:eastAsia="华文行楷" w:hAnsi="Edwardian Script ITC" w:cs="华文行楷"/>
          <w:b/>
          <w:bCs/>
          <w:sz w:val="44"/>
          <w:szCs w:val="44"/>
        </w:rPr>
        <w:t>-</w:t>
      </w:r>
      <w:r>
        <w:rPr>
          <w:rFonts w:ascii="华文行楷" w:eastAsia="华文行楷" w:hAnsi="Edwardian Script ITC" w:cs="华文行楷"/>
          <w:b/>
          <w:bCs/>
          <w:sz w:val="44"/>
          <w:szCs w:val="44"/>
        </w:rPr>
        <w:t>12-31</w:t>
      </w:r>
    </w:p>
    <w:p w:rsidR="00FE0E7F" w:rsidRDefault="00FE0E7F" w:rsidP="00C62665">
      <w:pPr>
        <w:jc w:val="center"/>
        <w:rPr>
          <w:rFonts w:ascii="华文行楷" w:eastAsia="华文行楷"/>
          <w:b/>
          <w:bCs/>
          <w:sz w:val="44"/>
          <w:szCs w:val="44"/>
        </w:rPr>
      </w:pPr>
    </w:p>
    <w:p w:rsidR="00FE0E7F" w:rsidRDefault="00FE0E7F" w:rsidP="00C62665">
      <w:pPr>
        <w:jc w:val="center"/>
        <w:rPr>
          <w:rFonts w:ascii="华文行楷" w:eastAsia="华文行楷"/>
          <w:b/>
          <w:bCs/>
          <w:sz w:val="44"/>
          <w:szCs w:val="44"/>
        </w:rPr>
      </w:pPr>
    </w:p>
    <w:p w:rsidR="00FE0E7F" w:rsidRDefault="00FE0E7F" w:rsidP="00C62665">
      <w:pPr>
        <w:jc w:val="center"/>
        <w:rPr>
          <w:rFonts w:ascii="华文行楷" w:eastAsia="华文行楷"/>
          <w:b/>
          <w:bCs/>
          <w:sz w:val="44"/>
          <w:szCs w:val="44"/>
        </w:rPr>
      </w:pPr>
    </w:p>
    <w:p w:rsidR="00FE0E7F" w:rsidRDefault="00FE0E7F" w:rsidP="00C62665">
      <w:pPr>
        <w:jc w:val="center"/>
        <w:rPr>
          <w:rFonts w:ascii="华文行楷" w:eastAsia="华文行楷"/>
          <w:b/>
          <w:bCs/>
          <w:sz w:val="44"/>
          <w:szCs w:val="44"/>
        </w:rPr>
      </w:pPr>
    </w:p>
    <w:p w:rsidR="00FE0E7F" w:rsidRDefault="00FE0E7F" w:rsidP="00C62665">
      <w:pPr>
        <w:jc w:val="center"/>
        <w:rPr>
          <w:rFonts w:ascii="华文行楷" w:eastAsia="华文行楷"/>
          <w:b/>
          <w:bCs/>
          <w:sz w:val="44"/>
          <w:szCs w:val="44"/>
        </w:rPr>
      </w:pPr>
    </w:p>
    <w:p w:rsidR="00FE0E7F" w:rsidRDefault="00FE0E7F" w:rsidP="00C62665">
      <w:pPr>
        <w:jc w:val="center"/>
        <w:rPr>
          <w:rFonts w:ascii="华文行楷" w:eastAsia="华文行楷"/>
          <w:b/>
          <w:bCs/>
          <w:sz w:val="44"/>
          <w:szCs w:val="44"/>
        </w:rPr>
      </w:pPr>
    </w:p>
    <w:p w:rsidR="00FE0E7F" w:rsidRDefault="00FE0E7F" w:rsidP="00C62665">
      <w:pPr>
        <w:jc w:val="center"/>
        <w:rPr>
          <w:rFonts w:ascii="华文行楷" w:eastAsia="华文行楷"/>
          <w:b/>
          <w:bCs/>
          <w:sz w:val="44"/>
          <w:szCs w:val="44"/>
        </w:rPr>
      </w:pPr>
    </w:p>
    <w:p w:rsidR="00FE0E7F" w:rsidRDefault="00FE0E7F" w:rsidP="00F07D08">
      <w:pPr>
        <w:autoSpaceDE w:val="0"/>
        <w:autoSpaceDN w:val="0"/>
        <w:adjustRightInd w:val="0"/>
        <w:jc w:val="left"/>
        <w:rPr>
          <w:rFonts w:ascii="楷体_GB2312" w:eastAsia="楷体_GB2312"/>
          <w:b/>
          <w:bCs/>
          <w:kern w:val="0"/>
          <w:sz w:val="36"/>
          <w:szCs w:val="36"/>
        </w:rPr>
      </w:pPr>
      <w:r>
        <w:rPr>
          <w:rFonts w:ascii="楷体_GB2312" w:eastAsia="楷体_GB2312"/>
          <w:kern w:val="0"/>
        </w:rPr>
        <w:br w:type="page"/>
      </w:r>
      <w:r>
        <w:rPr>
          <w:rFonts w:ascii="楷体_GB2312" w:eastAsia="楷体_GB2312" w:cs="楷体_GB2312" w:hint="eastAsia"/>
          <w:b/>
          <w:bCs/>
          <w:kern w:val="0"/>
          <w:sz w:val="36"/>
          <w:szCs w:val="36"/>
        </w:rPr>
        <w:lastRenderedPageBreak/>
        <w:t>报告要点</w:t>
      </w:r>
    </w:p>
    <w:p w:rsidR="00FE0E7F" w:rsidRDefault="00FE0E7F" w:rsidP="001A2DBE">
      <w:pPr>
        <w:autoSpaceDE w:val="0"/>
        <w:autoSpaceDN w:val="0"/>
        <w:adjustRightInd w:val="0"/>
        <w:ind w:firstLineChars="392" w:firstLine="826"/>
        <w:rPr>
          <w:rFonts w:ascii="楷体_GB2312" w:eastAsia="楷体_GB2312"/>
          <w:b/>
          <w:bCs/>
          <w:kern w:val="0"/>
        </w:rPr>
      </w:pPr>
      <w:r>
        <w:rPr>
          <w:rFonts w:ascii="楷体_GB2312" w:eastAsia="楷体_GB2312"/>
          <w:b/>
          <w:bCs/>
          <w:kern w:val="0"/>
        </w:rPr>
        <w:t>——</w:t>
      </w:r>
      <w:r w:rsidR="00F07D08">
        <w:rPr>
          <w:rFonts w:ascii="楷体_GB2312" w:eastAsia="楷体_GB2312" w:cs="楷体_GB2312" w:hint="eastAsia"/>
          <w:b/>
          <w:bCs/>
          <w:kern w:val="0"/>
        </w:rPr>
        <w:t>经济转型不破不立，积极应对不悲不喜</w:t>
      </w:r>
    </w:p>
    <w:p w:rsidR="00FE0E7F" w:rsidRPr="0074779F" w:rsidRDefault="00FE0E7F" w:rsidP="0074779F">
      <w:pPr>
        <w:autoSpaceDE w:val="0"/>
        <w:autoSpaceDN w:val="0"/>
        <w:adjustRightInd w:val="0"/>
        <w:rPr>
          <w:rFonts w:ascii="楷体_GB2312" w:eastAsia="楷体_GB2312"/>
          <w:b/>
          <w:bCs/>
          <w:kern w:val="0"/>
        </w:rPr>
      </w:pPr>
    </w:p>
    <w:p w:rsidR="00FE0E7F" w:rsidRPr="002E4189" w:rsidRDefault="000502A2" w:rsidP="00164BC2">
      <w:pPr>
        <w:pStyle w:val="ac"/>
        <w:numPr>
          <w:ilvl w:val="0"/>
          <w:numId w:val="8"/>
        </w:numPr>
        <w:autoSpaceDE w:val="0"/>
        <w:autoSpaceDN w:val="0"/>
        <w:adjustRightInd w:val="0"/>
        <w:spacing w:line="360" w:lineRule="exact"/>
        <w:ind w:firstLineChars="0"/>
        <w:rPr>
          <w:rFonts w:ascii="楷体_GB2312" w:eastAsia="楷体_GB2312"/>
          <w:kern w:val="0"/>
        </w:rPr>
      </w:pPr>
      <w:r>
        <w:rPr>
          <w:rFonts w:ascii="楷体_GB2312" w:eastAsia="楷体_GB2312" w:cs="楷体_GB2312" w:hint="eastAsia"/>
          <w:kern w:val="0"/>
        </w:rPr>
        <w:t>回顾2011年的资本市场，我们看到无论是国内还是国外影响金融市场的事件层出不穷，但</w:t>
      </w:r>
      <w:r w:rsidR="002E4189">
        <w:rPr>
          <w:rFonts w:ascii="楷体_GB2312" w:eastAsia="楷体_GB2312" w:cs="楷体_GB2312" w:hint="eastAsia"/>
          <w:kern w:val="0"/>
        </w:rPr>
        <w:t>2011年主导市场的主要因素来自于通胀水平带来的货币政策的紧缩，</w:t>
      </w:r>
      <w:r>
        <w:rPr>
          <w:rFonts w:ascii="楷体_GB2312" w:eastAsia="楷体_GB2312" w:cs="楷体_GB2312" w:hint="eastAsia"/>
          <w:kern w:val="0"/>
        </w:rPr>
        <w:t>由于货币政策持续通过准备金率提高的方式来实现货币乘数下降从而实现调控经济的目标，导致从二季度开始金融市场的脱媒现象非常严重，但</w:t>
      </w:r>
      <w:r w:rsidR="002E4189">
        <w:rPr>
          <w:rFonts w:ascii="楷体_GB2312" w:eastAsia="楷体_GB2312" w:cs="楷体_GB2312" w:hint="eastAsia"/>
          <w:kern w:val="0"/>
        </w:rPr>
        <w:t>通胀水平未能在2011年上半年得到有效控制</w:t>
      </w:r>
      <w:r w:rsidR="00FE0E7F" w:rsidRPr="002E4189">
        <w:rPr>
          <w:rFonts w:ascii="楷体_GB2312" w:eastAsia="楷体_GB2312" w:cs="楷体_GB2312" w:hint="eastAsia"/>
          <w:kern w:val="0"/>
        </w:rPr>
        <w:t>，</w:t>
      </w:r>
      <w:r w:rsidR="002E4189">
        <w:rPr>
          <w:rFonts w:ascii="楷体_GB2312" w:eastAsia="楷体_GB2312" w:cs="楷体_GB2312" w:hint="eastAsia"/>
          <w:kern w:val="0"/>
        </w:rPr>
        <w:t>高通胀水平一直持续到2011年的四季度，</w:t>
      </w:r>
      <w:r>
        <w:rPr>
          <w:rFonts w:ascii="楷体_GB2312" w:eastAsia="楷体_GB2312" w:cs="楷体_GB2312" w:hint="eastAsia"/>
          <w:kern w:val="0"/>
        </w:rPr>
        <w:t>所以尽管宏观经济增长在2011年依然保持了9%的增速，所对应的资本市场的表现却非常糟糕，全年上证指数下跌幅度超过25%，而中证500指数跌幅超过33%，而和宏观经济相关性最为紧密的上证50指数下跌幅度为18%，市场的波动性随着货币紧缩的变化呈现了明显波动收缩</w:t>
      </w:r>
      <w:r w:rsidR="00FE0E7F" w:rsidRPr="002E4189">
        <w:rPr>
          <w:rFonts w:ascii="楷体_GB2312" w:eastAsia="楷体_GB2312" w:cs="楷体_GB2312" w:hint="eastAsia"/>
          <w:kern w:val="0"/>
        </w:rPr>
        <w:t>。</w:t>
      </w:r>
    </w:p>
    <w:p w:rsidR="00FE0E7F" w:rsidRPr="009032A5" w:rsidRDefault="00FE0E7F" w:rsidP="001A2DBE">
      <w:pPr>
        <w:autoSpaceDE w:val="0"/>
        <w:autoSpaceDN w:val="0"/>
        <w:adjustRightInd w:val="0"/>
        <w:spacing w:line="360" w:lineRule="exact"/>
        <w:ind w:firstLineChars="200" w:firstLine="420"/>
        <w:rPr>
          <w:rFonts w:ascii="楷体_GB2312" w:eastAsia="楷体_GB2312"/>
          <w:kern w:val="0"/>
        </w:rPr>
      </w:pPr>
    </w:p>
    <w:p w:rsidR="00893039" w:rsidRDefault="00BB3815" w:rsidP="00164BC2">
      <w:pPr>
        <w:pStyle w:val="ac"/>
        <w:numPr>
          <w:ilvl w:val="0"/>
          <w:numId w:val="8"/>
        </w:numPr>
        <w:autoSpaceDE w:val="0"/>
        <w:autoSpaceDN w:val="0"/>
        <w:adjustRightInd w:val="0"/>
        <w:spacing w:line="360" w:lineRule="exact"/>
        <w:ind w:firstLineChars="0"/>
        <w:rPr>
          <w:rFonts w:ascii="楷体_GB2312" w:eastAsia="楷体_GB2312" w:cs="楷体_GB2312"/>
          <w:kern w:val="0"/>
        </w:rPr>
      </w:pPr>
      <w:r>
        <w:rPr>
          <w:rFonts w:ascii="楷体_GB2312" w:eastAsia="楷体_GB2312" w:cs="楷体_GB2312" w:hint="eastAsia"/>
          <w:kern w:val="0"/>
        </w:rPr>
        <w:t>经历了痛苦的2011年，我们能否在2012年看到</w:t>
      </w:r>
      <w:r w:rsidR="00893039">
        <w:rPr>
          <w:rFonts w:ascii="楷体_GB2312" w:eastAsia="楷体_GB2312" w:cs="楷体_GB2312" w:hint="eastAsia"/>
          <w:kern w:val="0"/>
        </w:rPr>
        <w:t>转机</w:t>
      </w:r>
      <w:r>
        <w:rPr>
          <w:rFonts w:ascii="楷体_GB2312" w:eastAsia="楷体_GB2312" w:cs="楷体_GB2312" w:hint="eastAsia"/>
          <w:kern w:val="0"/>
        </w:rPr>
        <w:t>？从目前的经济发展趋势，我们很难看到明年中国经济</w:t>
      </w:r>
      <w:r w:rsidR="00893039">
        <w:rPr>
          <w:rFonts w:ascii="楷体_GB2312" w:eastAsia="楷体_GB2312" w:cs="楷体_GB2312" w:hint="eastAsia"/>
          <w:kern w:val="0"/>
        </w:rPr>
        <w:t>能够出现明确的拐点</w:t>
      </w:r>
      <w:r>
        <w:rPr>
          <w:rFonts w:ascii="楷体_GB2312" w:eastAsia="楷体_GB2312" w:cs="楷体_GB2312" w:hint="eastAsia"/>
          <w:kern w:val="0"/>
        </w:rPr>
        <w:t>，明年较为确定的事件是通胀的回落和经济的下行趋势继续保持，</w:t>
      </w:r>
      <w:r w:rsidR="00CC3D38">
        <w:rPr>
          <w:rFonts w:ascii="楷体_GB2312" w:eastAsia="楷体_GB2312" w:cs="楷体_GB2312" w:hint="eastAsia"/>
          <w:kern w:val="0"/>
        </w:rPr>
        <w:t>通胀下行来自于工业品出厂价格的持续下行的拉动，</w:t>
      </w:r>
      <w:r w:rsidR="002E3949">
        <w:rPr>
          <w:rFonts w:ascii="楷体_GB2312" w:eastAsia="楷体_GB2312" w:cs="楷体_GB2312" w:hint="eastAsia"/>
          <w:kern w:val="0"/>
        </w:rPr>
        <w:t>而经济增长的下行更多来自于固定资产投资增速的下降以及出口的下降，</w:t>
      </w:r>
      <w:r w:rsidR="00CC3D38">
        <w:rPr>
          <w:rFonts w:ascii="楷体_GB2312" w:eastAsia="楷体_GB2312" w:cs="楷体_GB2312" w:hint="eastAsia"/>
          <w:kern w:val="0"/>
        </w:rPr>
        <w:t>而房地产市场的变化会加剧经济增长的波动</w:t>
      </w:r>
      <w:r w:rsidR="00893039">
        <w:rPr>
          <w:rFonts w:ascii="楷体_GB2312" w:eastAsia="楷体_GB2312" w:cs="楷体_GB2312" w:hint="eastAsia"/>
          <w:kern w:val="0"/>
        </w:rPr>
        <w:t>，明年中国经济和整个金融体系将承受一次真正的“压力测试”。</w:t>
      </w:r>
    </w:p>
    <w:p w:rsidR="00893039" w:rsidRPr="00893039" w:rsidRDefault="00893039" w:rsidP="00893039">
      <w:pPr>
        <w:pStyle w:val="ac"/>
        <w:rPr>
          <w:rFonts w:ascii="楷体_GB2312" w:eastAsia="楷体_GB2312" w:cs="楷体_GB2312"/>
          <w:kern w:val="0"/>
        </w:rPr>
      </w:pPr>
    </w:p>
    <w:p w:rsidR="00893039" w:rsidRDefault="00893039" w:rsidP="00164BC2">
      <w:pPr>
        <w:pStyle w:val="ac"/>
        <w:numPr>
          <w:ilvl w:val="0"/>
          <w:numId w:val="8"/>
        </w:numPr>
        <w:autoSpaceDE w:val="0"/>
        <w:autoSpaceDN w:val="0"/>
        <w:adjustRightInd w:val="0"/>
        <w:spacing w:line="360" w:lineRule="exact"/>
        <w:ind w:firstLineChars="0"/>
        <w:rPr>
          <w:rFonts w:ascii="楷体_GB2312" w:eastAsia="楷体_GB2312" w:cs="楷体_GB2312"/>
          <w:kern w:val="0"/>
        </w:rPr>
      </w:pPr>
      <w:r>
        <w:rPr>
          <w:rFonts w:ascii="楷体_GB2312" w:eastAsia="楷体_GB2312" w:cs="楷体_GB2312" w:hint="eastAsia"/>
          <w:kern w:val="0"/>
        </w:rPr>
        <w:t>除了国内自身的结构调整压力外，我们还将面对比较2011年更为严峻的外部环境，这种外部环境来自于两方面的压力，一方面是海外主要经济的需求在2012年仍会保持继续下降，另外一方面由于美国经济的“相对”强势复苏，我们会面临比较大的外部流动性压力，也就是资本流出的压力。</w:t>
      </w:r>
    </w:p>
    <w:p w:rsidR="00893039" w:rsidRPr="00893039" w:rsidRDefault="00893039" w:rsidP="00893039">
      <w:pPr>
        <w:pStyle w:val="ac"/>
        <w:rPr>
          <w:rFonts w:ascii="楷体_GB2312" w:eastAsia="楷体_GB2312" w:cs="楷体_GB2312"/>
          <w:kern w:val="0"/>
        </w:rPr>
      </w:pPr>
    </w:p>
    <w:p w:rsidR="00564E12" w:rsidRDefault="00564E12" w:rsidP="00164BC2">
      <w:pPr>
        <w:pStyle w:val="ac"/>
        <w:numPr>
          <w:ilvl w:val="0"/>
          <w:numId w:val="8"/>
        </w:numPr>
        <w:autoSpaceDE w:val="0"/>
        <w:autoSpaceDN w:val="0"/>
        <w:adjustRightInd w:val="0"/>
        <w:spacing w:line="360" w:lineRule="exact"/>
        <w:ind w:firstLineChars="0"/>
        <w:rPr>
          <w:rFonts w:ascii="楷体_GB2312" w:eastAsia="楷体_GB2312" w:cs="楷体_GB2312"/>
          <w:kern w:val="0"/>
        </w:rPr>
      </w:pPr>
      <w:r>
        <w:rPr>
          <w:rFonts w:ascii="楷体_GB2312" w:eastAsia="楷体_GB2312" w:cs="楷体_GB2312" w:hint="eastAsia"/>
          <w:kern w:val="0"/>
        </w:rPr>
        <w:t>在宏观</w:t>
      </w:r>
      <w:proofErr w:type="gramStart"/>
      <w:r>
        <w:rPr>
          <w:rFonts w:ascii="楷体_GB2312" w:eastAsia="楷体_GB2312" w:cs="楷体_GB2312" w:hint="eastAsia"/>
          <w:kern w:val="0"/>
        </w:rPr>
        <w:t>面确定</w:t>
      </w:r>
      <w:proofErr w:type="gramEnd"/>
      <w:r>
        <w:rPr>
          <w:rFonts w:ascii="楷体_GB2312" w:eastAsia="楷体_GB2312" w:cs="楷体_GB2312" w:hint="eastAsia"/>
          <w:kern w:val="0"/>
        </w:rPr>
        <w:t>下降的背景下，全市场的流动性是否能够持续好转依然是未知数，从影响流动性的主要因素基础货币和货币乘数方面喜忧参半，</w:t>
      </w:r>
      <w:r w:rsidRPr="00231916">
        <w:rPr>
          <w:rFonts w:ascii="楷体_GB2312" w:eastAsia="楷体_GB2312" w:cs="楷体_GB2312" w:hint="eastAsia"/>
          <w:kern w:val="0"/>
        </w:rPr>
        <w:t>2011年制约市场流动性的主要因素来自于货币乘数的下降，而</w:t>
      </w:r>
      <w:r w:rsidR="001705A3" w:rsidRPr="00231916">
        <w:rPr>
          <w:rFonts w:ascii="楷体_GB2312" w:eastAsia="楷体_GB2312" w:cs="楷体_GB2312" w:hint="eastAsia"/>
          <w:kern w:val="0"/>
        </w:rPr>
        <w:t>201</w:t>
      </w:r>
      <w:r w:rsidR="001705A3">
        <w:rPr>
          <w:rFonts w:ascii="楷体_GB2312" w:eastAsia="楷体_GB2312" w:cs="楷体_GB2312" w:hint="eastAsia"/>
          <w:kern w:val="0"/>
        </w:rPr>
        <w:t>2</w:t>
      </w:r>
      <w:r w:rsidRPr="00231916">
        <w:rPr>
          <w:rFonts w:ascii="楷体_GB2312" w:eastAsia="楷体_GB2312" w:cs="楷体_GB2312" w:hint="eastAsia"/>
          <w:kern w:val="0"/>
        </w:rPr>
        <w:t>年制约的因素来自于基础货币的变化，</w:t>
      </w:r>
      <w:r>
        <w:rPr>
          <w:rFonts w:ascii="楷体_GB2312" w:eastAsia="楷体_GB2312" w:cs="楷体_GB2312" w:hint="eastAsia"/>
          <w:kern w:val="0"/>
        </w:rPr>
        <w:t>基础货币主要有外汇占款，财政存款和央行市场操作有关，我们对明年的外汇占款变化持悲观态度，货币乘数方面，也难有明显起色，准备金率的下调只能缓解银行间市场的流动性紧张情况，无法带来广谱利率的下降</w:t>
      </w:r>
      <w:r w:rsidR="00543FB4">
        <w:rPr>
          <w:rFonts w:ascii="楷体_GB2312" w:eastAsia="楷体_GB2312" w:cs="楷体_GB2312" w:hint="eastAsia"/>
          <w:kern w:val="0"/>
        </w:rPr>
        <w:t>，一方面是基础货币的稳步下降，另外一方面是企业资金需求的持续饥渴，</w:t>
      </w:r>
      <w:r w:rsidR="00543FB4" w:rsidRPr="005E12D4">
        <w:rPr>
          <w:rFonts w:ascii="楷体_GB2312" w:eastAsia="楷体_GB2312" w:cs="楷体_GB2312" w:hint="eastAsia"/>
          <w:kern w:val="0"/>
        </w:rPr>
        <w:t>所以我们预计广谱利率将在</w:t>
      </w:r>
      <w:r w:rsidR="001705A3" w:rsidRPr="005E12D4">
        <w:rPr>
          <w:rFonts w:ascii="楷体_GB2312" w:eastAsia="楷体_GB2312" w:cs="楷体_GB2312" w:hint="eastAsia"/>
          <w:kern w:val="0"/>
        </w:rPr>
        <w:t>201</w:t>
      </w:r>
      <w:r w:rsidR="001705A3">
        <w:rPr>
          <w:rFonts w:ascii="楷体_GB2312" w:eastAsia="楷体_GB2312" w:cs="楷体_GB2312" w:hint="eastAsia"/>
          <w:kern w:val="0"/>
        </w:rPr>
        <w:t>2</w:t>
      </w:r>
      <w:r w:rsidR="00543FB4" w:rsidRPr="005E12D4">
        <w:rPr>
          <w:rFonts w:ascii="楷体_GB2312" w:eastAsia="楷体_GB2312" w:cs="楷体_GB2312" w:hint="eastAsia"/>
          <w:kern w:val="0"/>
        </w:rPr>
        <w:t>年出现波动下降，</w:t>
      </w:r>
      <w:r w:rsidR="00543FB4">
        <w:rPr>
          <w:rFonts w:ascii="楷体_GB2312" w:eastAsia="楷体_GB2312" w:cs="楷体_GB2312" w:hint="eastAsia"/>
          <w:kern w:val="0"/>
        </w:rPr>
        <w:t>市场流动性在全年都不会有明显的好转。（</w:t>
      </w:r>
      <w:r>
        <w:rPr>
          <w:rFonts w:ascii="楷体_GB2312" w:eastAsia="楷体_GB2312" w:cs="楷体_GB2312" w:hint="eastAsia"/>
          <w:kern w:val="0"/>
        </w:rPr>
        <w:t>广谱利率见底是市场出现系统性机会的主要</w:t>
      </w:r>
      <w:r w:rsidR="00007543">
        <w:rPr>
          <w:rFonts w:ascii="楷体_GB2312" w:eastAsia="楷体_GB2312" w:cs="楷体_GB2312" w:hint="eastAsia"/>
          <w:kern w:val="0"/>
        </w:rPr>
        <w:t>先行指标</w:t>
      </w:r>
      <w:r>
        <w:rPr>
          <w:rFonts w:ascii="楷体_GB2312" w:eastAsia="楷体_GB2312" w:cs="楷体_GB2312" w:hint="eastAsia"/>
          <w:kern w:val="0"/>
        </w:rPr>
        <w:t>。</w:t>
      </w:r>
      <w:r w:rsidR="002E3949">
        <w:rPr>
          <w:rFonts w:ascii="楷体_GB2312" w:eastAsia="楷体_GB2312" w:cs="楷体_GB2312" w:hint="eastAsia"/>
          <w:kern w:val="0"/>
        </w:rPr>
        <w:t>）</w:t>
      </w:r>
    </w:p>
    <w:p w:rsidR="00564E12" w:rsidRPr="008200D7" w:rsidRDefault="00564E12" w:rsidP="00564E12">
      <w:pPr>
        <w:pStyle w:val="ac"/>
        <w:rPr>
          <w:rFonts w:ascii="楷体_GB2312" w:eastAsia="楷体_GB2312" w:cs="楷体_GB2312"/>
          <w:kern w:val="0"/>
        </w:rPr>
      </w:pPr>
    </w:p>
    <w:p w:rsidR="00564E12" w:rsidRDefault="00007543" w:rsidP="00164BC2">
      <w:pPr>
        <w:pStyle w:val="ac"/>
        <w:numPr>
          <w:ilvl w:val="0"/>
          <w:numId w:val="8"/>
        </w:numPr>
        <w:autoSpaceDE w:val="0"/>
        <w:autoSpaceDN w:val="0"/>
        <w:adjustRightInd w:val="0"/>
        <w:spacing w:line="360" w:lineRule="exact"/>
        <w:ind w:firstLineChars="0"/>
        <w:rPr>
          <w:rFonts w:ascii="楷体_GB2312" w:eastAsia="楷体_GB2312" w:cs="楷体_GB2312"/>
          <w:kern w:val="0"/>
        </w:rPr>
      </w:pPr>
      <w:r>
        <w:rPr>
          <w:rFonts w:ascii="楷体_GB2312" w:eastAsia="楷体_GB2312" w:cs="楷体_GB2312" w:hint="eastAsia"/>
          <w:kern w:val="0"/>
        </w:rPr>
        <w:t>在这样的背景下，在资产配置策略方面，我们认为在2012年1季度开始有必要保持较为稳健的资产配置策略，</w:t>
      </w:r>
      <w:r w:rsidR="006D6D20">
        <w:rPr>
          <w:rFonts w:ascii="楷体_GB2312" w:eastAsia="楷体_GB2312" w:cs="楷体_GB2312" w:hint="eastAsia"/>
          <w:kern w:val="0"/>
        </w:rPr>
        <w:t>考虑到明年企业ROE会降至12%附近，我们认为指数估值水平将回落到9倍附近。</w:t>
      </w:r>
      <w:r>
        <w:rPr>
          <w:rFonts w:ascii="楷体_GB2312" w:eastAsia="楷体_GB2312" w:cs="楷体_GB2312" w:hint="eastAsia"/>
          <w:kern w:val="0"/>
        </w:rPr>
        <w:t>在大类资产方面更多配置在固定收益类品种上，尤其是在</w:t>
      </w:r>
      <w:r w:rsidR="002E3949">
        <w:rPr>
          <w:rFonts w:ascii="楷体_GB2312" w:eastAsia="楷体_GB2312" w:cs="楷体_GB2312" w:hint="eastAsia"/>
          <w:kern w:val="0"/>
        </w:rPr>
        <w:t>一</w:t>
      </w:r>
      <w:r>
        <w:rPr>
          <w:rFonts w:ascii="楷体_GB2312" w:eastAsia="楷体_GB2312" w:cs="楷体_GB2312" w:hint="eastAsia"/>
          <w:kern w:val="0"/>
        </w:rPr>
        <w:t>季度末二季度初，长期利率产品将是主要的配置方向；在行业配置方面，我们认为在明年</w:t>
      </w:r>
      <w:r w:rsidR="000819A2">
        <w:rPr>
          <w:rFonts w:ascii="楷体_GB2312" w:eastAsia="楷体_GB2312" w:cs="楷体_GB2312" w:hint="eastAsia"/>
          <w:kern w:val="0"/>
        </w:rPr>
        <w:t>经济下行以及</w:t>
      </w:r>
      <w:r>
        <w:rPr>
          <w:rFonts w:ascii="楷体_GB2312" w:eastAsia="楷体_GB2312" w:cs="楷体_GB2312" w:hint="eastAsia"/>
          <w:kern w:val="0"/>
        </w:rPr>
        <w:t>广谱利率缓慢下降的趋势下，</w:t>
      </w:r>
      <w:r w:rsidR="000819A2">
        <w:rPr>
          <w:rFonts w:ascii="楷体_GB2312" w:eastAsia="楷体_GB2312" w:cs="楷体_GB2312" w:hint="eastAsia"/>
          <w:kern w:val="0"/>
        </w:rPr>
        <w:t>首先要规避强周期行业，</w:t>
      </w:r>
      <w:r w:rsidR="00EC6C05">
        <w:rPr>
          <w:rFonts w:ascii="楷体_GB2312" w:eastAsia="楷体_GB2312" w:cs="楷体_GB2312" w:hint="eastAsia"/>
          <w:kern w:val="0"/>
        </w:rPr>
        <w:t>包括大宗商品，化工，工程机械，建筑建材，汽车，</w:t>
      </w:r>
      <w:r w:rsidR="00EC6C05">
        <w:rPr>
          <w:rFonts w:ascii="楷体_GB2312" w:eastAsia="楷体_GB2312" w:cs="楷体_GB2312" w:hint="eastAsia"/>
          <w:kern w:val="0"/>
        </w:rPr>
        <w:lastRenderedPageBreak/>
        <w:t>家电，航空，房地产，</w:t>
      </w:r>
      <w:r w:rsidR="00DF5437">
        <w:rPr>
          <w:rFonts w:ascii="楷体_GB2312" w:eastAsia="楷体_GB2312" w:cs="楷体_GB2312" w:hint="eastAsia"/>
          <w:kern w:val="0"/>
        </w:rPr>
        <w:t>金融</w:t>
      </w:r>
      <w:r w:rsidR="00EC6C05">
        <w:rPr>
          <w:rFonts w:ascii="楷体_GB2312" w:eastAsia="楷体_GB2312" w:cs="楷体_GB2312" w:hint="eastAsia"/>
          <w:kern w:val="0"/>
        </w:rPr>
        <w:t>等。重点配置在非强周期行业</w:t>
      </w:r>
      <w:r w:rsidR="00DF5437">
        <w:rPr>
          <w:rFonts w:ascii="楷体_GB2312" w:eastAsia="楷体_GB2312" w:cs="楷体_GB2312" w:hint="eastAsia"/>
          <w:kern w:val="0"/>
        </w:rPr>
        <w:t>，同时</w:t>
      </w:r>
      <w:r w:rsidR="00EC6C05">
        <w:rPr>
          <w:rFonts w:ascii="楷体_GB2312" w:eastAsia="楷体_GB2312" w:cs="楷体_GB2312" w:hint="eastAsia"/>
          <w:kern w:val="0"/>
        </w:rPr>
        <w:t>选择估值水平合理的行业，包括电子</w:t>
      </w:r>
      <w:r w:rsidR="00830049">
        <w:rPr>
          <w:rFonts w:ascii="楷体_GB2312" w:eastAsia="楷体_GB2312" w:cs="楷体_GB2312" w:hint="eastAsia"/>
          <w:kern w:val="0"/>
        </w:rPr>
        <w:t>元器件</w:t>
      </w:r>
      <w:r w:rsidR="00EC6C05">
        <w:rPr>
          <w:rFonts w:ascii="楷体_GB2312" w:eastAsia="楷体_GB2312" w:cs="楷体_GB2312" w:hint="eastAsia"/>
          <w:kern w:val="0"/>
        </w:rPr>
        <w:t>，信息设备，造纸</w:t>
      </w:r>
      <w:r w:rsidR="00ED7638">
        <w:rPr>
          <w:rFonts w:ascii="楷体_GB2312" w:eastAsia="楷体_GB2312" w:cs="楷体_GB2312" w:hint="eastAsia"/>
          <w:kern w:val="0"/>
        </w:rPr>
        <w:t>包装</w:t>
      </w:r>
      <w:r w:rsidR="00DF5437">
        <w:rPr>
          <w:rFonts w:ascii="楷体_GB2312" w:eastAsia="楷体_GB2312" w:cs="楷体_GB2312" w:hint="eastAsia"/>
          <w:kern w:val="0"/>
        </w:rPr>
        <w:t>，</w:t>
      </w:r>
      <w:r w:rsidR="00EC6C05">
        <w:rPr>
          <w:rFonts w:ascii="楷体_GB2312" w:eastAsia="楷体_GB2312" w:cs="楷体_GB2312" w:hint="eastAsia"/>
          <w:kern w:val="0"/>
        </w:rPr>
        <w:t>电力，</w:t>
      </w:r>
      <w:r w:rsidR="00DF5437">
        <w:rPr>
          <w:rFonts w:ascii="楷体_GB2312" w:eastAsia="楷体_GB2312" w:cs="楷体_GB2312" w:hint="eastAsia"/>
          <w:kern w:val="0"/>
        </w:rPr>
        <w:t>零售，</w:t>
      </w:r>
      <w:r w:rsidR="00830049">
        <w:rPr>
          <w:rFonts w:ascii="楷体_GB2312" w:eastAsia="楷体_GB2312" w:cs="楷体_GB2312" w:hint="eastAsia"/>
          <w:kern w:val="0"/>
        </w:rPr>
        <w:t>公用事业（铁路公路</w:t>
      </w:r>
      <w:r w:rsidR="002E3949">
        <w:rPr>
          <w:rFonts w:ascii="楷体_GB2312" w:eastAsia="楷体_GB2312" w:cs="楷体_GB2312" w:hint="eastAsia"/>
          <w:kern w:val="0"/>
        </w:rPr>
        <w:t>水务燃气</w:t>
      </w:r>
      <w:r w:rsidR="00830049">
        <w:rPr>
          <w:rFonts w:ascii="楷体_GB2312" w:eastAsia="楷体_GB2312" w:cs="楷体_GB2312" w:hint="eastAsia"/>
          <w:kern w:val="0"/>
        </w:rPr>
        <w:t>）</w:t>
      </w:r>
      <w:r w:rsidR="00DF5437">
        <w:rPr>
          <w:rFonts w:ascii="楷体_GB2312" w:eastAsia="楷体_GB2312" w:cs="楷体_GB2312" w:hint="eastAsia"/>
          <w:kern w:val="0"/>
        </w:rPr>
        <w:t>等，</w:t>
      </w:r>
      <w:r w:rsidR="00EC6C05">
        <w:rPr>
          <w:rFonts w:ascii="楷体_GB2312" w:eastAsia="楷体_GB2312" w:cs="楷体_GB2312" w:hint="eastAsia"/>
          <w:kern w:val="0"/>
        </w:rPr>
        <w:t>对于估值比较高的非周期行业如电力设备，</w:t>
      </w:r>
      <w:r w:rsidR="000D7437">
        <w:rPr>
          <w:rFonts w:ascii="楷体_GB2312" w:eastAsia="楷体_GB2312" w:cs="楷体_GB2312" w:hint="eastAsia"/>
          <w:kern w:val="0"/>
        </w:rPr>
        <w:t>传媒，</w:t>
      </w:r>
      <w:r w:rsidR="00EC6C05">
        <w:rPr>
          <w:rFonts w:ascii="楷体_GB2312" w:eastAsia="楷体_GB2312" w:cs="楷体_GB2312" w:hint="eastAsia"/>
          <w:kern w:val="0"/>
        </w:rPr>
        <w:t>计算机，</w:t>
      </w:r>
      <w:r w:rsidR="00DF5437">
        <w:rPr>
          <w:rFonts w:ascii="楷体_GB2312" w:eastAsia="楷体_GB2312" w:cs="楷体_GB2312" w:hint="eastAsia"/>
          <w:kern w:val="0"/>
        </w:rPr>
        <w:t>餐饮旅游，</w:t>
      </w:r>
      <w:r w:rsidR="00830049">
        <w:rPr>
          <w:rFonts w:ascii="楷体_GB2312" w:eastAsia="楷体_GB2312" w:cs="楷体_GB2312" w:hint="eastAsia"/>
          <w:kern w:val="0"/>
        </w:rPr>
        <w:t>农林牧渔，</w:t>
      </w:r>
      <w:r w:rsidR="00EC6C05">
        <w:rPr>
          <w:rFonts w:ascii="楷体_GB2312" w:eastAsia="楷体_GB2312" w:cs="楷体_GB2312" w:hint="eastAsia"/>
          <w:kern w:val="0"/>
        </w:rPr>
        <w:t>食品饮料和医药持续关注并波段操作，直到估值进入市场平均的估值区间。</w:t>
      </w:r>
      <w:r w:rsidR="00DF5437">
        <w:rPr>
          <w:rFonts w:ascii="楷体_GB2312" w:eastAsia="楷体_GB2312" w:cs="楷体_GB2312" w:hint="eastAsia"/>
          <w:kern w:val="0"/>
        </w:rPr>
        <w:t>对于成长性较高的中小盘，我们依然</w:t>
      </w:r>
      <w:r w:rsidR="00830049">
        <w:rPr>
          <w:rFonts w:ascii="楷体_GB2312" w:eastAsia="楷体_GB2312" w:cs="楷体_GB2312" w:hint="eastAsia"/>
          <w:kern w:val="0"/>
        </w:rPr>
        <w:t>坚持自下而上选股的策略同时关注估值下行的风险。</w:t>
      </w:r>
    </w:p>
    <w:p w:rsidR="005C7EBB" w:rsidRPr="005C7EBB" w:rsidRDefault="005C7EBB" w:rsidP="005C7EBB">
      <w:pPr>
        <w:pStyle w:val="ac"/>
        <w:rPr>
          <w:rFonts w:ascii="楷体_GB2312" w:eastAsia="楷体_GB2312" w:cs="楷体_GB2312"/>
          <w:kern w:val="0"/>
        </w:rPr>
      </w:pPr>
    </w:p>
    <w:p w:rsidR="005C7EBB" w:rsidRDefault="005C7EBB" w:rsidP="00164BC2">
      <w:pPr>
        <w:pStyle w:val="ac"/>
        <w:numPr>
          <w:ilvl w:val="0"/>
          <w:numId w:val="8"/>
        </w:numPr>
        <w:autoSpaceDE w:val="0"/>
        <w:autoSpaceDN w:val="0"/>
        <w:adjustRightInd w:val="0"/>
        <w:spacing w:line="360" w:lineRule="exact"/>
        <w:ind w:firstLineChars="0"/>
        <w:rPr>
          <w:rFonts w:ascii="楷体_GB2312" w:eastAsia="楷体_GB2312" w:cs="楷体_GB2312"/>
          <w:kern w:val="0"/>
        </w:rPr>
      </w:pPr>
      <w:r>
        <w:rPr>
          <w:rFonts w:ascii="楷体_GB2312" w:eastAsia="楷体_GB2312" w:cs="楷体_GB2312" w:hint="eastAsia"/>
          <w:kern w:val="0"/>
        </w:rPr>
        <w:t>从</w:t>
      </w:r>
      <w:r w:rsidR="00117F7A">
        <w:rPr>
          <w:rFonts w:ascii="楷体_GB2312" w:eastAsia="楷体_GB2312" w:cs="楷体_GB2312" w:hint="eastAsia"/>
          <w:kern w:val="0"/>
        </w:rPr>
        <w:t>获取绝对收益</w:t>
      </w:r>
      <w:r>
        <w:rPr>
          <w:rFonts w:ascii="楷体_GB2312" w:eastAsia="楷体_GB2312" w:cs="楷体_GB2312" w:hint="eastAsia"/>
          <w:kern w:val="0"/>
        </w:rPr>
        <w:t>的角度，我们主要看好两方面的投资机会，首先我们看好，成本下降而需求较为稳定的行业，比如中药，医疗器械及服务，电力等，这些行业在2012年复杂的经济环境下，需求波动不大且能够通过成本下降获得毛利率扩张。其次我们看好深度市场化的行业，以前这些行业管制较多，随着改革的</w:t>
      </w:r>
      <w:r w:rsidR="00CA1A68">
        <w:rPr>
          <w:rFonts w:ascii="楷体_GB2312" w:eastAsia="楷体_GB2312" w:cs="楷体_GB2312" w:hint="eastAsia"/>
          <w:kern w:val="0"/>
        </w:rPr>
        <w:t>推进</w:t>
      </w:r>
      <w:r>
        <w:rPr>
          <w:rFonts w:ascii="楷体_GB2312" w:eastAsia="楷体_GB2312" w:cs="楷体_GB2312" w:hint="eastAsia"/>
          <w:kern w:val="0"/>
        </w:rPr>
        <w:t>，这些行业将明显受益，比如铁路运输，能源供应，水利投资和运营，环保等。</w:t>
      </w:r>
    </w:p>
    <w:p w:rsidR="00564E12" w:rsidRPr="00564E12" w:rsidRDefault="00564E12" w:rsidP="00564E12">
      <w:pPr>
        <w:pStyle w:val="ac"/>
        <w:rPr>
          <w:rFonts w:ascii="楷体_GB2312" w:eastAsia="楷体_GB2312" w:cs="楷体_GB2312"/>
          <w:kern w:val="0"/>
        </w:rPr>
      </w:pPr>
    </w:p>
    <w:p w:rsidR="00FE0E7F" w:rsidRDefault="00830049" w:rsidP="00164BC2">
      <w:pPr>
        <w:pStyle w:val="ac"/>
        <w:numPr>
          <w:ilvl w:val="0"/>
          <w:numId w:val="8"/>
        </w:numPr>
        <w:autoSpaceDE w:val="0"/>
        <w:autoSpaceDN w:val="0"/>
        <w:adjustRightInd w:val="0"/>
        <w:spacing w:line="360" w:lineRule="exact"/>
        <w:ind w:firstLineChars="0"/>
        <w:rPr>
          <w:rFonts w:ascii="楷体_GB2312" w:eastAsia="楷体_GB2312" w:cs="楷体_GB2312"/>
          <w:kern w:val="0"/>
        </w:rPr>
      </w:pPr>
      <w:r>
        <w:rPr>
          <w:rFonts w:ascii="楷体_GB2312" w:eastAsia="楷体_GB2312" w:cs="楷体_GB2312" w:hint="eastAsia"/>
          <w:kern w:val="0"/>
        </w:rPr>
        <w:t>无论2012年面临怎样的困境</w:t>
      </w:r>
      <w:r w:rsidR="00893039">
        <w:rPr>
          <w:rFonts w:ascii="楷体_GB2312" w:eastAsia="楷体_GB2312" w:cs="楷体_GB2312" w:hint="eastAsia"/>
          <w:kern w:val="0"/>
        </w:rPr>
        <w:t>，我们依然对中国</w:t>
      </w:r>
      <w:r w:rsidR="00156563">
        <w:rPr>
          <w:rFonts w:ascii="楷体_GB2312" w:eastAsia="楷体_GB2312" w:cs="楷体_GB2312" w:hint="eastAsia"/>
          <w:kern w:val="0"/>
        </w:rPr>
        <w:t>长期</w:t>
      </w:r>
      <w:r w:rsidR="00893039">
        <w:rPr>
          <w:rFonts w:ascii="楷体_GB2312" w:eastAsia="楷体_GB2312" w:cs="楷体_GB2312" w:hint="eastAsia"/>
          <w:kern w:val="0"/>
        </w:rPr>
        <w:t>内生的增长动力抱有很大的信心，中国作为发展中国家产业升级和</w:t>
      </w:r>
      <w:r w:rsidR="00156563">
        <w:rPr>
          <w:rFonts w:ascii="楷体_GB2312" w:eastAsia="楷体_GB2312" w:cs="楷体_GB2312" w:hint="eastAsia"/>
          <w:kern w:val="0"/>
        </w:rPr>
        <w:t>消费转型</w:t>
      </w:r>
      <w:r w:rsidR="00893039">
        <w:rPr>
          <w:rFonts w:ascii="楷体_GB2312" w:eastAsia="楷体_GB2312" w:cs="楷体_GB2312" w:hint="eastAsia"/>
          <w:kern w:val="0"/>
        </w:rPr>
        <w:t>的</w:t>
      </w:r>
      <w:r w:rsidR="00156563">
        <w:rPr>
          <w:rFonts w:ascii="楷体_GB2312" w:eastAsia="楷体_GB2312" w:cs="楷体_GB2312" w:hint="eastAsia"/>
          <w:kern w:val="0"/>
        </w:rPr>
        <w:t>增长潜力依然巨大，转型依靠消费和内需增长是未来中国发展的唯一途径。在这样的背景下，</w:t>
      </w:r>
      <w:r>
        <w:rPr>
          <w:rFonts w:ascii="楷体_GB2312" w:eastAsia="楷体_GB2312" w:cs="楷体_GB2312" w:hint="eastAsia"/>
          <w:kern w:val="0"/>
        </w:rPr>
        <w:t>我们坚信中国转型的成功是历史的必然选择，作为资本市场的参与者，我们将用我们的投票器坚定的支持经济转型，相信市场不破不立，并保持不悲不喜。</w:t>
      </w:r>
    </w:p>
    <w:p w:rsidR="00117F7A" w:rsidRPr="00117F7A" w:rsidRDefault="00117F7A" w:rsidP="00117F7A">
      <w:pPr>
        <w:pStyle w:val="ac"/>
        <w:rPr>
          <w:rFonts w:ascii="楷体_GB2312" w:eastAsia="楷体_GB2312" w:cs="楷体_GB2312"/>
          <w:kern w:val="0"/>
        </w:rPr>
      </w:pPr>
    </w:p>
    <w:p w:rsidR="00117F7A" w:rsidRDefault="00117F7A" w:rsidP="00164BC2">
      <w:pPr>
        <w:pStyle w:val="ac"/>
        <w:numPr>
          <w:ilvl w:val="0"/>
          <w:numId w:val="8"/>
        </w:numPr>
        <w:autoSpaceDE w:val="0"/>
        <w:autoSpaceDN w:val="0"/>
        <w:adjustRightInd w:val="0"/>
        <w:spacing w:line="360" w:lineRule="exact"/>
        <w:ind w:firstLineChars="0"/>
        <w:rPr>
          <w:rFonts w:ascii="楷体_GB2312" w:eastAsia="楷体_GB2312" w:cs="楷体_GB2312"/>
          <w:kern w:val="0"/>
        </w:rPr>
      </w:pPr>
      <w:r w:rsidRPr="005E4EAD">
        <w:rPr>
          <w:rFonts w:ascii="楷体_GB2312" w:eastAsia="楷体_GB2312" w:cs="楷体_GB2312" w:hint="eastAsia"/>
          <w:b/>
          <w:kern w:val="0"/>
        </w:rPr>
        <w:t>行业策略方面</w:t>
      </w:r>
      <w:r>
        <w:rPr>
          <w:rFonts w:ascii="楷体_GB2312" w:eastAsia="楷体_GB2312" w:cs="楷体_GB2312" w:hint="eastAsia"/>
          <w:kern w:val="0"/>
        </w:rPr>
        <w:t>，我们对主要的上中下游行业中的重点行业进行了梳理，并对各个行业中看好的方向进行了详细的说明。基本金属方面我们认为弹性在下降，而小</w:t>
      </w:r>
      <w:r w:rsidR="00C048BB">
        <w:rPr>
          <w:rFonts w:ascii="楷体_GB2312" w:eastAsia="楷体_GB2312" w:cs="楷体_GB2312" w:hint="eastAsia"/>
          <w:kern w:val="0"/>
        </w:rPr>
        <w:t>金属存在更多的机会，农业方面我们长期看好集约化对农业行业的改变；</w:t>
      </w:r>
      <w:r w:rsidR="00ED7638">
        <w:rPr>
          <w:rFonts w:ascii="楷体_GB2312" w:eastAsia="楷体_GB2312" w:cs="楷体_GB2312" w:hint="eastAsia"/>
          <w:kern w:val="0"/>
        </w:rPr>
        <w:t>化工方面，我们更加看好新材料的投资机会，主要包括外墙保温材料，脱硫剂以及</w:t>
      </w:r>
      <w:r w:rsidR="0002427A">
        <w:rPr>
          <w:rFonts w:ascii="楷体_GB2312" w:eastAsia="楷体_GB2312" w:cs="楷体_GB2312" w:hint="eastAsia"/>
          <w:kern w:val="0"/>
        </w:rPr>
        <w:t>可降解材料，资源类我们主要看好钾和磷，轻工行业方面主要看好包装行业</w:t>
      </w:r>
      <w:r w:rsidR="00C048BB">
        <w:rPr>
          <w:rFonts w:ascii="楷体_GB2312" w:eastAsia="楷体_GB2312" w:cs="楷体_GB2312" w:hint="eastAsia"/>
          <w:kern w:val="0"/>
        </w:rPr>
        <w:t>；机械行业我们长期看好能源装备子行业；医药行业尽管长期看好，但短期医药行业整体增速面临放缓，所以在医药行业中我们看好，消费化的中药，特色原料药，和各子行业的龙头企业；食品饮料行业我们长期看好建议持续超配。</w:t>
      </w:r>
      <w:r w:rsidR="0032225C">
        <w:rPr>
          <w:rFonts w:ascii="楷体_GB2312" w:eastAsia="楷体_GB2312" w:cs="楷体_GB2312" w:hint="eastAsia"/>
          <w:kern w:val="0"/>
        </w:rPr>
        <w:t>餐饮旅游增长稳定但目前估值过高，而服装行业面临</w:t>
      </w:r>
      <w:r w:rsidR="005E4EAD">
        <w:rPr>
          <w:rFonts w:ascii="楷体_GB2312" w:eastAsia="楷体_GB2312" w:cs="楷体_GB2312" w:hint="eastAsia"/>
          <w:kern w:val="0"/>
        </w:rPr>
        <w:t>长期去库存压力。</w:t>
      </w:r>
    </w:p>
    <w:p w:rsidR="00C048BB" w:rsidRPr="00C048BB" w:rsidRDefault="00C048BB" w:rsidP="00C048BB">
      <w:pPr>
        <w:pStyle w:val="ac"/>
        <w:rPr>
          <w:rFonts w:ascii="楷体_GB2312" w:eastAsia="楷体_GB2312" w:cs="楷体_GB2312"/>
          <w:kern w:val="0"/>
        </w:rPr>
      </w:pPr>
    </w:p>
    <w:p w:rsidR="00C048BB" w:rsidRPr="00BB3815" w:rsidRDefault="002D27A6" w:rsidP="00164BC2">
      <w:pPr>
        <w:pStyle w:val="ac"/>
        <w:numPr>
          <w:ilvl w:val="0"/>
          <w:numId w:val="8"/>
        </w:numPr>
        <w:autoSpaceDE w:val="0"/>
        <w:autoSpaceDN w:val="0"/>
        <w:adjustRightInd w:val="0"/>
        <w:spacing w:line="360" w:lineRule="exact"/>
        <w:ind w:firstLineChars="0"/>
        <w:rPr>
          <w:rFonts w:ascii="楷体_GB2312" w:eastAsia="楷体_GB2312" w:cs="楷体_GB2312"/>
          <w:kern w:val="0"/>
        </w:rPr>
      </w:pPr>
      <w:r>
        <w:rPr>
          <w:rFonts w:ascii="楷体_GB2312" w:eastAsia="楷体_GB2312" w:hAnsi="Times New Roman" w:cs="Times New Roman" w:hint="eastAsia"/>
          <w:kern w:val="0"/>
        </w:rPr>
        <w:t>房地产行业基本面下行趋势明显，不具有系统性机会，但流动性改善可能推动其估值改善，金融行业估值水平较低，具有决对收益的机会。</w:t>
      </w:r>
      <w:r w:rsidR="00C048BB">
        <w:rPr>
          <w:rFonts w:ascii="楷体_GB2312" w:eastAsia="楷体_GB2312" w:hAnsi="Times New Roman" w:cs="Times New Roman" w:hint="eastAsia"/>
          <w:kern w:val="0"/>
        </w:rPr>
        <w:t>汽车行业</w:t>
      </w:r>
      <w:r w:rsidR="00C048BB" w:rsidRPr="00B7262B">
        <w:rPr>
          <w:rFonts w:ascii="楷体_GB2312" w:eastAsia="楷体_GB2312" w:hAnsi="Times New Roman" w:cs="Times New Roman" w:hint="eastAsia"/>
          <w:kern w:val="0"/>
        </w:rPr>
        <w:t>我们认为未来投资机会将多出现在商用车排放升级、城市化带来的公交市场增长，以及不断成熟的</w:t>
      </w:r>
      <w:r w:rsidR="00C048BB">
        <w:rPr>
          <w:rFonts w:ascii="楷体_GB2312" w:eastAsia="楷体_GB2312" w:hAnsi="Times New Roman" w:cs="Times New Roman" w:hint="eastAsia"/>
          <w:kern w:val="0"/>
        </w:rPr>
        <w:t>售后市场，同时我们对新能源汽车行业产业方向与产业化进程密切关注；通信行业方面，我们认为</w:t>
      </w:r>
      <w:r w:rsidR="0032225C">
        <w:rPr>
          <w:rFonts w:ascii="楷体_GB2312" w:eastAsia="楷体_GB2312" w:hAnsi="Times New Roman" w:cs="Times New Roman" w:hint="eastAsia"/>
          <w:kern w:val="0"/>
        </w:rPr>
        <w:t>2012年整体行业的机会不大，我们更多关注结构性的机会。传媒行业主要关注政策扶持的影视剧行业，IPTV等新媒体行业。环保行业主要关注大气监测，固废处理以及水处理等具有技术优势和异地扩张能力的龙头企业；电力设备行业主要推荐</w:t>
      </w:r>
      <w:r w:rsidR="00E848CA">
        <w:rPr>
          <w:rFonts w:ascii="楷体_GB2312" w:eastAsia="楷体_GB2312" w:hAnsi="Times New Roman" w:cs="Times New Roman" w:hint="eastAsia"/>
          <w:kern w:val="0"/>
        </w:rPr>
        <w:t>智能</w:t>
      </w:r>
      <w:r w:rsidR="0032225C">
        <w:rPr>
          <w:rFonts w:ascii="楷体_GB2312" w:eastAsia="楷体_GB2312" w:hAnsi="Times New Roman" w:cs="Times New Roman" w:hint="eastAsia"/>
          <w:kern w:val="0"/>
        </w:rPr>
        <w:t>电网，和电网二次设备；新能源行业更加关注核电行业的长期潜力</w:t>
      </w:r>
      <w:r w:rsidR="005E4EAD">
        <w:rPr>
          <w:rFonts w:ascii="楷体_GB2312" w:eastAsia="楷体_GB2312" w:hAnsi="Times New Roman" w:cs="Times New Roman" w:hint="eastAsia"/>
          <w:kern w:val="0"/>
        </w:rPr>
        <w:t>。</w:t>
      </w:r>
    </w:p>
    <w:p w:rsidR="00FE0E7F" w:rsidRPr="00156563" w:rsidRDefault="00FE0E7F" w:rsidP="008D2E16">
      <w:pPr>
        <w:autoSpaceDE w:val="0"/>
        <w:autoSpaceDN w:val="0"/>
        <w:adjustRightInd w:val="0"/>
        <w:spacing w:line="360" w:lineRule="exact"/>
        <w:rPr>
          <w:rFonts w:ascii="楷体_GB2312" w:eastAsia="楷体_GB2312"/>
          <w:kern w:val="0"/>
        </w:rPr>
      </w:pPr>
    </w:p>
    <w:p w:rsidR="00FE0E7F" w:rsidRPr="00796262" w:rsidRDefault="00FE0E7F" w:rsidP="001A2DBE">
      <w:pPr>
        <w:autoSpaceDE w:val="0"/>
        <w:autoSpaceDN w:val="0"/>
        <w:adjustRightInd w:val="0"/>
        <w:spacing w:line="360" w:lineRule="exact"/>
        <w:ind w:firstLineChars="200" w:firstLine="420"/>
        <w:rPr>
          <w:rFonts w:ascii="楷体_GB2312" w:eastAsia="楷体_GB2312"/>
          <w:kern w:val="0"/>
        </w:rPr>
      </w:pPr>
    </w:p>
    <w:p w:rsidR="00FE0E7F" w:rsidRPr="00796262" w:rsidRDefault="00FE0E7F" w:rsidP="008D2E16">
      <w:pPr>
        <w:autoSpaceDE w:val="0"/>
        <w:autoSpaceDN w:val="0"/>
        <w:adjustRightInd w:val="0"/>
        <w:spacing w:line="360" w:lineRule="exact"/>
        <w:rPr>
          <w:rFonts w:ascii="楷体_GB2312" w:eastAsia="楷体_GB2312"/>
          <w:kern w:val="0"/>
        </w:rPr>
      </w:pPr>
    </w:p>
    <w:p w:rsidR="00FE0E7F" w:rsidRPr="00BB0206" w:rsidRDefault="00FE0E7F" w:rsidP="008D2E16">
      <w:pPr>
        <w:autoSpaceDE w:val="0"/>
        <w:autoSpaceDN w:val="0"/>
        <w:adjustRightInd w:val="0"/>
        <w:spacing w:line="360" w:lineRule="exact"/>
        <w:rPr>
          <w:rFonts w:ascii="楷体_GB2312" w:eastAsia="楷体_GB2312"/>
          <w:kern w:val="0"/>
        </w:rPr>
        <w:sectPr w:rsidR="00FE0E7F" w:rsidRPr="00BB0206" w:rsidSect="000F14EF">
          <w:headerReference w:type="default" r:id="rId8"/>
          <w:footerReference w:type="default" r:id="rId9"/>
          <w:pgSz w:w="11906" w:h="16838"/>
          <w:pgMar w:top="1440" w:right="1286" w:bottom="1440" w:left="1440" w:header="851" w:footer="992" w:gutter="0"/>
          <w:cols w:space="425"/>
          <w:docGrid w:type="lines" w:linePitch="312"/>
        </w:sectPr>
      </w:pPr>
    </w:p>
    <w:p w:rsidR="00FE0E7F" w:rsidRDefault="00FE0E7F" w:rsidP="006F6B26">
      <w:pPr>
        <w:autoSpaceDE w:val="0"/>
        <w:autoSpaceDN w:val="0"/>
        <w:adjustRightInd w:val="0"/>
        <w:spacing w:line="480" w:lineRule="auto"/>
        <w:rPr>
          <w:rFonts w:ascii="楷体_GB2312" w:eastAsia="楷体_GB2312"/>
          <w:b/>
          <w:bCs/>
          <w:kern w:val="0"/>
          <w:sz w:val="44"/>
          <w:szCs w:val="44"/>
        </w:rPr>
      </w:pPr>
    </w:p>
    <w:p w:rsidR="00FE0E7F" w:rsidRDefault="00FE0E7F" w:rsidP="00117F7A">
      <w:pPr>
        <w:autoSpaceDE w:val="0"/>
        <w:autoSpaceDN w:val="0"/>
        <w:adjustRightInd w:val="0"/>
        <w:spacing w:line="480" w:lineRule="auto"/>
        <w:ind w:firstLineChars="900" w:firstLine="3975"/>
        <w:rPr>
          <w:rFonts w:ascii="楷体_GB2312" w:eastAsia="楷体_GB2312"/>
          <w:b/>
          <w:bCs/>
          <w:kern w:val="0"/>
          <w:sz w:val="44"/>
          <w:szCs w:val="44"/>
        </w:rPr>
      </w:pPr>
      <w:r w:rsidRPr="00F22F01">
        <w:rPr>
          <w:rFonts w:ascii="楷体_GB2312" w:eastAsia="楷体_GB2312" w:cs="楷体_GB2312" w:hint="eastAsia"/>
          <w:b/>
          <w:bCs/>
          <w:kern w:val="0"/>
          <w:sz w:val="44"/>
          <w:szCs w:val="44"/>
        </w:rPr>
        <w:t>目</w:t>
      </w:r>
      <w:r w:rsidR="00117F7A">
        <w:rPr>
          <w:rFonts w:ascii="楷体_GB2312" w:eastAsia="楷体_GB2312" w:cs="楷体_GB2312" w:hint="eastAsia"/>
          <w:b/>
          <w:bCs/>
          <w:kern w:val="0"/>
          <w:sz w:val="44"/>
          <w:szCs w:val="44"/>
        </w:rPr>
        <w:t xml:space="preserve">    </w:t>
      </w:r>
      <w:r w:rsidRPr="00F22F01">
        <w:rPr>
          <w:rFonts w:ascii="楷体_GB2312" w:eastAsia="楷体_GB2312" w:cs="楷体_GB2312" w:hint="eastAsia"/>
          <w:b/>
          <w:bCs/>
          <w:kern w:val="0"/>
          <w:sz w:val="44"/>
          <w:szCs w:val="44"/>
        </w:rPr>
        <w:t>录</w:t>
      </w:r>
    </w:p>
    <w:p w:rsidR="00FE0E7F" w:rsidRDefault="00FE0E7F" w:rsidP="004D0C26">
      <w:pPr>
        <w:pStyle w:val="10"/>
      </w:pPr>
    </w:p>
    <w:p w:rsidR="00E67D48" w:rsidRDefault="00097DFD">
      <w:pPr>
        <w:pStyle w:val="10"/>
        <w:rPr>
          <w:rFonts w:asciiTheme="minorHAnsi" w:eastAsiaTheme="minorEastAsia" w:hAnsiTheme="minorHAnsi" w:cstheme="minorBidi"/>
          <w:noProof/>
          <w:szCs w:val="22"/>
        </w:rPr>
      </w:pPr>
      <w:r>
        <w:fldChar w:fldCharType="begin"/>
      </w:r>
      <w:r w:rsidR="00FE0E7F">
        <w:instrText xml:space="preserve"> TOC \o "1-3" \h \z \u </w:instrText>
      </w:r>
      <w:r>
        <w:fldChar w:fldCharType="separate"/>
      </w:r>
      <w:hyperlink w:anchor="_Toc313737739" w:history="1">
        <w:r w:rsidR="00E67D48" w:rsidRPr="00871E1B">
          <w:rPr>
            <w:rStyle w:val="a7"/>
            <w:rFonts w:ascii="楷体_GB2312" w:eastAsia="楷体_GB2312" w:hAnsi="宋体" w:cs="楷体_GB2312" w:hint="eastAsia"/>
            <w:noProof/>
          </w:rPr>
          <w:t>一、</w:t>
        </w:r>
        <w:r w:rsidR="00E67D48" w:rsidRPr="00871E1B">
          <w:rPr>
            <w:rStyle w:val="a7"/>
            <w:rFonts w:ascii="楷体_GB2312" w:eastAsia="楷体_GB2312" w:hAnsi="宋体" w:cs="楷体_GB2312"/>
            <w:noProof/>
          </w:rPr>
          <w:t>2012</w:t>
        </w:r>
        <w:r w:rsidR="00E67D48" w:rsidRPr="00871E1B">
          <w:rPr>
            <w:rStyle w:val="a7"/>
            <w:rFonts w:ascii="楷体_GB2312" w:eastAsia="楷体_GB2312" w:hAnsi="宋体" w:cs="楷体_GB2312" w:hint="eastAsia"/>
            <w:noProof/>
          </w:rPr>
          <w:t>年全球仍将低速中再平衡</w:t>
        </w:r>
        <w:r w:rsidR="00E67D48">
          <w:rPr>
            <w:noProof/>
            <w:webHidden/>
          </w:rPr>
          <w:tab/>
        </w:r>
        <w:r>
          <w:rPr>
            <w:noProof/>
            <w:webHidden/>
          </w:rPr>
          <w:fldChar w:fldCharType="begin"/>
        </w:r>
        <w:r w:rsidR="00E67D48">
          <w:rPr>
            <w:noProof/>
            <w:webHidden/>
          </w:rPr>
          <w:instrText xml:space="preserve"> PAGEREF _Toc313737739 \h </w:instrText>
        </w:r>
        <w:r>
          <w:rPr>
            <w:noProof/>
            <w:webHidden/>
          </w:rPr>
        </w:r>
        <w:r>
          <w:rPr>
            <w:noProof/>
            <w:webHidden/>
          </w:rPr>
          <w:fldChar w:fldCharType="separate"/>
        </w:r>
        <w:r w:rsidR="00E67D48">
          <w:rPr>
            <w:noProof/>
            <w:webHidden/>
          </w:rPr>
          <w:t>5</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40" w:history="1">
        <w:r w:rsidR="00E67D48" w:rsidRPr="00871E1B">
          <w:rPr>
            <w:rStyle w:val="a7"/>
            <w:rFonts w:ascii="楷体_GB2312" w:eastAsia="楷体_GB2312" w:hAnsi="宋体" w:cs="楷体_GB2312"/>
            <w:noProof/>
          </w:rPr>
          <w:t>1</w:t>
        </w:r>
        <w:r w:rsidR="00E67D48" w:rsidRPr="00871E1B">
          <w:rPr>
            <w:rStyle w:val="a7"/>
            <w:rFonts w:ascii="楷体_GB2312" w:eastAsia="楷体_GB2312" w:hAnsi="宋体" w:cs="楷体_GB2312" w:hint="eastAsia"/>
            <w:noProof/>
          </w:rPr>
          <w:t>、</w:t>
        </w:r>
        <w:r w:rsidR="00E67D48" w:rsidRPr="00871E1B">
          <w:rPr>
            <w:rStyle w:val="a7"/>
            <w:rFonts w:ascii="楷体_GB2312" w:eastAsia="楷体_GB2312" w:hAnsi="宋体" w:cs="楷体_GB2312"/>
            <w:noProof/>
          </w:rPr>
          <w:t>2012</w:t>
        </w:r>
        <w:r w:rsidR="00E67D48" w:rsidRPr="00871E1B">
          <w:rPr>
            <w:rStyle w:val="a7"/>
            <w:rFonts w:ascii="楷体_GB2312" w:eastAsia="楷体_GB2312" w:hAnsi="宋体" w:cs="楷体_GB2312" w:hint="eastAsia"/>
            <w:noProof/>
          </w:rPr>
          <w:t>年仍将低速复苏</w:t>
        </w:r>
        <w:r w:rsidR="00E67D48">
          <w:rPr>
            <w:noProof/>
            <w:webHidden/>
          </w:rPr>
          <w:tab/>
        </w:r>
        <w:r>
          <w:rPr>
            <w:noProof/>
            <w:webHidden/>
          </w:rPr>
          <w:fldChar w:fldCharType="begin"/>
        </w:r>
        <w:r w:rsidR="00E67D48">
          <w:rPr>
            <w:noProof/>
            <w:webHidden/>
          </w:rPr>
          <w:instrText xml:space="preserve"> PAGEREF _Toc313737740 \h </w:instrText>
        </w:r>
        <w:r>
          <w:rPr>
            <w:noProof/>
            <w:webHidden/>
          </w:rPr>
        </w:r>
        <w:r>
          <w:rPr>
            <w:noProof/>
            <w:webHidden/>
          </w:rPr>
          <w:fldChar w:fldCharType="separate"/>
        </w:r>
        <w:r w:rsidR="00E67D48">
          <w:rPr>
            <w:noProof/>
            <w:webHidden/>
          </w:rPr>
          <w:t>5</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41" w:history="1">
        <w:r w:rsidR="00E67D48" w:rsidRPr="00871E1B">
          <w:rPr>
            <w:rStyle w:val="a7"/>
            <w:rFonts w:ascii="楷体_GB2312" w:eastAsia="楷体_GB2312" w:hAnsi="宋体" w:cs="楷体_GB2312"/>
            <w:noProof/>
          </w:rPr>
          <w:t>2</w:t>
        </w:r>
        <w:r w:rsidR="00E67D48" w:rsidRPr="00871E1B">
          <w:rPr>
            <w:rStyle w:val="a7"/>
            <w:rFonts w:ascii="楷体_GB2312" w:eastAsia="楷体_GB2312" w:hAnsi="宋体" w:cs="楷体_GB2312" w:hint="eastAsia"/>
            <w:noProof/>
          </w:rPr>
          <w:t>、</w:t>
        </w:r>
        <w:r w:rsidR="00E67D48" w:rsidRPr="00871E1B">
          <w:rPr>
            <w:rStyle w:val="a7"/>
            <w:rFonts w:ascii="楷体_GB2312" w:eastAsia="楷体_GB2312" w:hAnsi="宋体" w:cs="楷体_GB2312"/>
            <w:noProof/>
          </w:rPr>
          <w:t>2012</w:t>
        </w:r>
        <w:r w:rsidR="00E67D48" w:rsidRPr="00871E1B">
          <w:rPr>
            <w:rStyle w:val="a7"/>
            <w:rFonts w:ascii="楷体_GB2312" w:eastAsia="楷体_GB2312" w:hAnsi="宋体" w:cs="楷体_GB2312" w:hint="eastAsia"/>
            <w:noProof/>
          </w:rPr>
          <w:t>年中国经济面临稳增长难题</w:t>
        </w:r>
        <w:r w:rsidR="00E67D48">
          <w:rPr>
            <w:noProof/>
            <w:webHidden/>
          </w:rPr>
          <w:tab/>
        </w:r>
        <w:r>
          <w:rPr>
            <w:noProof/>
            <w:webHidden/>
          </w:rPr>
          <w:fldChar w:fldCharType="begin"/>
        </w:r>
        <w:r w:rsidR="00E67D48">
          <w:rPr>
            <w:noProof/>
            <w:webHidden/>
          </w:rPr>
          <w:instrText xml:space="preserve"> PAGEREF _Toc313737741 \h </w:instrText>
        </w:r>
        <w:r>
          <w:rPr>
            <w:noProof/>
            <w:webHidden/>
          </w:rPr>
        </w:r>
        <w:r>
          <w:rPr>
            <w:noProof/>
            <w:webHidden/>
          </w:rPr>
          <w:fldChar w:fldCharType="separate"/>
        </w:r>
        <w:r w:rsidR="00E67D48">
          <w:rPr>
            <w:noProof/>
            <w:webHidden/>
          </w:rPr>
          <w:t>7</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42" w:history="1">
        <w:r w:rsidR="00E67D48" w:rsidRPr="00871E1B">
          <w:rPr>
            <w:rStyle w:val="a7"/>
            <w:rFonts w:ascii="楷体_GB2312" w:eastAsia="楷体_GB2312" w:hAnsi="宋体" w:cs="楷体_GB2312"/>
            <w:noProof/>
          </w:rPr>
          <w:t>3</w:t>
        </w:r>
        <w:r w:rsidR="00E67D48" w:rsidRPr="00871E1B">
          <w:rPr>
            <w:rStyle w:val="a7"/>
            <w:rFonts w:ascii="楷体_GB2312" w:eastAsia="楷体_GB2312" w:hAnsi="宋体" w:cs="楷体_GB2312" w:hint="eastAsia"/>
            <w:noProof/>
          </w:rPr>
          <w:t>、</w:t>
        </w:r>
        <w:r w:rsidR="00E67D48" w:rsidRPr="00871E1B">
          <w:rPr>
            <w:rStyle w:val="a7"/>
            <w:rFonts w:ascii="楷体_GB2312" w:eastAsia="楷体_GB2312" w:hAnsi="宋体" w:cs="楷体_GB2312"/>
            <w:noProof/>
          </w:rPr>
          <w:t>2012</w:t>
        </w:r>
        <w:r w:rsidR="00E67D48" w:rsidRPr="00871E1B">
          <w:rPr>
            <w:rStyle w:val="a7"/>
            <w:rFonts w:ascii="楷体_GB2312" w:eastAsia="楷体_GB2312" w:hAnsi="宋体" w:cs="楷体_GB2312" w:hint="eastAsia"/>
            <w:noProof/>
          </w:rPr>
          <w:t>年中国企业盈利如何演绎</w:t>
        </w:r>
        <w:r w:rsidR="00E67D48">
          <w:rPr>
            <w:noProof/>
            <w:webHidden/>
          </w:rPr>
          <w:tab/>
        </w:r>
        <w:r>
          <w:rPr>
            <w:noProof/>
            <w:webHidden/>
          </w:rPr>
          <w:fldChar w:fldCharType="begin"/>
        </w:r>
        <w:r w:rsidR="00E67D48">
          <w:rPr>
            <w:noProof/>
            <w:webHidden/>
          </w:rPr>
          <w:instrText xml:space="preserve"> PAGEREF _Toc313737742 \h </w:instrText>
        </w:r>
        <w:r>
          <w:rPr>
            <w:noProof/>
            <w:webHidden/>
          </w:rPr>
        </w:r>
        <w:r>
          <w:rPr>
            <w:noProof/>
            <w:webHidden/>
          </w:rPr>
          <w:fldChar w:fldCharType="separate"/>
        </w:r>
        <w:r w:rsidR="00E67D48">
          <w:rPr>
            <w:noProof/>
            <w:webHidden/>
          </w:rPr>
          <w:t>8</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43" w:history="1">
        <w:r w:rsidR="00E67D48" w:rsidRPr="00871E1B">
          <w:rPr>
            <w:rStyle w:val="a7"/>
            <w:rFonts w:ascii="楷体_GB2312" w:eastAsia="楷体_GB2312" w:hAnsi="宋体" w:cs="楷体_GB2312" w:hint="eastAsia"/>
            <w:noProof/>
          </w:rPr>
          <w:t>二、流动性和美元将是主导明年市场的主要因素</w:t>
        </w:r>
        <w:r w:rsidR="00E67D48">
          <w:rPr>
            <w:noProof/>
            <w:webHidden/>
          </w:rPr>
          <w:tab/>
        </w:r>
        <w:r>
          <w:rPr>
            <w:noProof/>
            <w:webHidden/>
          </w:rPr>
          <w:fldChar w:fldCharType="begin"/>
        </w:r>
        <w:r w:rsidR="00E67D48">
          <w:rPr>
            <w:noProof/>
            <w:webHidden/>
          </w:rPr>
          <w:instrText xml:space="preserve"> PAGEREF _Toc313737743 \h </w:instrText>
        </w:r>
        <w:r>
          <w:rPr>
            <w:noProof/>
            <w:webHidden/>
          </w:rPr>
        </w:r>
        <w:r>
          <w:rPr>
            <w:noProof/>
            <w:webHidden/>
          </w:rPr>
          <w:fldChar w:fldCharType="separate"/>
        </w:r>
        <w:r w:rsidR="00E67D48">
          <w:rPr>
            <w:noProof/>
            <w:webHidden/>
          </w:rPr>
          <w:t>9</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44" w:history="1">
        <w:r w:rsidR="00E67D48" w:rsidRPr="00871E1B">
          <w:rPr>
            <w:rStyle w:val="a7"/>
            <w:rFonts w:ascii="楷体_GB2312" w:eastAsia="楷体_GB2312" w:hAnsi="宋体" w:cs="楷体_GB2312"/>
            <w:noProof/>
          </w:rPr>
          <w:t>1</w:t>
        </w:r>
        <w:r w:rsidR="00E67D48" w:rsidRPr="00871E1B">
          <w:rPr>
            <w:rStyle w:val="a7"/>
            <w:rFonts w:ascii="楷体_GB2312" w:eastAsia="楷体_GB2312" w:hAnsi="宋体" w:cs="楷体_GB2312" w:hint="eastAsia"/>
            <w:noProof/>
          </w:rPr>
          <w:t>、外汇占款能否正增长</w:t>
        </w:r>
        <w:r w:rsidR="00E67D48">
          <w:rPr>
            <w:noProof/>
            <w:webHidden/>
          </w:rPr>
          <w:tab/>
        </w:r>
        <w:r>
          <w:rPr>
            <w:noProof/>
            <w:webHidden/>
          </w:rPr>
          <w:fldChar w:fldCharType="begin"/>
        </w:r>
        <w:r w:rsidR="00E67D48">
          <w:rPr>
            <w:noProof/>
            <w:webHidden/>
          </w:rPr>
          <w:instrText xml:space="preserve"> PAGEREF _Toc313737744 \h </w:instrText>
        </w:r>
        <w:r>
          <w:rPr>
            <w:noProof/>
            <w:webHidden/>
          </w:rPr>
        </w:r>
        <w:r>
          <w:rPr>
            <w:noProof/>
            <w:webHidden/>
          </w:rPr>
          <w:fldChar w:fldCharType="separate"/>
        </w:r>
        <w:r w:rsidR="00E67D48">
          <w:rPr>
            <w:noProof/>
            <w:webHidden/>
          </w:rPr>
          <w:t>9</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45" w:history="1">
        <w:r w:rsidR="00E67D48" w:rsidRPr="00871E1B">
          <w:rPr>
            <w:rStyle w:val="a7"/>
            <w:rFonts w:ascii="楷体_GB2312" w:eastAsia="楷体_GB2312" w:hAnsi="宋体" w:cs="楷体_GB2312"/>
            <w:noProof/>
          </w:rPr>
          <w:t>2</w:t>
        </w:r>
        <w:r w:rsidR="00E67D48" w:rsidRPr="00871E1B">
          <w:rPr>
            <w:rStyle w:val="a7"/>
            <w:rFonts w:ascii="楷体_GB2312" w:eastAsia="楷体_GB2312" w:hAnsi="宋体" w:cs="楷体_GB2312" w:hint="eastAsia"/>
            <w:noProof/>
          </w:rPr>
          <w:t>、人民币对非美货币升值？</w:t>
        </w:r>
        <w:r w:rsidR="00E67D48">
          <w:rPr>
            <w:noProof/>
            <w:webHidden/>
          </w:rPr>
          <w:tab/>
        </w:r>
        <w:r>
          <w:rPr>
            <w:noProof/>
            <w:webHidden/>
          </w:rPr>
          <w:fldChar w:fldCharType="begin"/>
        </w:r>
        <w:r w:rsidR="00E67D48">
          <w:rPr>
            <w:noProof/>
            <w:webHidden/>
          </w:rPr>
          <w:instrText xml:space="preserve"> PAGEREF _Toc313737745 \h </w:instrText>
        </w:r>
        <w:r>
          <w:rPr>
            <w:noProof/>
            <w:webHidden/>
          </w:rPr>
        </w:r>
        <w:r>
          <w:rPr>
            <w:noProof/>
            <w:webHidden/>
          </w:rPr>
          <w:fldChar w:fldCharType="separate"/>
        </w:r>
        <w:r w:rsidR="00E67D48">
          <w:rPr>
            <w:noProof/>
            <w:webHidden/>
          </w:rPr>
          <w:t>10</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46" w:history="1">
        <w:r w:rsidR="00E67D48" w:rsidRPr="00871E1B">
          <w:rPr>
            <w:rStyle w:val="a7"/>
            <w:rFonts w:ascii="楷体_GB2312" w:eastAsia="楷体_GB2312" w:hAnsi="宋体" w:cs="楷体_GB2312"/>
            <w:noProof/>
          </w:rPr>
          <w:t>3</w:t>
        </w:r>
        <w:r w:rsidR="00E67D48" w:rsidRPr="00871E1B">
          <w:rPr>
            <w:rStyle w:val="a7"/>
            <w:rFonts w:ascii="楷体_GB2312" w:eastAsia="楷体_GB2312" w:hAnsi="宋体" w:cs="楷体_GB2312" w:hint="eastAsia"/>
            <w:noProof/>
          </w:rPr>
          <w:t>、</w:t>
        </w:r>
        <w:r w:rsidR="00E67D48" w:rsidRPr="00871E1B">
          <w:rPr>
            <w:rStyle w:val="a7"/>
            <w:rFonts w:ascii="楷体_GB2312" w:eastAsia="楷体_GB2312" w:hAnsi="宋体" w:cs="楷体_GB2312"/>
            <w:noProof/>
          </w:rPr>
          <w:t>2012</w:t>
        </w:r>
        <w:r w:rsidR="00E67D48" w:rsidRPr="00871E1B">
          <w:rPr>
            <w:rStyle w:val="a7"/>
            <w:rFonts w:ascii="楷体_GB2312" w:eastAsia="楷体_GB2312" w:hAnsi="宋体" w:cs="楷体_GB2312" w:hint="eastAsia"/>
            <w:noProof/>
          </w:rPr>
          <w:t>年流动性情况研判</w:t>
        </w:r>
        <w:r w:rsidR="00E67D48">
          <w:rPr>
            <w:noProof/>
            <w:webHidden/>
          </w:rPr>
          <w:tab/>
        </w:r>
        <w:r>
          <w:rPr>
            <w:noProof/>
            <w:webHidden/>
          </w:rPr>
          <w:fldChar w:fldCharType="begin"/>
        </w:r>
        <w:r w:rsidR="00E67D48">
          <w:rPr>
            <w:noProof/>
            <w:webHidden/>
          </w:rPr>
          <w:instrText xml:space="preserve"> PAGEREF _Toc313737746 \h </w:instrText>
        </w:r>
        <w:r>
          <w:rPr>
            <w:noProof/>
            <w:webHidden/>
          </w:rPr>
        </w:r>
        <w:r>
          <w:rPr>
            <w:noProof/>
            <w:webHidden/>
          </w:rPr>
          <w:fldChar w:fldCharType="separate"/>
        </w:r>
        <w:r w:rsidR="00E67D48">
          <w:rPr>
            <w:noProof/>
            <w:webHidden/>
          </w:rPr>
          <w:t>10</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47" w:history="1">
        <w:r w:rsidR="00E67D48" w:rsidRPr="00871E1B">
          <w:rPr>
            <w:rStyle w:val="a7"/>
            <w:rFonts w:ascii="楷体_GB2312" w:eastAsia="楷体_GB2312" w:hAnsi="宋体" w:cs="楷体_GB2312" w:hint="eastAsia"/>
            <w:noProof/>
          </w:rPr>
          <w:t>三、我们的投资策略</w:t>
        </w:r>
        <w:r w:rsidR="00E67D48">
          <w:rPr>
            <w:noProof/>
            <w:webHidden/>
          </w:rPr>
          <w:tab/>
        </w:r>
        <w:r>
          <w:rPr>
            <w:noProof/>
            <w:webHidden/>
          </w:rPr>
          <w:fldChar w:fldCharType="begin"/>
        </w:r>
        <w:r w:rsidR="00E67D48">
          <w:rPr>
            <w:noProof/>
            <w:webHidden/>
          </w:rPr>
          <w:instrText xml:space="preserve"> PAGEREF _Toc313737747 \h </w:instrText>
        </w:r>
        <w:r>
          <w:rPr>
            <w:noProof/>
            <w:webHidden/>
          </w:rPr>
        </w:r>
        <w:r>
          <w:rPr>
            <w:noProof/>
            <w:webHidden/>
          </w:rPr>
          <w:fldChar w:fldCharType="separate"/>
        </w:r>
        <w:r w:rsidR="00E67D48">
          <w:rPr>
            <w:noProof/>
            <w:webHidden/>
          </w:rPr>
          <w:t>11</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48" w:history="1">
        <w:r w:rsidR="00E67D48" w:rsidRPr="00871E1B">
          <w:rPr>
            <w:rStyle w:val="a7"/>
            <w:rFonts w:ascii="楷体_GB2312" w:eastAsia="楷体_GB2312" w:hAnsi="宋体" w:cs="楷体_GB2312"/>
            <w:noProof/>
          </w:rPr>
          <w:t>1</w:t>
        </w:r>
        <w:r w:rsidR="00E67D48" w:rsidRPr="00871E1B">
          <w:rPr>
            <w:rStyle w:val="a7"/>
            <w:rFonts w:ascii="楷体_GB2312" w:eastAsia="楷体_GB2312" w:hAnsi="宋体" w:cs="楷体_GB2312" w:hint="eastAsia"/>
            <w:noProof/>
          </w:rPr>
          <w:t>、重点配置低估值行业</w:t>
        </w:r>
        <w:r w:rsidR="00E67D48">
          <w:rPr>
            <w:noProof/>
            <w:webHidden/>
          </w:rPr>
          <w:tab/>
        </w:r>
        <w:r>
          <w:rPr>
            <w:noProof/>
            <w:webHidden/>
          </w:rPr>
          <w:fldChar w:fldCharType="begin"/>
        </w:r>
        <w:r w:rsidR="00E67D48">
          <w:rPr>
            <w:noProof/>
            <w:webHidden/>
          </w:rPr>
          <w:instrText xml:space="preserve"> PAGEREF _Toc313737748 \h </w:instrText>
        </w:r>
        <w:r>
          <w:rPr>
            <w:noProof/>
            <w:webHidden/>
          </w:rPr>
        </w:r>
        <w:r>
          <w:rPr>
            <w:noProof/>
            <w:webHidden/>
          </w:rPr>
          <w:fldChar w:fldCharType="separate"/>
        </w:r>
        <w:r w:rsidR="00E67D48">
          <w:rPr>
            <w:noProof/>
            <w:webHidden/>
          </w:rPr>
          <w:t>11</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49" w:history="1">
        <w:r w:rsidR="00E67D48" w:rsidRPr="00871E1B">
          <w:rPr>
            <w:rStyle w:val="a7"/>
            <w:rFonts w:ascii="楷体_GB2312" w:eastAsia="楷体_GB2312" w:hAnsi="宋体" w:cs="楷体_GB2312"/>
            <w:noProof/>
          </w:rPr>
          <w:t>2</w:t>
        </w:r>
        <w:r w:rsidR="00E67D48" w:rsidRPr="00871E1B">
          <w:rPr>
            <w:rStyle w:val="a7"/>
            <w:rFonts w:ascii="楷体_GB2312" w:eastAsia="楷体_GB2312" w:hAnsi="宋体" w:cs="楷体_GB2312" w:hint="eastAsia"/>
            <w:noProof/>
          </w:rPr>
          <w:t>、行业配置思路</w:t>
        </w:r>
        <w:r w:rsidR="00E67D48">
          <w:rPr>
            <w:noProof/>
            <w:webHidden/>
          </w:rPr>
          <w:tab/>
        </w:r>
        <w:r>
          <w:rPr>
            <w:noProof/>
            <w:webHidden/>
          </w:rPr>
          <w:fldChar w:fldCharType="begin"/>
        </w:r>
        <w:r w:rsidR="00E67D48">
          <w:rPr>
            <w:noProof/>
            <w:webHidden/>
          </w:rPr>
          <w:instrText xml:space="preserve"> PAGEREF _Toc313737749 \h </w:instrText>
        </w:r>
        <w:r>
          <w:rPr>
            <w:noProof/>
            <w:webHidden/>
          </w:rPr>
        </w:r>
        <w:r>
          <w:rPr>
            <w:noProof/>
            <w:webHidden/>
          </w:rPr>
          <w:fldChar w:fldCharType="separate"/>
        </w:r>
        <w:r w:rsidR="00E67D48">
          <w:rPr>
            <w:noProof/>
            <w:webHidden/>
          </w:rPr>
          <w:t>12</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50" w:history="1">
        <w:r w:rsidR="00E67D48" w:rsidRPr="00871E1B">
          <w:rPr>
            <w:rStyle w:val="a7"/>
            <w:rFonts w:ascii="楷体_GB2312" w:eastAsia="楷体_GB2312" w:hAnsi="宋体" w:cs="楷体_GB2312"/>
            <w:noProof/>
          </w:rPr>
          <w:t>3</w:t>
        </w:r>
        <w:r w:rsidR="00E67D48" w:rsidRPr="00871E1B">
          <w:rPr>
            <w:rStyle w:val="a7"/>
            <w:rFonts w:ascii="楷体_GB2312" w:eastAsia="楷体_GB2312" w:hAnsi="宋体" w:cs="楷体_GB2312" w:hint="eastAsia"/>
            <w:noProof/>
          </w:rPr>
          <w:t>．绝对收益投资思路</w:t>
        </w:r>
        <w:r w:rsidR="00E67D48">
          <w:rPr>
            <w:noProof/>
            <w:webHidden/>
          </w:rPr>
          <w:tab/>
        </w:r>
        <w:r>
          <w:rPr>
            <w:noProof/>
            <w:webHidden/>
          </w:rPr>
          <w:fldChar w:fldCharType="begin"/>
        </w:r>
        <w:r w:rsidR="00E67D48">
          <w:rPr>
            <w:noProof/>
            <w:webHidden/>
          </w:rPr>
          <w:instrText xml:space="preserve"> PAGEREF _Toc313737750 \h </w:instrText>
        </w:r>
        <w:r>
          <w:rPr>
            <w:noProof/>
            <w:webHidden/>
          </w:rPr>
        </w:r>
        <w:r>
          <w:rPr>
            <w:noProof/>
            <w:webHidden/>
          </w:rPr>
          <w:fldChar w:fldCharType="separate"/>
        </w:r>
        <w:r w:rsidR="00E67D48">
          <w:rPr>
            <w:noProof/>
            <w:webHidden/>
          </w:rPr>
          <w:t>12</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51" w:history="1">
        <w:r w:rsidR="00E67D48" w:rsidRPr="00871E1B">
          <w:rPr>
            <w:rStyle w:val="a7"/>
            <w:rFonts w:ascii="楷体_GB2312" w:eastAsia="楷体_GB2312" w:hAnsi="宋体" w:cs="楷体_GB2312"/>
            <w:noProof/>
          </w:rPr>
          <w:t>4</w:t>
        </w:r>
        <w:r w:rsidR="00E67D48" w:rsidRPr="00871E1B">
          <w:rPr>
            <w:rStyle w:val="a7"/>
            <w:rFonts w:ascii="楷体_GB2312" w:eastAsia="楷体_GB2312" w:hAnsi="宋体" w:cs="楷体_GB2312" w:hint="eastAsia"/>
            <w:noProof/>
          </w:rPr>
          <w:t>．行业策略</w:t>
        </w:r>
        <w:r w:rsidR="00E67D48">
          <w:rPr>
            <w:noProof/>
            <w:webHidden/>
          </w:rPr>
          <w:tab/>
        </w:r>
        <w:r>
          <w:rPr>
            <w:noProof/>
            <w:webHidden/>
          </w:rPr>
          <w:fldChar w:fldCharType="begin"/>
        </w:r>
        <w:r w:rsidR="00E67D48">
          <w:rPr>
            <w:noProof/>
            <w:webHidden/>
          </w:rPr>
          <w:instrText xml:space="preserve"> PAGEREF _Toc313737751 \h </w:instrText>
        </w:r>
        <w:r>
          <w:rPr>
            <w:noProof/>
            <w:webHidden/>
          </w:rPr>
        </w:r>
        <w:r>
          <w:rPr>
            <w:noProof/>
            <w:webHidden/>
          </w:rPr>
          <w:fldChar w:fldCharType="separate"/>
        </w:r>
        <w:r w:rsidR="00E67D48">
          <w:rPr>
            <w:noProof/>
            <w:webHidden/>
          </w:rPr>
          <w:t>12</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52" w:history="1">
        <w:r w:rsidR="00E67D48" w:rsidRPr="00871E1B">
          <w:rPr>
            <w:rStyle w:val="a7"/>
            <w:rFonts w:ascii="楷体_GB2312" w:eastAsia="楷体_GB2312" w:hAnsi="宋体" w:cs="楷体_GB2312" w:hint="eastAsia"/>
            <w:noProof/>
          </w:rPr>
          <w:t>四、行业策略观点</w:t>
        </w:r>
        <w:r w:rsidR="00E67D48">
          <w:rPr>
            <w:noProof/>
            <w:webHidden/>
          </w:rPr>
          <w:tab/>
        </w:r>
        <w:r>
          <w:rPr>
            <w:noProof/>
            <w:webHidden/>
          </w:rPr>
          <w:fldChar w:fldCharType="begin"/>
        </w:r>
        <w:r w:rsidR="00E67D48">
          <w:rPr>
            <w:noProof/>
            <w:webHidden/>
          </w:rPr>
          <w:instrText xml:space="preserve"> PAGEREF _Toc313737752 \h </w:instrText>
        </w:r>
        <w:r>
          <w:rPr>
            <w:noProof/>
            <w:webHidden/>
          </w:rPr>
        </w:r>
        <w:r>
          <w:rPr>
            <w:noProof/>
            <w:webHidden/>
          </w:rPr>
          <w:fldChar w:fldCharType="separate"/>
        </w:r>
        <w:r w:rsidR="00E67D48">
          <w:rPr>
            <w:noProof/>
            <w:webHidden/>
          </w:rPr>
          <w:t>13</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53" w:history="1">
        <w:r w:rsidR="00E67D48" w:rsidRPr="00871E1B">
          <w:rPr>
            <w:rStyle w:val="a7"/>
            <w:rFonts w:ascii="楷体_GB2312" w:eastAsia="楷体_GB2312" w:hAnsi="宋体" w:hint="eastAsia"/>
            <w:noProof/>
          </w:rPr>
          <w:t>（二）</w:t>
        </w:r>
        <w:r w:rsidR="00E67D48">
          <w:rPr>
            <w:rFonts w:asciiTheme="minorHAnsi" w:eastAsiaTheme="minorEastAsia" w:hAnsiTheme="minorHAnsi" w:cstheme="minorBidi"/>
            <w:noProof/>
            <w:szCs w:val="22"/>
          </w:rPr>
          <w:tab/>
        </w:r>
        <w:r w:rsidR="00E67D48" w:rsidRPr="00871E1B">
          <w:rPr>
            <w:rStyle w:val="a7"/>
            <w:rFonts w:ascii="楷体_GB2312" w:eastAsia="楷体_GB2312" w:hAnsi="宋体" w:cs="楷体_GB2312" w:hint="eastAsia"/>
            <w:noProof/>
          </w:rPr>
          <w:t>有色金属行业</w:t>
        </w:r>
        <w:r w:rsidR="00E67D48">
          <w:rPr>
            <w:noProof/>
            <w:webHidden/>
          </w:rPr>
          <w:tab/>
        </w:r>
        <w:r>
          <w:rPr>
            <w:noProof/>
            <w:webHidden/>
          </w:rPr>
          <w:fldChar w:fldCharType="begin"/>
        </w:r>
        <w:r w:rsidR="00E67D48">
          <w:rPr>
            <w:noProof/>
            <w:webHidden/>
          </w:rPr>
          <w:instrText xml:space="preserve"> PAGEREF _Toc313737753 \h </w:instrText>
        </w:r>
        <w:r>
          <w:rPr>
            <w:noProof/>
            <w:webHidden/>
          </w:rPr>
        </w:r>
        <w:r>
          <w:rPr>
            <w:noProof/>
            <w:webHidden/>
          </w:rPr>
          <w:fldChar w:fldCharType="separate"/>
        </w:r>
        <w:r w:rsidR="00E67D48">
          <w:rPr>
            <w:noProof/>
            <w:webHidden/>
          </w:rPr>
          <w:t>15</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54" w:history="1">
        <w:r w:rsidR="00E67D48" w:rsidRPr="00871E1B">
          <w:rPr>
            <w:rStyle w:val="a7"/>
            <w:rFonts w:ascii="楷体_GB2312" w:eastAsia="楷体_GB2312" w:hAnsi="宋体" w:cs="楷体_GB2312" w:hint="eastAsia"/>
            <w:noProof/>
          </w:rPr>
          <w:t>（三）</w:t>
        </w:r>
        <w:r w:rsidR="00E67D48">
          <w:rPr>
            <w:rFonts w:asciiTheme="minorHAnsi" w:eastAsiaTheme="minorEastAsia" w:hAnsiTheme="minorHAnsi" w:cstheme="minorBidi"/>
            <w:noProof/>
            <w:szCs w:val="22"/>
          </w:rPr>
          <w:tab/>
        </w:r>
        <w:r w:rsidR="00E67D48" w:rsidRPr="00871E1B">
          <w:rPr>
            <w:rStyle w:val="a7"/>
            <w:rFonts w:ascii="楷体_GB2312" w:eastAsia="楷体_GB2312" w:hAnsi="宋体" w:cs="楷体_GB2312" w:hint="eastAsia"/>
            <w:noProof/>
          </w:rPr>
          <w:t>农林牧渔</w:t>
        </w:r>
        <w:r w:rsidR="00E67D48">
          <w:rPr>
            <w:rStyle w:val="a7"/>
            <w:rFonts w:ascii="楷体_GB2312" w:eastAsia="楷体_GB2312" w:hAnsi="宋体" w:cs="楷体_GB2312" w:hint="eastAsia"/>
            <w:noProof/>
          </w:rPr>
          <w:t>行业</w:t>
        </w:r>
        <w:r w:rsidR="00E67D48">
          <w:rPr>
            <w:noProof/>
            <w:webHidden/>
          </w:rPr>
          <w:tab/>
        </w:r>
        <w:r>
          <w:rPr>
            <w:noProof/>
            <w:webHidden/>
          </w:rPr>
          <w:fldChar w:fldCharType="begin"/>
        </w:r>
        <w:r w:rsidR="00E67D48">
          <w:rPr>
            <w:noProof/>
            <w:webHidden/>
          </w:rPr>
          <w:instrText xml:space="preserve"> PAGEREF _Toc313737754 \h </w:instrText>
        </w:r>
        <w:r>
          <w:rPr>
            <w:noProof/>
            <w:webHidden/>
          </w:rPr>
        </w:r>
        <w:r>
          <w:rPr>
            <w:noProof/>
            <w:webHidden/>
          </w:rPr>
          <w:fldChar w:fldCharType="separate"/>
        </w:r>
        <w:r w:rsidR="00E67D48">
          <w:rPr>
            <w:noProof/>
            <w:webHidden/>
          </w:rPr>
          <w:t>19</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55" w:history="1">
        <w:r w:rsidR="00E67D48" w:rsidRPr="00871E1B">
          <w:rPr>
            <w:rStyle w:val="a7"/>
            <w:rFonts w:ascii="楷体_GB2312" w:eastAsia="楷体_GB2312" w:hAnsi="宋体" w:cs="楷体_GB2312" w:hint="eastAsia"/>
            <w:noProof/>
          </w:rPr>
          <w:t>（四）</w:t>
        </w:r>
        <w:r w:rsidR="00E67D48">
          <w:rPr>
            <w:rFonts w:asciiTheme="minorHAnsi" w:eastAsiaTheme="minorEastAsia" w:hAnsiTheme="minorHAnsi" w:cstheme="minorBidi"/>
            <w:noProof/>
            <w:szCs w:val="22"/>
          </w:rPr>
          <w:tab/>
        </w:r>
        <w:r w:rsidR="00E67D48" w:rsidRPr="00871E1B">
          <w:rPr>
            <w:rStyle w:val="a7"/>
            <w:rFonts w:ascii="楷体_GB2312" w:eastAsia="楷体_GB2312" w:hAnsi="宋体" w:cs="楷体_GB2312" w:hint="eastAsia"/>
            <w:noProof/>
          </w:rPr>
          <w:t>化工行业</w:t>
        </w:r>
        <w:r w:rsidR="00E67D48">
          <w:rPr>
            <w:noProof/>
            <w:webHidden/>
          </w:rPr>
          <w:tab/>
        </w:r>
        <w:r>
          <w:rPr>
            <w:noProof/>
            <w:webHidden/>
          </w:rPr>
          <w:fldChar w:fldCharType="begin"/>
        </w:r>
        <w:r w:rsidR="00E67D48">
          <w:rPr>
            <w:noProof/>
            <w:webHidden/>
          </w:rPr>
          <w:instrText xml:space="preserve"> PAGEREF _Toc313737755 \h </w:instrText>
        </w:r>
        <w:r>
          <w:rPr>
            <w:noProof/>
            <w:webHidden/>
          </w:rPr>
        </w:r>
        <w:r>
          <w:rPr>
            <w:noProof/>
            <w:webHidden/>
          </w:rPr>
          <w:fldChar w:fldCharType="separate"/>
        </w:r>
        <w:r w:rsidR="00E67D48">
          <w:rPr>
            <w:noProof/>
            <w:webHidden/>
          </w:rPr>
          <w:t>21</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56" w:history="1">
        <w:r w:rsidR="00E67D48" w:rsidRPr="00871E1B">
          <w:rPr>
            <w:rStyle w:val="a7"/>
            <w:rFonts w:ascii="楷体_GB2312" w:eastAsia="楷体_GB2312" w:hint="eastAsia"/>
            <w:noProof/>
            <w:kern w:val="0"/>
          </w:rPr>
          <w:t>（五）</w:t>
        </w:r>
        <w:r w:rsidR="00E67D48">
          <w:rPr>
            <w:rFonts w:asciiTheme="minorHAnsi" w:eastAsiaTheme="minorEastAsia" w:hAnsiTheme="minorHAnsi" w:cstheme="minorBidi"/>
            <w:noProof/>
            <w:szCs w:val="22"/>
          </w:rPr>
          <w:tab/>
        </w:r>
        <w:r w:rsidR="00E67D48" w:rsidRPr="00871E1B">
          <w:rPr>
            <w:rStyle w:val="a7"/>
            <w:rFonts w:ascii="楷体_GB2312" w:eastAsia="楷体_GB2312" w:hint="eastAsia"/>
            <w:noProof/>
            <w:kern w:val="0"/>
          </w:rPr>
          <w:t>机械行业</w:t>
        </w:r>
        <w:r w:rsidR="00E67D48">
          <w:rPr>
            <w:noProof/>
            <w:webHidden/>
          </w:rPr>
          <w:tab/>
        </w:r>
        <w:r>
          <w:rPr>
            <w:noProof/>
            <w:webHidden/>
          </w:rPr>
          <w:fldChar w:fldCharType="begin"/>
        </w:r>
        <w:r w:rsidR="00E67D48">
          <w:rPr>
            <w:noProof/>
            <w:webHidden/>
          </w:rPr>
          <w:instrText xml:space="preserve"> PAGEREF _Toc313737756 \h </w:instrText>
        </w:r>
        <w:r>
          <w:rPr>
            <w:noProof/>
            <w:webHidden/>
          </w:rPr>
        </w:r>
        <w:r>
          <w:rPr>
            <w:noProof/>
            <w:webHidden/>
          </w:rPr>
          <w:fldChar w:fldCharType="separate"/>
        </w:r>
        <w:r w:rsidR="00E67D48">
          <w:rPr>
            <w:noProof/>
            <w:webHidden/>
          </w:rPr>
          <w:t>23</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57" w:history="1">
        <w:r w:rsidR="00E67D48" w:rsidRPr="00871E1B">
          <w:rPr>
            <w:rStyle w:val="a7"/>
            <w:rFonts w:ascii="楷体_GB2312" w:eastAsia="楷体_GB2312" w:hint="eastAsia"/>
            <w:noProof/>
            <w:kern w:val="0"/>
          </w:rPr>
          <w:t>（六）</w:t>
        </w:r>
        <w:r w:rsidR="00E67D48">
          <w:rPr>
            <w:rFonts w:asciiTheme="minorHAnsi" w:eastAsiaTheme="minorEastAsia" w:hAnsiTheme="minorHAnsi" w:cstheme="minorBidi"/>
            <w:noProof/>
            <w:szCs w:val="22"/>
          </w:rPr>
          <w:tab/>
        </w:r>
        <w:r w:rsidR="00E67D48">
          <w:rPr>
            <w:rStyle w:val="a7"/>
            <w:rFonts w:ascii="楷体_GB2312" w:eastAsia="楷体_GB2312" w:hint="eastAsia"/>
            <w:noProof/>
            <w:kern w:val="0"/>
          </w:rPr>
          <w:t>轻工行业</w:t>
        </w:r>
        <w:r w:rsidR="00E67D48">
          <w:rPr>
            <w:noProof/>
            <w:webHidden/>
          </w:rPr>
          <w:tab/>
        </w:r>
        <w:r>
          <w:rPr>
            <w:noProof/>
            <w:webHidden/>
          </w:rPr>
          <w:fldChar w:fldCharType="begin"/>
        </w:r>
        <w:r w:rsidR="00E67D48">
          <w:rPr>
            <w:noProof/>
            <w:webHidden/>
          </w:rPr>
          <w:instrText xml:space="preserve"> PAGEREF _Toc313737757 \h </w:instrText>
        </w:r>
        <w:r>
          <w:rPr>
            <w:noProof/>
            <w:webHidden/>
          </w:rPr>
        </w:r>
        <w:r>
          <w:rPr>
            <w:noProof/>
            <w:webHidden/>
          </w:rPr>
          <w:fldChar w:fldCharType="separate"/>
        </w:r>
        <w:r w:rsidR="00E67D48">
          <w:rPr>
            <w:noProof/>
            <w:webHidden/>
          </w:rPr>
          <w:t>28</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58" w:history="1">
        <w:r w:rsidR="00E67D48" w:rsidRPr="00871E1B">
          <w:rPr>
            <w:rStyle w:val="a7"/>
            <w:rFonts w:ascii="楷体_GB2312" w:eastAsia="楷体_GB2312" w:hint="eastAsia"/>
            <w:noProof/>
            <w:kern w:val="0"/>
          </w:rPr>
          <w:t>（七）</w:t>
        </w:r>
        <w:r w:rsidR="00E67D48">
          <w:rPr>
            <w:rFonts w:asciiTheme="minorHAnsi" w:eastAsiaTheme="minorEastAsia" w:hAnsiTheme="minorHAnsi" w:cstheme="minorBidi"/>
            <w:noProof/>
            <w:szCs w:val="22"/>
          </w:rPr>
          <w:tab/>
        </w:r>
        <w:r w:rsidR="00E67D48" w:rsidRPr="00871E1B">
          <w:rPr>
            <w:rStyle w:val="a7"/>
            <w:rFonts w:ascii="楷体_GB2312" w:eastAsia="楷体_GB2312" w:hint="eastAsia"/>
            <w:noProof/>
            <w:kern w:val="0"/>
          </w:rPr>
          <w:t>医药</w:t>
        </w:r>
        <w:r w:rsidR="00E67D48">
          <w:rPr>
            <w:rStyle w:val="a7"/>
            <w:rFonts w:ascii="楷体_GB2312" w:eastAsia="楷体_GB2312" w:hint="eastAsia"/>
            <w:noProof/>
            <w:kern w:val="0"/>
          </w:rPr>
          <w:t>行业</w:t>
        </w:r>
        <w:r w:rsidR="00E67D48">
          <w:rPr>
            <w:noProof/>
            <w:webHidden/>
          </w:rPr>
          <w:tab/>
        </w:r>
        <w:r>
          <w:rPr>
            <w:noProof/>
            <w:webHidden/>
          </w:rPr>
          <w:fldChar w:fldCharType="begin"/>
        </w:r>
        <w:r w:rsidR="00E67D48">
          <w:rPr>
            <w:noProof/>
            <w:webHidden/>
          </w:rPr>
          <w:instrText xml:space="preserve"> PAGEREF _Toc313737758 \h </w:instrText>
        </w:r>
        <w:r>
          <w:rPr>
            <w:noProof/>
            <w:webHidden/>
          </w:rPr>
        </w:r>
        <w:r>
          <w:rPr>
            <w:noProof/>
            <w:webHidden/>
          </w:rPr>
          <w:fldChar w:fldCharType="separate"/>
        </w:r>
        <w:r w:rsidR="00E67D48">
          <w:rPr>
            <w:noProof/>
            <w:webHidden/>
          </w:rPr>
          <w:t>28</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59" w:history="1">
        <w:r w:rsidR="00E67D48" w:rsidRPr="00871E1B">
          <w:rPr>
            <w:rStyle w:val="a7"/>
            <w:rFonts w:ascii="楷体_GB2312" w:eastAsia="楷体_GB2312" w:hint="eastAsia"/>
            <w:noProof/>
            <w:kern w:val="0"/>
          </w:rPr>
          <w:t>（八）</w:t>
        </w:r>
        <w:r w:rsidR="00E67D48">
          <w:rPr>
            <w:rFonts w:asciiTheme="minorHAnsi" w:eastAsiaTheme="minorEastAsia" w:hAnsiTheme="minorHAnsi" w:cstheme="minorBidi"/>
            <w:noProof/>
            <w:szCs w:val="22"/>
          </w:rPr>
          <w:tab/>
        </w:r>
        <w:r w:rsidR="00E67D48" w:rsidRPr="00871E1B">
          <w:rPr>
            <w:rStyle w:val="a7"/>
            <w:rFonts w:ascii="楷体_GB2312" w:eastAsia="楷体_GB2312" w:hint="eastAsia"/>
            <w:noProof/>
            <w:kern w:val="0"/>
          </w:rPr>
          <w:t>食品饮料</w:t>
        </w:r>
        <w:r w:rsidR="00E67D48">
          <w:rPr>
            <w:rStyle w:val="a7"/>
            <w:rFonts w:ascii="楷体_GB2312" w:eastAsia="楷体_GB2312" w:hint="eastAsia"/>
            <w:noProof/>
            <w:kern w:val="0"/>
          </w:rPr>
          <w:t>行业</w:t>
        </w:r>
        <w:r w:rsidR="00E67D48">
          <w:rPr>
            <w:noProof/>
            <w:webHidden/>
          </w:rPr>
          <w:tab/>
        </w:r>
        <w:r>
          <w:rPr>
            <w:noProof/>
            <w:webHidden/>
          </w:rPr>
          <w:fldChar w:fldCharType="begin"/>
        </w:r>
        <w:r w:rsidR="00E67D48">
          <w:rPr>
            <w:noProof/>
            <w:webHidden/>
          </w:rPr>
          <w:instrText xml:space="preserve"> PAGEREF _Toc313737759 \h </w:instrText>
        </w:r>
        <w:r>
          <w:rPr>
            <w:noProof/>
            <w:webHidden/>
          </w:rPr>
        </w:r>
        <w:r>
          <w:rPr>
            <w:noProof/>
            <w:webHidden/>
          </w:rPr>
          <w:fldChar w:fldCharType="separate"/>
        </w:r>
        <w:r w:rsidR="00E67D48">
          <w:rPr>
            <w:noProof/>
            <w:webHidden/>
          </w:rPr>
          <w:t>31</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60" w:history="1">
        <w:r w:rsidR="00E67D48" w:rsidRPr="00871E1B">
          <w:rPr>
            <w:rStyle w:val="a7"/>
            <w:rFonts w:ascii="楷体_GB2312" w:eastAsia="楷体_GB2312" w:hint="eastAsia"/>
            <w:noProof/>
            <w:kern w:val="0"/>
          </w:rPr>
          <w:t>（九）</w:t>
        </w:r>
        <w:r w:rsidR="00E67D48">
          <w:rPr>
            <w:rFonts w:asciiTheme="minorHAnsi" w:eastAsiaTheme="minorEastAsia" w:hAnsiTheme="minorHAnsi" w:cstheme="minorBidi"/>
            <w:noProof/>
            <w:szCs w:val="22"/>
          </w:rPr>
          <w:tab/>
        </w:r>
        <w:r w:rsidR="00E67D48" w:rsidRPr="00871E1B">
          <w:rPr>
            <w:rStyle w:val="a7"/>
            <w:rFonts w:ascii="楷体_GB2312" w:eastAsia="楷体_GB2312" w:hint="eastAsia"/>
            <w:noProof/>
            <w:kern w:val="0"/>
          </w:rPr>
          <w:t>餐饮旅游行业</w:t>
        </w:r>
        <w:r w:rsidR="00E67D48">
          <w:rPr>
            <w:noProof/>
            <w:webHidden/>
          </w:rPr>
          <w:tab/>
        </w:r>
        <w:r>
          <w:rPr>
            <w:noProof/>
            <w:webHidden/>
          </w:rPr>
          <w:fldChar w:fldCharType="begin"/>
        </w:r>
        <w:r w:rsidR="00E67D48">
          <w:rPr>
            <w:noProof/>
            <w:webHidden/>
          </w:rPr>
          <w:instrText xml:space="preserve"> PAGEREF _Toc313737760 \h </w:instrText>
        </w:r>
        <w:r>
          <w:rPr>
            <w:noProof/>
            <w:webHidden/>
          </w:rPr>
        </w:r>
        <w:r>
          <w:rPr>
            <w:noProof/>
            <w:webHidden/>
          </w:rPr>
          <w:fldChar w:fldCharType="separate"/>
        </w:r>
        <w:r w:rsidR="00E67D48">
          <w:rPr>
            <w:noProof/>
            <w:webHidden/>
          </w:rPr>
          <w:t>34</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61" w:history="1">
        <w:r w:rsidR="00E67D48" w:rsidRPr="00871E1B">
          <w:rPr>
            <w:rStyle w:val="a7"/>
            <w:rFonts w:ascii="楷体_GB2312" w:eastAsia="楷体_GB2312" w:hint="eastAsia"/>
            <w:noProof/>
            <w:kern w:val="0"/>
          </w:rPr>
          <w:t>（十）</w:t>
        </w:r>
        <w:r w:rsidR="00E67D48">
          <w:rPr>
            <w:rFonts w:asciiTheme="minorHAnsi" w:eastAsiaTheme="minorEastAsia" w:hAnsiTheme="minorHAnsi" w:cstheme="minorBidi"/>
            <w:noProof/>
            <w:szCs w:val="22"/>
          </w:rPr>
          <w:tab/>
        </w:r>
        <w:r w:rsidR="00E67D48" w:rsidRPr="00871E1B">
          <w:rPr>
            <w:rStyle w:val="a7"/>
            <w:rFonts w:ascii="楷体_GB2312" w:eastAsia="楷体_GB2312" w:hint="eastAsia"/>
            <w:noProof/>
            <w:kern w:val="0"/>
          </w:rPr>
          <w:t>纺织服装行业</w:t>
        </w:r>
        <w:r w:rsidR="00E67D48">
          <w:rPr>
            <w:noProof/>
            <w:webHidden/>
          </w:rPr>
          <w:tab/>
        </w:r>
        <w:r>
          <w:rPr>
            <w:noProof/>
            <w:webHidden/>
          </w:rPr>
          <w:fldChar w:fldCharType="begin"/>
        </w:r>
        <w:r w:rsidR="00E67D48">
          <w:rPr>
            <w:noProof/>
            <w:webHidden/>
          </w:rPr>
          <w:instrText xml:space="preserve"> PAGEREF _Toc313737761 \h </w:instrText>
        </w:r>
        <w:r>
          <w:rPr>
            <w:noProof/>
            <w:webHidden/>
          </w:rPr>
        </w:r>
        <w:r>
          <w:rPr>
            <w:noProof/>
            <w:webHidden/>
          </w:rPr>
          <w:fldChar w:fldCharType="separate"/>
        </w:r>
        <w:r w:rsidR="00E67D48">
          <w:rPr>
            <w:noProof/>
            <w:webHidden/>
          </w:rPr>
          <w:t>36</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62" w:history="1">
        <w:r w:rsidR="00E67D48" w:rsidRPr="00871E1B">
          <w:rPr>
            <w:rStyle w:val="a7"/>
            <w:rFonts w:ascii="楷体_GB2312" w:eastAsia="楷体_GB2312" w:hint="eastAsia"/>
            <w:noProof/>
            <w:kern w:val="0"/>
          </w:rPr>
          <w:t>（十一）</w:t>
        </w:r>
        <w:r w:rsidR="00E67D48">
          <w:rPr>
            <w:rFonts w:asciiTheme="minorHAnsi" w:eastAsiaTheme="minorEastAsia" w:hAnsiTheme="minorHAnsi" w:cstheme="minorBidi"/>
            <w:noProof/>
            <w:szCs w:val="22"/>
          </w:rPr>
          <w:tab/>
        </w:r>
        <w:r w:rsidR="00E67D48" w:rsidRPr="00871E1B">
          <w:rPr>
            <w:rStyle w:val="a7"/>
            <w:rFonts w:ascii="楷体_GB2312" w:eastAsia="楷体_GB2312" w:hint="eastAsia"/>
            <w:noProof/>
            <w:kern w:val="0"/>
          </w:rPr>
          <w:t>零售行业</w:t>
        </w:r>
        <w:r w:rsidR="00E67D48">
          <w:rPr>
            <w:noProof/>
            <w:webHidden/>
          </w:rPr>
          <w:tab/>
        </w:r>
        <w:r>
          <w:rPr>
            <w:noProof/>
            <w:webHidden/>
          </w:rPr>
          <w:fldChar w:fldCharType="begin"/>
        </w:r>
        <w:r w:rsidR="00E67D48">
          <w:rPr>
            <w:noProof/>
            <w:webHidden/>
          </w:rPr>
          <w:instrText xml:space="preserve"> PAGEREF _Toc313737762 \h </w:instrText>
        </w:r>
        <w:r>
          <w:rPr>
            <w:noProof/>
            <w:webHidden/>
          </w:rPr>
        </w:r>
        <w:r>
          <w:rPr>
            <w:noProof/>
            <w:webHidden/>
          </w:rPr>
          <w:fldChar w:fldCharType="separate"/>
        </w:r>
        <w:r w:rsidR="00E67D48">
          <w:rPr>
            <w:noProof/>
            <w:webHidden/>
          </w:rPr>
          <w:t>37</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63" w:history="1">
        <w:r w:rsidR="00E67D48" w:rsidRPr="00871E1B">
          <w:rPr>
            <w:rStyle w:val="a7"/>
            <w:rFonts w:ascii="楷体_GB2312" w:eastAsia="楷体_GB2312" w:hint="eastAsia"/>
            <w:noProof/>
            <w:kern w:val="0"/>
          </w:rPr>
          <w:t>（十二）</w:t>
        </w:r>
        <w:r w:rsidR="00E67D48">
          <w:rPr>
            <w:rFonts w:asciiTheme="minorHAnsi" w:eastAsiaTheme="minorEastAsia" w:hAnsiTheme="minorHAnsi" w:cstheme="minorBidi"/>
            <w:noProof/>
            <w:szCs w:val="22"/>
          </w:rPr>
          <w:tab/>
        </w:r>
        <w:r w:rsidR="00E67D48" w:rsidRPr="00871E1B">
          <w:rPr>
            <w:rStyle w:val="a7"/>
            <w:rFonts w:ascii="楷体_GB2312" w:eastAsia="楷体_GB2312" w:hint="eastAsia"/>
            <w:noProof/>
            <w:kern w:val="0"/>
          </w:rPr>
          <w:t>金融，房地产及建筑行业</w:t>
        </w:r>
        <w:r w:rsidR="00E67D48">
          <w:rPr>
            <w:noProof/>
            <w:webHidden/>
          </w:rPr>
          <w:tab/>
        </w:r>
        <w:r>
          <w:rPr>
            <w:noProof/>
            <w:webHidden/>
          </w:rPr>
          <w:fldChar w:fldCharType="begin"/>
        </w:r>
        <w:r w:rsidR="00E67D48">
          <w:rPr>
            <w:noProof/>
            <w:webHidden/>
          </w:rPr>
          <w:instrText xml:space="preserve"> PAGEREF _Toc313737763 \h </w:instrText>
        </w:r>
        <w:r>
          <w:rPr>
            <w:noProof/>
            <w:webHidden/>
          </w:rPr>
        </w:r>
        <w:r>
          <w:rPr>
            <w:noProof/>
            <w:webHidden/>
          </w:rPr>
          <w:fldChar w:fldCharType="separate"/>
        </w:r>
        <w:r w:rsidR="00E67D48">
          <w:rPr>
            <w:noProof/>
            <w:webHidden/>
          </w:rPr>
          <w:t>40</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64" w:history="1">
        <w:r w:rsidR="00E67D48" w:rsidRPr="00871E1B">
          <w:rPr>
            <w:rStyle w:val="a7"/>
            <w:rFonts w:ascii="楷体_GB2312" w:eastAsia="楷体_GB2312" w:hint="eastAsia"/>
            <w:noProof/>
            <w:kern w:val="0"/>
          </w:rPr>
          <w:t>（十三）</w:t>
        </w:r>
        <w:r w:rsidR="00E67D48">
          <w:rPr>
            <w:rFonts w:asciiTheme="minorHAnsi" w:eastAsiaTheme="minorEastAsia" w:hAnsiTheme="minorHAnsi" w:cstheme="minorBidi"/>
            <w:noProof/>
            <w:szCs w:val="22"/>
          </w:rPr>
          <w:tab/>
        </w:r>
        <w:r w:rsidR="00E67D48" w:rsidRPr="00871E1B">
          <w:rPr>
            <w:rStyle w:val="a7"/>
            <w:rFonts w:ascii="楷体_GB2312" w:eastAsia="楷体_GB2312" w:hint="eastAsia"/>
            <w:noProof/>
            <w:kern w:val="0"/>
          </w:rPr>
          <w:t>汽车行业</w:t>
        </w:r>
        <w:r w:rsidR="00E67D48">
          <w:rPr>
            <w:noProof/>
            <w:webHidden/>
          </w:rPr>
          <w:tab/>
        </w:r>
        <w:r>
          <w:rPr>
            <w:noProof/>
            <w:webHidden/>
          </w:rPr>
          <w:fldChar w:fldCharType="begin"/>
        </w:r>
        <w:r w:rsidR="00E67D48">
          <w:rPr>
            <w:noProof/>
            <w:webHidden/>
          </w:rPr>
          <w:instrText xml:space="preserve"> PAGEREF _Toc313737764 \h </w:instrText>
        </w:r>
        <w:r>
          <w:rPr>
            <w:noProof/>
            <w:webHidden/>
          </w:rPr>
        </w:r>
        <w:r>
          <w:rPr>
            <w:noProof/>
            <w:webHidden/>
          </w:rPr>
          <w:fldChar w:fldCharType="separate"/>
        </w:r>
        <w:r w:rsidR="00E67D48">
          <w:rPr>
            <w:noProof/>
            <w:webHidden/>
          </w:rPr>
          <w:t>44</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65" w:history="1">
        <w:r w:rsidR="00E67D48" w:rsidRPr="00871E1B">
          <w:rPr>
            <w:rStyle w:val="a7"/>
            <w:rFonts w:ascii="楷体_GB2312" w:eastAsia="楷体_GB2312" w:hint="eastAsia"/>
            <w:noProof/>
            <w:kern w:val="0"/>
          </w:rPr>
          <w:t>（十四）</w:t>
        </w:r>
        <w:r w:rsidR="00E67D48">
          <w:rPr>
            <w:rFonts w:asciiTheme="minorHAnsi" w:eastAsiaTheme="minorEastAsia" w:hAnsiTheme="minorHAnsi" w:cstheme="minorBidi"/>
            <w:noProof/>
            <w:szCs w:val="22"/>
          </w:rPr>
          <w:tab/>
        </w:r>
        <w:r w:rsidR="00E67D48" w:rsidRPr="00871E1B">
          <w:rPr>
            <w:rStyle w:val="a7"/>
            <w:rFonts w:ascii="楷体_GB2312" w:eastAsia="楷体_GB2312" w:hint="eastAsia"/>
            <w:noProof/>
            <w:kern w:val="0"/>
          </w:rPr>
          <w:t>电子行业</w:t>
        </w:r>
        <w:r w:rsidR="00E67D48">
          <w:rPr>
            <w:noProof/>
            <w:webHidden/>
          </w:rPr>
          <w:tab/>
        </w:r>
        <w:r>
          <w:rPr>
            <w:noProof/>
            <w:webHidden/>
          </w:rPr>
          <w:fldChar w:fldCharType="begin"/>
        </w:r>
        <w:r w:rsidR="00E67D48">
          <w:rPr>
            <w:noProof/>
            <w:webHidden/>
          </w:rPr>
          <w:instrText xml:space="preserve"> PAGEREF _Toc313737765 \h </w:instrText>
        </w:r>
        <w:r>
          <w:rPr>
            <w:noProof/>
            <w:webHidden/>
          </w:rPr>
        </w:r>
        <w:r>
          <w:rPr>
            <w:noProof/>
            <w:webHidden/>
          </w:rPr>
          <w:fldChar w:fldCharType="separate"/>
        </w:r>
        <w:r w:rsidR="00E67D48">
          <w:rPr>
            <w:noProof/>
            <w:webHidden/>
          </w:rPr>
          <w:t>46</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66" w:history="1">
        <w:r w:rsidR="00E67D48" w:rsidRPr="00871E1B">
          <w:rPr>
            <w:rStyle w:val="a7"/>
            <w:rFonts w:ascii="楷体_GB2312" w:eastAsia="楷体_GB2312" w:hint="eastAsia"/>
            <w:noProof/>
            <w:kern w:val="0"/>
          </w:rPr>
          <w:t>（十五）</w:t>
        </w:r>
        <w:r w:rsidR="00E67D48">
          <w:rPr>
            <w:rFonts w:asciiTheme="minorHAnsi" w:eastAsiaTheme="minorEastAsia" w:hAnsiTheme="minorHAnsi" w:cstheme="minorBidi"/>
            <w:noProof/>
            <w:szCs w:val="22"/>
          </w:rPr>
          <w:tab/>
        </w:r>
        <w:r w:rsidR="00E67D48" w:rsidRPr="00871E1B">
          <w:rPr>
            <w:rStyle w:val="a7"/>
            <w:rFonts w:ascii="楷体_GB2312" w:eastAsia="楷体_GB2312" w:hint="eastAsia"/>
            <w:noProof/>
            <w:kern w:val="0"/>
          </w:rPr>
          <w:t>通信和计算机行业：</w:t>
        </w:r>
        <w:r w:rsidR="00E67D48">
          <w:rPr>
            <w:noProof/>
            <w:webHidden/>
          </w:rPr>
          <w:tab/>
        </w:r>
        <w:r>
          <w:rPr>
            <w:noProof/>
            <w:webHidden/>
          </w:rPr>
          <w:fldChar w:fldCharType="begin"/>
        </w:r>
        <w:r w:rsidR="00E67D48">
          <w:rPr>
            <w:noProof/>
            <w:webHidden/>
          </w:rPr>
          <w:instrText xml:space="preserve"> PAGEREF _Toc313737766 \h </w:instrText>
        </w:r>
        <w:r>
          <w:rPr>
            <w:noProof/>
            <w:webHidden/>
          </w:rPr>
        </w:r>
        <w:r>
          <w:rPr>
            <w:noProof/>
            <w:webHidden/>
          </w:rPr>
          <w:fldChar w:fldCharType="separate"/>
        </w:r>
        <w:r w:rsidR="00E67D48">
          <w:rPr>
            <w:noProof/>
            <w:webHidden/>
          </w:rPr>
          <w:t>51</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67" w:history="1">
        <w:r w:rsidR="00E67D48" w:rsidRPr="00871E1B">
          <w:rPr>
            <w:rStyle w:val="a7"/>
            <w:rFonts w:ascii="楷体_GB2312" w:eastAsia="楷体_GB2312" w:hint="eastAsia"/>
            <w:noProof/>
            <w:kern w:val="0"/>
          </w:rPr>
          <w:t>（十六）</w:t>
        </w:r>
        <w:r w:rsidR="00E67D48">
          <w:rPr>
            <w:rFonts w:asciiTheme="minorHAnsi" w:eastAsiaTheme="minorEastAsia" w:hAnsiTheme="minorHAnsi" w:cstheme="minorBidi"/>
            <w:noProof/>
            <w:szCs w:val="22"/>
          </w:rPr>
          <w:tab/>
        </w:r>
        <w:r w:rsidR="00E67D48" w:rsidRPr="00871E1B">
          <w:rPr>
            <w:rStyle w:val="a7"/>
            <w:rFonts w:ascii="楷体_GB2312" w:eastAsia="楷体_GB2312" w:hint="eastAsia"/>
            <w:noProof/>
            <w:kern w:val="0"/>
          </w:rPr>
          <w:t>传媒行业：</w:t>
        </w:r>
        <w:r w:rsidR="00E67D48">
          <w:rPr>
            <w:noProof/>
            <w:webHidden/>
          </w:rPr>
          <w:tab/>
        </w:r>
        <w:r>
          <w:rPr>
            <w:noProof/>
            <w:webHidden/>
          </w:rPr>
          <w:fldChar w:fldCharType="begin"/>
        </w:r>
        <w:r w:rsidR="00E67D48">
          <w:rPr>
            <w:noProof/>
            <w:webHidden/>
          </w:rPr>
          <w:instrText xml:space="preserve"> PAGEREF _Toc313737767 \h </w:instrText>
        </w:r>
        <w:r>
          <w:rPr>
            <w:noProof/>
            <w:webHidden/>
          </w:rPr>
        </w:r>
        <w:r>
          <w:rPr>
            <w:noProof/>
            <w:webHidden/>
          </w:rPr>
          <w:fldChar w:fldCharType="separate"/>
        </w:r>
        <w:r w:rsidR="00E67D48">
          <w:rPr>
            <w:noProof/>
            <w:webHidden/>
          </w:rPr>
          <w:t>55</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68" w:history="1">
        <w:r w:rsidR="00E67D48" w:rsidRPr="00871E1B">
          <w:rPr>
            <w:rStyle w:val="a7"/>
            <w:rFonts w:ascii="楷体_GB2312" w:eastAsia="楷体_GB2312" w:hint="eastAsia"/>
            <w:noProof/>
            <w:kern w:val="0"/>
          </w:rPr>
          <w:t>（十七）</w:t>
        </w:r>
        <w:r w:rsidR="00E67D48">
          <w:rPr>
            <w:rFonts w:asciiTheme="minorHAnsi" w:eastAsiaTheme="minorEastAsia" w:hAnsiTheme="minorHAnsi" w:cstheme="minorBidi"/>
            <w:noProof/>
            <w:szCs w:val="22"/>
          </w:rPr>
          <w:tab/>
        </w:r>
        <w:r w:rsidR="00E67D48" w:rsidRPr="00871E1B">
          <w:rPr>
            <w:rStyle w:val="a7"/>
            <w:rFonts w:ascii="楷体_GB2312" w:eastAsia="楷体_GB2312" w:hint="eastAsia"/>
            <w:noProof/>
            <w:kern w:val="0"/>
          </w:rPr>
          <w:t>环保行业：</w:t>
        </w:r>
        <w:r w:rsidR="00E67D48">
          <w:rPr>
            <w:noProof/>
            <w:webHidden/>
          </w:rPr>
          <w:tab/>
        </w:r>
        <w:r>
          <w:rPr>
            <w:noProof/>
            <w:webHidden/>
          </w:rPr>
          <w:fldChar w:fldCharType="begin"/>
        </w:r>
        <w:r w:rsidR="00E67D48">
          <w:rPr>
            <w:noProof/>
            <w:webHidden/>
          </w:rPr>
          <w:instrText xml:space="preserve"> PAGEREF _Toc313737768 \h </w:instrText>
        </w:r>
        <w:r>
          <w:rPr>
            <w:noProof/>
            <w:webHidden/>
          </w:rPr>
        </w:r>
        <w:r>
          <w:rPr>
            <w:noProof/>
            <w:webHidden/>
          </w:rPr>
          <w:fldChar w:fldCharType="separate"/>
        </w:r>
        <w:r w:rsidR="00E67D48">
          <w:rPr>
            <w:noProof/>
            <w:webHidden/>
          </w:rPr>
          <w:t>58</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69" w:history="1">
        <w:r w:rsidR="00E67D48" w:rsidRPr="00871E1B">
          <w:rPr>
            <w:rStyle w:val="a7"/>
            <w:rFonts w:ascii="楷体_GB2312" w:eastAsia="楷体_GB2312" w:hAnsi="宋体" w:hint="eastAsia"/>
            <w:noProof/>
          </w:rPr>
          <w:t>（十八）</w:t>
        </w:r>
        <w:r w:rsidR="00E67D48">
          <w:rPr>
            <w:rFonts w:asciiTheme="minorHAnsi" w:eastAsiaTheme="minorEastAsia" w:hAnsiTheme="minorHAnsi" w:cstheme="minorBidi"/>
            <w:noProof/>
            <w:szCs w:val="22"/>
          </w:rPr>
          <w:tab/>
        </w:r>
        <w:r w:rsidR="00E67D48" w:rsidRPr="00871E1B">
          <w:rPr>
            <w:rStyle w:val="a7"/>
            <w:rFonts w:ascii="楷体_GB2312" w:eastAsia="楷体_GB2312" w:hAnsi="宋体" w:cs="楷体_GB2312" w:hint="eastAsia"/>
            <w:noProof/>
          </w:rPr>
          <w:t>电气设备行业：</w:t>
        </w:r>
        <w:r w:rsidR="00E67D48">
          <w:rPr>
            <w:noProof/>
            <w:webHidden/>
          </w:rPr>
          <w:tab/>
        </w:r>
        <w:r>
          <w:rPr>
            <w:noProof/>
            <w:webHidden/>
          </w:rPr>
          <w:fldChar w:fldCharType="begin"/>
        </w:r>
        <w:r w:rsidR="00E67D48">
          <w:rPr>
            <w:noProof/>
            <w:webHidden/>
          </w:rPr>
          <w:instrText xml:space="preserve"> PAGEREF _Toc313737769 \h </w:instrText>
        </w:r>
        <w:r>
          <w:rPr>
            <w:noProof/>
            <w:webHidden/>
          </w:rPr>
        </w:r>
        <w:r>
          <w:rPr>
            <w:noProof/>
            <w:webHidden/>
          </w:rPr>
          <w:fldChar w:fldCharType="separate"/>
        </w:r>
        <w:r w:rsidR="00E67D48">
          <w:rPr>
            <w:noProof/>
            <w:webHidden/>
          </w:rPr>
          <w:t>60</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70" w:history="1">
        <w:r w:rsidR="00E67D48" w:rsidRPr="00871E1B">
          <w:rPr>
            <w:rStyle w:val="a7"/>
            <w:rFonts w:ascii="楷体_GB2312" w:eastAsia="楷体_GB2312" w:hAnsi="宋体" w:cs="楷体_GB2312" w:hint="eastAsia"/>
            <w:noProof/>
          </w:rPr>
          <w:t>（十九）</w:t>
        </w:r>
        <w:r w:rsidR="00E67D48">
          <w:rPr>
            <w:rFonts w:asciiTheme="minorHAnsi" w:eastAsiaTheme="minorEastAsia" w:hAnsiTheme="minorHAnsi" w:cstheme="minorBidi"/>
            <w:noProof/>
            <w:szCs w:val="22"/>
          </w:rPr>
          <w:tab/>
        </w:r>
        <w:r w:rsidR="00E67D48" w:rsidRPr="00871E1B">
          <w:rPr>
            <w:rStyle w:val="a7"/>
            <w:rFonts w:ascii="楷体_GB2312" w:eastAsia="楷体_GB2312" w:hAnsi="宋体" w:cs="楷体_GB2312" w:hint="eastAsia"/>
            <w:noProof/>
          </w:rPr>
          <w:t>新能源行业</w:t>
        </w:r>
        <w:r w:rsidR="00E67D48">
          <w:rPr>
            <w:noProof/>
            <w:webHidden/>
          </w:rPr>
          <w:tab/>
        </w:r>
        <w:r>
          <w:rPr>
            <w:noProof/>
            <w:webHidden/>
          </w:rPr>
          <w:fldChar w:fldCharType="begin"/>
        </w:r>
        <w:r w:rsidR="00E67D48">
          <w:rPr>
            <w:noProof/>
            <w:webHidden/>
          </w:rPr>
          <w:instrText xml:space="preserve"> PAGEREF _Toc313737770 \h </w:instrText>
        </w:r>
        <w:r>
          <w:rPr>
            <w:noProof/>
            <w:webHidden/>
          </w:rPr>
        </w:r>
        <w:r>
          <w:rPr>
            <w:noProof/>
            <w:webHidden/>
          </w:rPr>
          <w:fldChar w:fldCharType="separate"/>
        </w:r>
        <w:r w:rsidR="00E67D48">
          <w:rPr>
            <w:noProof/>
            <w:webHidden/>
          </w:rPr>
          <w:t>63</w:t>
        </w:r>
        <w:r>
          <w:rPr>
            <w:noProof/>
            <w:webHidden/>
          </w:rPr>
          <w:fldChar w:fldCharType="end"/>
        </w:r>
      </w:hyperlink>
    </w:p>
    <w:p w:rsidR="00E67D48" w:rsidRDefault="00097DFD">
      <w:pPr>
        <w:pStyle w:val="10"/>
        <w:rPr>
          <w:rFonts w:asciiTheme="minorHAnsi" w:eastAsiaTheme="minorEastAsia" w:hAnsiTheme="minorHAnsi" w:cstheme="minorBidi"/>
          <w:noProof/>
          <w:szCs w:val="22"/>
        </w:rPr>
      </w:pPr>
      <w:hyperlink w:anchor="_Toc313737771" w:history="1">
        <w:r w:rsidR="00E67D48" w:rsidRPr="00871E1B">
          <w:rPr>
            <w:rStyle w:val="a7"/>
            <w:rFonts w:ascii="楷体_GB2312" w:eastAsia="楷体_GB2312" w:hAnsi="宋体" w:cs="楷体_GB2312" w:hint="eastAsia"/>
            <w:noProof/>
          </w:rPr>
          <w:t>五、债券市场投资策略</w:t>
        </w:r>
        <w:r w:rsidR="00E67D48">
          <w:rPr>
            <w:noProof/>
            <w:webHidden/>
          </w:rPr>
          <w:tab/>
        </w:r>
        <w:r>
          <w:rPr>
            <w:noProof/>
            <w:webHidden/>
          </w:rPr>
          <w:fldChar w:fldCharType="begin"/>
        </w:r>
        <w:r w:rsidR="00E67D48">
          <w:rPr>
            <w:noProof/>
            <w:webHidden/>
          </w:rPr>
          <w:instrText xml:space="preserve"> PAGEREF _Toc313737771 \h </w:instrText>
        </w:r>
        <w:r>
          <w:rPr>
            <w:noProof/>
            <w:webHidden/>
          </w:rPr>
        </w:r>
        <w:r>
          <w:rPr>
            <w:noProof/>
            <w:webHidden/>
          </w:rPr>
          <w:fldChar w:fldCharType="separate"/>
        </w:r>
        <w:r w:rsidR="00E67D48">
          <w:rPr>
            <w:noProof/>
            <w:webHidden/>
          </w:rPr>
          <w:t>65</w:t>
        </w:r>
        <w:r>
          <w:rPr>
            <w:noProof/>
            <w:webHidden/>
          </w:rPr>
          <w:fldChar w:fldCharType="end"/>
        </w:r>
      </w:hyperlink>
    </w:p>
    <w:p w:rsidR="00FE0E7F" w:rsidRDefault="00097DFD" w:rsidP="00FA3CC9">
      <w:pPr>
        <w:spacing w:line="400" w:lineRule="exact"/>
      </w:pPr>
      <w:r>
        <w:fldChar w:fldCharType="end"/>
      </w:r>
    </w:p>
    <w:p w:rsidR="00FE0E7F" w:rsidRDefault="00FE0E7F" w:rsidP="008B0962">
      <w:pPr>
        <w:pStyle w:val="1"/>
        <w:spacing w:beforeLines="30" w:afterLines="30" w:line="360" w:lineRule="auto"/>
        <w:ind w:left="2160"/>
        <w:rPr>
          <w:rFonts w:ascii="楷体_GB2312" w:eastAsia="楷体_GB2312"/>
          <w:kern w:val="0"/>
        </w:rPr>
      </w:pPr>
    </w:p>
    <w:p w:rsidR="00000000" w:rsidRDefault="00FE0E7F" w:rsidP="008B0962">
      <w:pPr>
        <w:pStyle w:val="1"/>
        <w:spacing w:beforeLines="100" w:afterLines="30" w:line="360" w:lineRule="auto"/>
        <w:rPr>
          <w:rFonts w:ascii="楷体_GB2312" w:eastAsia="楷体_GB2312"/>
          <w:kern w:val="0"/>
        </w:rPr>
      </w:pPr>
      <w:r>
        <w:rPr>
          <w:rFonts w:ascii="楷体_GB2312" w:eastAsia="楷体_GB2312"/>
          <w:kern w:val="0"/>
        </w:rPr>
        <w:br w:type="page"/>
      </w:r>
      <w:bookmarkStart w:id="3" w:name="_Toc253644146"/>
      <w:bookmarkStart w:id="4" w:name="_Toc253644216"/>
      <w:bookmarkStart w:id="5" w:name="_Toc253644376"/>
      <w:r w:rsidR="00C63FEF">
        <w:rPr>
          <w:rFonts w:ascii="楷体_GB2312" w:eastAsia="楷体_GB2312" w:hint="eastAsia"/>
          <w:kern w:val="0"/>
        </w:rPr>
        <w:lastRenderedPageBreak/>
        <w:t xml:space="preserve">          </w:t>
      </w:r>
      <w:bookmarkStart w:id="6" w:name="_Toc313737739"/>
      <w:r w:rsidR="00C63FEF" w:rsidRPr="001646B7">
        <w:rPr>
          <w:rFonts w:ascii="楷体_GB2312" w:eastAsia="楷体_GB2312" w:hAnsi="宋体" w:cs="楷体_GB2312" w:hint="eastAsia"/>
          <w:sz w:val="21"/>
          <w:szCs w:val="21"/>
        </w:rPr>
        <w:t>一、</w:t>
      </w:r>
      <w:bookmarkEnd w:id="3"/>
      <w:bookmarkEnd w:id="4"/>
      <w:bookmarkEnd w:id="5"/>
      <w:r w:rsidR="00830049">
        <w:rPr>
          <w:rFonts w:ascii="楷体_GB2312" w:eastAsia="楷体_GB2312" w:hAnsi="宋体" w:cs="楷体_GB2312" w:hint="eastAsia"/>
          <w:sz w:val="21"/>
          <w:szCs w:val="21"/>
        </w:rPr>
        <w:t>2012年全球</w:t>
      </w:r>
      <w:r w:rsidR="000D7437">
        <w:rPr>
          <w:rFonts w:ascii="楷体_GB2312" w:eastAsia="楷体_GB2312" w:hAnsi="宋体" w:cs="楷体_GB2312" w:hint="eastAsia"/>
          <w:sz w:val="21"/>
          <w:szCs w:val="21"/>
        </w:rPr>
        <w:t>仍将低速中再平衡</w:t>
      </w:r>
      <w:bookmarkEnd w:id="6"/>
      <w:r w:rsidR="00097DFD">
        <w:rPr>
          <w:rFonts w:ascii="楷体_GB2312" w:eastAsia="楷体_GB2312" w:hAnsi="宋体" w:cs="楷体_GB2312"/>
          <w:sz w:val="21"/>
          <w:szCs w:val="21"/>
        </w:rPr>
        <w:fldChar w:fldCharType="begin"/>
      </w:r>
      <w:r w:rsidRPr="001646B7">
        <w:rPr>
          <w:rFonts w:ascii="楷体_GB2312" w:eastAsia="楷体_GB2312" w:hAnsi="宋体"/>
          <w:sz w:val="21"/>
          <w:szCs w:val="21"/>
        </w:rPr>
        <w:instrText>tc "</w:instrText>
      </w:r>
      <w:bookmarkStart w:id="7" w:name="_Toc216160972"/>
      <w:bookmarkStart w:id="8" w:name="_Toc216238184"/>
      <w:r w:rsidRPr="001646B7">
        <w:rPr>
          <w:rFonts w:ascii="楷体_GB2312" w:eastAsia="楷体_GB2312" w:hAnsi="宋体" w:cs="楷体_GB2312" w:hint="eastAsia"/>
          <w:sz w:val="21"/>
          <w:szCs w:val="21"/>
        </w:rPr>
        <w:instrText>一、宏观分析</w:instrText>
      </w:r>
      <w:bookmarkEnd w:id="7"/>
      <w:bookmarkEnd w:id="8"/>
      <w:r w:rsidRPr="001646B7">
        <w:rPr>
          <w:rFonts w:ascii="楷体_GB2312" w:eastAsia="楷体_GB2312" w:hAnsi="宋体"/>
          <w:sz w:val="21"/>
          <w:szCs w:val="21"/>
        </w:rPr>
        <w:instrText>" \f C \l 0</w:instrText>
      </w:r>
      <w:r w:rsidRPr="001646B7">
        <w:rPr>
          <w:rFonts w:ascii="楷体_GB2312" w:eastAsia="楷体_GB2312" w:hAnsi="宋体" w:cs="楷体_GB2312"/>
          <w:sz w:val="21"/>
          <w:szCs w:val="21"/>
        </w:rPr>
        <w:instrText>1</w:instrText>
      </w:r>
      <w:r w:rsidR="00097DFD">
        <w:rPr>
          <w:rFonts w:ascii="楷体_GB2312" w:eastAsia="楷体_GB2312" w:hAnsi="宋体" w:cs="楷体_GB2312"/>
          <w:sz w:val="21"/>
          <w:szCs w:val="21"/>
        </w:rPr>
        <w:fldChar w:fldCharType="end"/>
      </w:r>
    </w:p>
    <w:p w:rsidR="00000000" w:rsidRDefault="00FE0E7F" w:rsidP="008B0962">
      <w:pPr>
        <w:pStyle w:val="1"/>
        <w:spacing w:beforeLines="50" w:afterLines="50" w:line="480" w:lineRule="auto"/>
        <w:ind w:left="2160"/>
        <w:rPr>
          <w:rFonts w:ascii="楷体_GB2312" w:eastAsia="楷体_GB2312" w:hAnsi="宋体"/>
          <w:sz w:val="21"/>
          <w:szCs w:val="21"/>
        </w:rPr>
      </w:pPr>
      <w:bookmarkStart w:id="9" w:name="_Toc253644377"/>
      <w:bookmarkStart w:id="10" w:name="_Toc313737740"/>
      <w:r w:rsidRPr="002C669D">
        <w:rPr>
          <w:rFonts w:ascii="楷体_GB2312" w:eastAsia="楷体_GB2312" w:hAnsi="宋体" w:cs="楷体_GB2312"/>
          <w:sz w:val="21"/>
          <w:szCs w:val="21"/>
        </w:rPr>
        <w:t>1</w:t>
      </w:r>
      <w:r w:rsidRPr="002C669D">
        <w:rPr>
          <w:rFonts w:ascii="楷体_GB2312" w:eastAsia="楷体_GB2312" w:hAnsi="宋体" w:cs="楷体_GB2312" w:hint="eastAsia"/>
          <w:sz w:val="21"/>
          <w:szCs w:val="21"/>
        </w:rPr>
        <w:t>、</w:t>
      </w:r>
      <w:bookmarkEnd w:id="9"/>
      <w:r w:rsidR="000D7437">
        <w:rPr>
          <w:rFonts w:ascii="楷体_GB2312" w:eastAsia="楷体_GB2312" w:hAnsi="宋体" w:cs="楷体_GB2312" w:hint="eastAsia"/>
          <w:sz w:val="21"/>
          <w:szCs w:val="21"/>
        </w:rPr>
        <w:t>2012年仍将低速复苏</w:t>
      </w:r>
      <w:bookmarkEnd w:id="10"/>
    </w:p>
    <w:p w:rsidR="00162705" w:rsidRDefault="000D7437" w:rsidP="007A62B2">
      <w:pPr>
        <w:autoSpaceDE w:val="0"/>
        <w:autoSpaceDN w:val="0"/>
        <w:adjustRightInd w:val="0"/>
        <w:spacing w:line="320" w:lineRule="exact"/>
        <w:ind w:left="2160"/>
        <w:jc w:val="left"/>
        <w:rPr>
          <w:rFonts w:ascii="楷体_GB2312" w:eastAsia="楷体_GB2312" w:cs="楷体_GB2312"/>
          <w:kern w:val="0"/>
        </w:rPr>
      </w:pPr>
      <w:r>
        <w:rPr>
          <w:rFonts w:ascii="楷体_GB2312" w:eastAsia="楷体_GB2312" w:cs="楷体_GB2312" w:hint="eastAsia"/>
          <w:kern w:val="0"/>
        </w:rPr>
        <w:t>2012年全球经济</w:t>
      </w:r>
      <w:r w:rsidR="00162705">
        <w:rPr>
          <w:rFonts w:ascii="楷体_GB2312" w:eastAsia="楷体_GB2312" w:cs="楷体_GB2312" w:hint="eastAsia"/>
          <w:kern w:val="0"/>
        </w:rPr>
        <w:t>将继续在债务危机的阴影中持续前行，如果把全球主要国家分为消费国，生产国和资源国的话，2012年这些国家将面临不同的经济环境。2012</w:t>
      </w:r>
      <w:r w:rsidR="006110E4">
        <w:rPr>
          <w:rFonts w:ascii="楷体_GB2312" w:eastAsia="楷体_GB2312" w:cs="楷体_GB2312" w:hint="eastAsia"/>
          <w:kern w:val="0"/>
        </w:rPr>
        <w:t>年全球经济的再平衡将进入最后一个阶段，主要的消费国需求持续保持疲软，而</w:t>
      </w:r>
      <w:r w:rsidR="00162705">
        <w:rPr>
          <w:rFonts w:ascii="楷体_GB2312" w:eastAsia="楷体_GB2312" w:cs="楷体_GB2312" w:hint="eastAsia"/>
          <w:kern w:val="0"/>
        </w:rPr>
        <w:t>主要的生产国和资源国将面临比较大的经济增速下降的压力。</w:t>
      </w:r>
      <w:r w:rsidR="006110E4">
        <w:rPr>
          <w:rFonts w:ascii="楷体_GB2312" w:eastAsia="楷体_GB2312" w:cs="楷体_GB2312" w:hint="eastAsia"/>
          <w:kern w:val="0"/>
        </w:rPr>
        <w:t>消费国</w:t>
      </w:r>
      <w:r w:rsidR="00162705">
        <w:rPr>
          <w:rFonts w:ascii="楷体_GB2312" w:eastAsia="楷体_GB2312" w:cs="楷体_GB2312" w:hint="eastAsia"/>
          <w:kern w:val="0"/>
        </w:rPr>
        <w:t>美国在2008年出现的金融危机实际上就是美国经济再平衡的开始，而欧洲目前正在进行的债务危机也是再平衡的一部分，而对于新兴市场国家来说，无论是资源国还是生产国明年都会面临需求不足的问题，在2008-2011年，由于美国的量化宽松政策创造了众多的泡沫性的需求，而随着美国经济的进入稳步增长，扩张性的货币政策将进入尾声，而生产国和资源国国家的泡沫性需求将出现显著的下降。</w:t>
      </w:r>
    </w:p>
    <w:p w:rsidR="008200D7" w:rsidRDefault="008200D7" w:rsidP="007A62B2">
      <w:pPr>
        <w:autoSpaceDE w:val="0"/>
        <w:autoSpaceDN w:val="0"/>
        <w:adjustRightInd w:val="0"/>
        <w:spacing w:line="320" w:lineRule="exact"/>
        <w:ind w:left="2160"/>
        <w:jc w:val="left"/>
        <w:rPr>
          <w:rFonts w:ascii="楷体_GB2312" w:eastAsia="楷体_GB2312" w:cs="楷体_GB2312"/>
          <w:kern w:val="0"/>
        </w:rPr>
      </w:pPr>
    </w:p>
    <w:p w:rsidR="00AF0E65" w:rsidRPr="00AF0E65" w:rsidRDefault="00162705" w:rsidP="007A62B2">
      <w:pPr>
        <w:autoSpaceDE w:val="0"/>
        <w:autoSpaceDN w:val="0"/>
        <w:adjustRightInd w:val="0"/>
        <w:spacing w:line="320" w:lineRule="exact"/>
        <w:ind w:left="2160"/>
        <w:jc w:val="left"/>
        <w:rPr>
          <w:rFonts w:ascii="楷体_GB2312" w:eastAsia="楷体_GB2312" w:cs="楷体_GB2312"/>
          <w:kern w:val="0"/>
        </w:rPr>
      </w:pPr>
      <w:r>
        <w:rPr>
          <w:rFonts w:ascii="楷体_GB2312" w:eastAsia="楷体_GB2312" w:cs="楷体_GB2312" w:hint="eastAsia"/>
          <w:kern w:val="0"/>
        </w:rPr>
        <w:t>美国经济增长逐步进入平衡状态</w:t>
      </w:r>
      <w:r w:rsidR="00081977">
        <w:rPr>
          <w:rFonts w:ascii="楷体_GB2312" w:eastAsia="楷体_GB2312" w:cs="楷体_GB2312" w:hint="eastAsia"/>
          <w:kern w:val="0"/>
        </w:rPr>
        <w:t>,2011年的美国制造业增长强劲，而2012年美国的经济增长将更多依赖于出口和消费，边际上出口将明显增长。</w:t>
      </w:r>
      <w:r w:rsidR="00A62DE0">
        <w:rPr>
          <w:rFonts w:ascii="楷体_GB2312" w:eastAsia="楷体_GB2312" w:cs="楷体_GB2312" w:hint="eastAsia"/>
          <w:kern w:val="0"/>
        </w:rPr>
        <w:t>值得关注的美国的资产负债率水平基本接近平均水平，未来再次去杠杆的可能性很小。</w:t>
      </w:r>
      <w:r w:rsidR="00AF0E65">
        <w:rPr>
          <w:rFonts w:ascii="楷体_GB2312" w:eastAsia="楷体_GB2312" w:cs="楷体_GB2312" w:hint="eastAsia"/>
          <w:kern w:val="0"/>
        </w:rPr>
        <w:t>美国经济主要的风险来自于财政政策的过度紧缩，随着减税政策的延期，我们看到这种概率较小。</w:t>
      </w:r>
    </w:p>
    <w:p w:rsidR="00FE0E7F" w:rsidRDefault="00FE0E7F" w:rsidP="00AF0E65">
      <w:pPr>
        <w:autoSpaceDE w:val="0"/>
        <w:autoSpaceDN w:val="0"/>
        <w:adjustRightInd w:val="0"/>
        <w:spacing w:line="320" w:lineRule="exact"/>
        <w:ind w:left="2160" w:firstLineChars="550" w:firstLine="1155"/>
        <w:jc w:val="left"/>
      </w:pPr>
      <w:r>
        <w:rPr>
          <w:rFonts w:ascii="楷体_GB2312" w:eastAsia="楷体_GB2312" w:cs="楷体_GB2312" w:hint="eastAsia"/>
          <w:kern w:val="0"/>
        </w:rPr>
        <w:t>图</w:t>
      </w:r>
      <w:r>
        <w:rPr>
          <w:rFonts w:ascii="楷体_GB2312" w:eastAsia="楷体_GB2312" w:cs="楷体_GB2312"/>
          <w:kern w:val="0"/>
        </w:rPr>
        <w:t>1</w:t>
      </w:r>
      <w:r w:rsidRPr="00F85E60">
        <w:rPr>
          <w:rFonts w:ascii="LucidaSans" w:hAnsi="LucidaSans" w:cs="LucidaSans"/>
          <w:color w:val="0000FF"/>
          <w:kern w:val="0"/>
          <w:sz w:val="14"/>
          <w:szCs w:val="14"/>
          <w:lang w:val="en-GB"/>
        </w:rPr>
        <w:t>.</w:t>
      </w:r>
      <w:r w:rsidR="00081977">
        <w:rPr>
          <w:rFonts w:ascii="LucidaSans" w:hAnsi="LucidaSans" w:cs="LucidaSans" w:hint="eastAsia"/>
          <w:color w:val="0000FF"/>
          <w:kern w:val="0"/>
          <w:sz w:val="14"/>
          <w:szCs w:val="14"/>
          <w:lang w:val="en-GB"/>
        </w:rPr>
        <w:t xml:space="preserve"> </w:t>
      </w:r>
      <w:r w:rsidRPr="00F85E60">
        <w:rPr>
          <w:rFonts w:ascii="LucidaSans" w:hAnsi="LucidaSans" w:cs="LucidaSans"/>
          <w:color w:val="0000FF"/>
          <w:kern w:val="0"/>
          <w:sz w:val="14"/>
          <w:szCs w:val="14"/>
          <w:lang w:val="en-GB"/>
        </w:rPr>
        <w:t xml:space="preserve"> </w:t>
      </w:r>
      <w:r w:rsidR="00081977" w:rsidRPr="00081977">
        <w:rPr>
          <w:rFonts w:ascii="楷体_GB2312" w:eastAsia="楷体_GB2312" w:cs="楷体_GB2312" w:hint="eastAsia"/>
          <w:b/>
          <w:bCs/>
          <w:kern w:val="0"/>
        </w:rPr>
        <w:t>2011年以来出口和消费主导经济增长</w:t>
      </w:r>
    </w:p>
    <w:tbl>
      <w:tblPr>
        <w:tblW w:w="7020" w:type="dxa"/>
        <w:jc w:val="right"/>
        <w:tblLayout w:type="fixed"/>
        <w:tblCellMar>
          <w:left w:w="0" w:type="dxa"/>
          <w:right w:w="0" w:type="dxa"/>
        </w:tblCellMar>
        <w:tblLook w:val="0000"/>
      </w:tblPr>
      <w:tblGrid>
        <w:gridCol w:w="7020"/>
      </w:tblGrid>
      <w:tr w:rsidR="00FE0E7F">
        <w:trPr>
          <w:cantSplit/>
          <w:trHeight w:val="200"/>
          <w:jc w:val="right"/>
        </w:trPr>
        <w:tc>
          <w:tcPr>
            <w:tcW w:w="7020" w:type="dxa"/>
            <w:tcBorders>
              <w:bottom w:val="single" w:sz="6" w:space="0" w:color="C0C0C0"/>
            </w:tcBorders>
            <w:shd w:val="pct5" w:color="auto" w:fill="FFFFFF"/>
          </w:tcPr>
          <w:p w:rsidR="00FE0E7F" w:rsidRPr="00C77711" w:rsidRDefault="00081977" w:rsidP="008E234C">
            <w:pPr>
              <w:pStyle w:val="SubTitleLargeTable"/>
              <w:spacing w:after="0" w:line="200" w:lineRule="atLeast"/>
              <w:rPr>
                <w:rFonts w:cs="Times New Roman"/>
              </w:rPr>
            </w:pPr>
            <w:r>
              <w:rPr>
                <w:rFonts w:hint="eastAsia"/>
              </w:rPr>
              <w:t>美国经济结构情况</w:t>
            </w:r>
          </w:p>
        </w:tc>
      </w:tr>
      <w:tr w:rsidR="00FE0E7F" w:rsidTr="00AF0E65">
        <w:trPr>
          <w:cantSplit/>
          <w:trHeight w:val="2349"/>
          <w:jc w:val="right"/>
        </w:trPr>
        <w:tc>
          <w:tcPr>
            <w:tcW w:w="7020" w:type="dxa"/>
            <w:tcBorders>
              <w:top w:val="single" w:sz="6" w:space="0" w:color="C0C0C0"/>
              <w:bottom w:val="single" w:sz="6" w:space="0" w:color="808080"/>
            </w:tcBorders>
          </w:tcPr>
          <w:p w:rsidR="00FE0E7F" w:rsidRPr="00255057" w:rsidRDefault="00081977" w:rsidP="008E234C">
            <w:pPr>
              <w:pStyle w:val="SourceLarge"/>
              <w:jc w:val="center"/>
              <w:rPr>
                <w:rFonts w:cs="Times New Roman"/>
                <w:lang w:val="en-US"/>
              </w:rPr>
            </w:pPr>
            <w:r>
              <w:rPr>
                <w:rFonts w:cs="Times New Roman"/>
                <w:noProof/>
                <w:lang w:val="en-US"/>
              </w:rPr>
              <w:drawing>
                <wp:inline distT="0" distB="0" distL="0" distR="0">
                  <wp:extent cx="3401483" cy="1433184"/>
                  <wp:effectExtent l="19050" t="0" r="8467" b="0"/>
                  <wp:docPr id="40" name="图片 3" descr="C:\Documents and Settings\liuxc\桌面\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iuxc\桌面\1.bmp"/>
                          <pic:cNvPicPr>
                            <a:picLocks noChangeAspect="1" noChangeArrowheads="1"/>
                          </pic:cNvPicPr>
                        </pic:nvPicPr>
                        <pic:blipFill>
                          <a:blip r:embed="rId10"/>
                          <a:srcRect/>
                          <a:stretch>
                            <a:fillRect/>
                          </a:stretch>
                        </pic:blipFill>
                        <pic:spPr bwMode="auto">
                          <a:xfrm>
                            <a:off x="0" y="0"/>
                            <a:ext cx="3403055" cy="1433847"/>
                          </a:xfrm>
                          <a:prstGeom prst="rect">
                            <a:avLst/>
                          </a:prstGeom>
                          <a:noFill/>
                          <a:ln w="9525">
                            <a:noFill/>
                            <a:miter lim="800000"/>
                            <a:headEnd/>
                            <a:tailEnd/>
                          </a:ln>
                        </pic:spPr>
                      </pic:pic>
                    </a:graphicData>
                  </a:graphic>
                </wp:inline>
              </w:drawing>
            </w:r>
          </w:p>
        </w:tc>
      </w:tr>
    </w:tbl>
    <w:p w:rsidR="00FE0E7F" w:rsidRDefault="00FE0E7F" w:rsidP="00AF0E65">
      <w:pPr>
        <w:pStyle w:val="FootnoteNoline"/>
        <w:spacing w:before="0" w:after="0"/>
        <w:ind w:left="2160" w:firstLineChars="900" w:firstLine="1260"/>
        <w:rPr>
          <w:rFonts w:cs="Times New Roman"/>
        </w:rPr>
      </w:pPr>
      <w:r>
        <w:rPr>
          <w:rFonts w:cs="宋体" w:hint="eastAsia"/>
        </w:rPr>
        <w:t>数据来源：</w:t>
      </w:r>
      <w:r w:rsidR="00081977">
        <w:rPr>
          <w:rFonts w:hint="eastAsia"/>
        </w:rPr>
        <w:t>Bloomberg</w:t>
      </w:r>
    </w:p>
    <w:tbl>
      <w:tblPr>
        <w:tblW w:w="7020" w:type="dxa"/>
        <w:jc w:val="right"/>
        <w:tblLayout w:type="fixed"/>
        <w:tblCellMar>
          <w:left w:w="0" w:type="dxa"/>
          <w:right w:w="0" w:type="dxa"/>
        </w:tblCellMar>
        <w:tblLook w:val="0000"/>
      </w:tblPr>
      <w:tblGrid>
        <w:gridCol w:w="7020"/>
      </w:tblGrid>
      <w:tr w:rsidR="00FE0E7F">
        <w:trPr>
          <w:cantSplit/>
          <w:trHeight w:val="200"/>
          <w:jc w:val="right"/>
        </w:trPr>
        <w:tc>
          <w:tcPr>
            <w:tcW w:w="7020" w:type="dxa"/>
          </w:tcPr>
          <w:p w:rsidR="00FE0E7F" w:rsidRDefault="00FE0E7F" w:rsidP="001F7D05">
            <w:pPr>
              <w:pStyle w:val="TitleLargeTable"/>
              <w:spacing w:after="0"/>
            </w:pPr>
            <w:r>
              <w:rPr>
                <w:rFonts w:cs="宋体" w:hint="eastAsia"/>
              </w:rPr>
              <w:t>图</w:t>
            </w:r>
            <w:r>
              <w:t>2</w:t>
            </w:r>
            <w:r w:rsidR="00A62DE0" w:rsidRPr="00A62DE0">
              <w:rPr>
                <w:rFonts w:cs="宋体" w:hint="eastAsia"/>
                <w:b/>
                <w:bCs/>
                <w:sz w:val="18"/>
                <w:szCs w:val="18"/>
              </w:rPr>
              <w:t xml:space="preserve"> </w:t>
            </w:r>
            <w:r w:rsidR="00A62DE0" w:rsidRPr="00A62DE0">
              <w:rPr>
                <w:rFonts w:cs="宋体" w:hint="eastAsia"/>
                <w:b/>
                <w:bCs/>
                <w:sz w:val="18"/>
                <w:szCs w:val="18"/>
              </w:rPr>
              <w:t>美国经济去杠杆化基本完成，</w:t>
            </w:r>
          </w:p>
        </w:tc>
      </w:tr>
      <w:tr w:rsidR="00FE0E7F">
        <w:trPr>
          <w:cantSplit/>
          <w:trHeight w:val="200"/>
          <w:jc w:val="right"/>
        </w:trPr>
        <w:tc>
          <w:tcPr>
            <w:tcW w:w="7020" w:type="dxa"/>
            <w:tcBorders>
              <w:bottom w:val="single" w:sz="6" w:space="0" w:color="C0C0C0"/>
            </w:tcBorders>
            <w:shd w:val="pct5" w:color="auto" w:fill="FFFFFF"/>
          </w:tcPr>
          <w:p w:rsidR="00FE0E7F" w:rsidRPr="00C77711" w:rsidRDefault="00A62DE0" w:rsidP="00866F45">
            <w:pPr>
              <w:pStyle w:val="SubTitleLargeTable"/>
              <w:spacing w:after="0" w:line="200" w:lineRule="atLeast"/>
              <w:rPr>
                <w:rFonts w:cs="Times New Roman"/>
              </w:rPr>
            </w:pPr>
            <w:r>
              <w:rPr>
                <w:rFonts w:cs="宋体" w:hint="eastAsia"/>
              </w:rPr>
              <w:t>美国经济私人部门去杠杆化接近完成</w:t>
            </w:r>
          </w:p>
        </w:tc>
      </w:tr>
      <w:tr w:rsidR="00FE0E7F">
        <w:trPr>
          <w:cantSplit/>
          <w:trHeight w:val="1912"/>
          <w:jc w:val="right"/>
        </w:trPr>
        <w:tc>
          <w:tcPr>
            <w:tcW w:w="7020" w:type="dxa"/>
            <w:tcBorders>
              <w:top w:val="single" w:sz="6" w:space="0" w:color="C0C0C0"/>
              <w:bottom w:val="single" w:sz="6" w:space="0" w:color="808080"/>
            </w:tcBorders>
          </w:tcPr>
          <w:p w:rsidR="00FE0E7F" w:rsidRPr="00255057" w:rsidRDefault="00A62DE0" w:rsidP="00866F45">
            <w:pPr>
              <w:pStyle w:val="SourceLarge"/>
              <w:jc w:val="center"/>
              <w:rPr>
                <w:rFonts w:cs="Times New Roman"/>
                <w:lang w:val="en-US"/>
              </w:rPr>
            </w:pPr>
            <w:r>
              <w:rPr>
                <w:rFonts w:cs="Times New Roman"/>
                <w:noProof/>
                <w:lang w:val="en-US"/>
              </w:rPr>
              <w:drawing>
                <wp:inline distT="0" distB="0" distL="0" distR="0">
                  <wp:extent cx="3634105" cy="1905268"/>
                  <wp:effectExtent l="19050" t="0" r="4445" b="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641896" cy="1909353"/>
                          </a:xfrm>
                          <a:prstGeom prst="rect">
                            <a:avLst/>
                          </a:prstGeom>
                          <a:noFill/>
                          <a:ln w="9525">
                            <a:noFill/>
                            <a:miter lim="800000"/>
                            <a:headEnd/>
                            <a:tailEnd/>
                          </a:ln>
                        </pic:spPr>
                      </pic:pic>
                    </a:graphicData>
                  </a:graphic>
                </wp:inline>
              </w:drawing>
            </w:r>
          </w:p>
        </w:tc>
      </w:tr>
    </w:tbl>
    <w:p w:rsidR="00FE0E7F" w:rsidRDefault="00FE0E7F" w:rsidP="00AF0E65">
      <w:pPr>
        <w:pStyle w:val="FootnoteNoline"/>
        <w:spacing w:before="0" w:after="0"/>
        <w:ind w:left="2160" w:firstLineChars="900" w:firstLine="1260"/>
      </w:pPr>
      <w:r>
        <w:rPr>
          <w:rFonts w:cs="宋体" w:hint="eastAsia"/>
        </w:rPr>
        <w:t>数据来源：</w:t>
      </w:r>
      <w:r w:rsidR="00A62DE0">
        <w:rPr>
          <w:rFonts w:hint="eastAsia"/>
        </w:rPr>
        <w:t>Bloomberg</w:t>
      </w:r>
    </w:p>
    <w:p w:rsidR="00FE0E7F" w:rsidRDefault="00FE0E7F" w:rsidP="007E58DB">
      <w:pPr>
        <w:pStyle w:val="SubTitleLargeTable"/>
        <w:spacing w:after="0" w:line="240" w:lineRule="auto"/>
        <w:ind w:left="2160"/>
        <w:rPr>
          <w:rFonts w:cs="Times New Roman"/>
        </w:rPr>
      </w:pPr>
    </w:p>
    <w:tbl>
      <w:tblPr>
        <w:tblW w:w="8274" w:type="dxa"/>
        <w:tblInd w:w="2213" w:type="dxa"/>
        <w:tblLayout w:type="fixed"/>
        <w:tblCellMar>
          <w:left w:w="0" w:type="dxa"/>
          <w:right w:w="0" w:type="dxa"/>
        </w:tblCellMar>
        <w:tblLook w:val="0000"/>
      </w:tblPr>
      <w:tblGrid>
        <w:gridCol w:w="8274"/>
      </w:tblGrid>
      <w:tr w:rsidR="00FE0E7F" w:rsidTr="00AF0E65">
        <w:trPr>
          <w:cantSplit/>
          <w:trHeight w:val="207"/>
        </w:trPr>
        <w:tc>
          <w:tcPr>
            <w:tcW w:w="8274" w:type="dxa"/>
          </w:tcPr>
          <w:p w:rsidR="00FE0E7F" w:rsidRDefault="00FE0E7F" w:rsidP="00242D45">
            <w:pPr>
              <w:pStyle w:val="TitleLargeTable"/>
              <w:spacing w:after="0"/>
            </w:pPr>
            <w:r>
              <w:rPr>
                <w:rFonts w:cs="宋体" w:hint="eastAsia"/>
              </w:rPr>
              <w:t>图</w:t>
            </w:r>
            <w:r>
              <w:t>3</w:t>
            </w:r>
            <w:r w:rsidR="00A62DE0">
              <w:rPr>
                <w:rFonts w:hint="eastAsia"/>
              </w:rPr>
              <w:t xml:space="preserve">  </w:t>
            </w:r>
            <w:r w:rsidR="00A62DE0" w:rsidRPr="00A62DE0">
              <w:rPr>
                <w:rFonts w:cs="宋体" w:hint="eastAsia"/>
                <w:b/>
                <w:bCs/>
                <w:sz w:val="18"/>
                <w:szCs w:val="18"/>
              </w:rPr>
              <w:t>美国唯一的问题在于政府杠杆率较高，需要消化，但私人部门健康就可支持</w:t>
            </w:r>
          </w:p>
        </w:tc>
      </w:tr>
      <w:tr w:rsidR="00FE0E7F" w:rsidTr="00AF0E65">
        <w:trPr>
          <w:cantSplit/>
          <w:trHeight w:val="207"/>
        </w:trPr>
        <w:tc>
          <w:tcPr>
            <w:tcW w:w="8274" w:type="dxa"/>
            <w:tcBorders>
              <w:bottom w:val="single" w:sz="6" w:space="0" w:color="C0C0C0"/>
            </w:tcBorders>
            <w:shd w:val="pct5" w:color="auto" w:fill="FFFFFF"/>
          </w:tcPr>
          <w:p w:rsidR="00FE0E7F" w:rsidRPr="00C77711" w:rsidRDefault="00A62DE0" w:rsidP="00AF0E65">
            <w:pPr>
              <w:pStyle w:val="SubTitleLargeTable"/>
              <w:spacing w:after="0" w:line="200" w:lineRule="atLeast"/>
              <w:rPr>
                <w:rFonts w:cs="Times New Roman"/>
              </w:rPr>
            </w:pPr>
            <w:r>
              <w:rPr>
                <w:rFonts w:cs="宋体" w:hint="eastAsia"/>
              </w:rPr>
              <w:t>政府部门的杠杆率有所上升，但</w:t>
            </w:r>
            <w:r w:rsidR="00AF0E65">
              <w:rPr>
                <w:rFonts w:cs="宋体" w:hint="eastAsia"/>
              </w:rPr>
              <w:t>可承受。</w:t>
            </w:r>
          </w:p>
        </w:tc>
      </w:tr>
      <w:tr w:rsidR="00FE0E7F" w:rsidTr="00AF0E65">
        <w:trPr>
          <w:cantSplit/>
          <w:trHeight w:val="1978"/>
        </w:trPr>
        <w:tc>
          <w:tcPr>
            <w:tcW w:w="8274" w:type="dxa"/>
            <w:tcBorders>
              <w:top w:val="single" w:sz="6" w:space="0" w:color="C0C0C0"/>
              <w:bottom w:val="single" w:sz="6" w:space="0" w:color="808080"/>
            </w:tcBorders>
          </w:tcPr>
          <w:p w:rsidR="00FE0E7F" w:rsidRPr="00255057" w:rsidRDefault="00A62DE0" w:rsidP="001F6679">
            <w:pPr>
              <w:pStyle w:val="SourceLarge"/>
              <w:jc w:val="center"/>
              <w:rPr>
                <w:rFonts w:cs="Times New Roman"/>
                <w:lang w:val="en-US"/>
              </w:rPr>
            </w:pPr>
            <w:r>
              <w:rPr>
                <w:rFonts w:cs="Times New Roman"/>
                <w:noProof/>
                <w:lang w:val="en-US"/>
              </w:rPr>
              <w:drawing>
                <wp:inline distT="0" distB="0" distL="0" distR="0">
                  <wp:extent cx="3359150" cy="1611565"/>
                  <wp:effectExtent l="19050" t="0" r="0" b="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358896" cy="1611443"/>
                          </a:xfrm>
                          <a:prstGeom prst="rect">
                            <a:avLst/>
                          </a:prstGeom>
                          <a:noFill/>
                          <a:ln w="9525">
                            <a:noFill/>
                            <a:miter lim="800000"/>
                            <a:headEnd/>
                            <a:tailEnd/>
                          </a:ln>
                        </pic:spPr>
                      </pic:pic>
                    </a:graphicData>
                  </a:graphic>
                </wp:inline>
              </w:drawing>
            </w:r>
          </w:p>
        </w:tc>
      </w:tr>
    </w:tbl>
    <w:p w:rsidR="00FE0E7F" w:rsidRDefault="00FE0E7F" w:rsidP="00AF0E65">
      <w:pPr>
        <w:pStyle w:val="FootnoteNoline"/>
        <w:spacing w:before="0" w:after="0"/>
        <w:ind w:left="2160" w:firstLineChars="950" w:firstLine="1330"/>
      </w:pPr>
      <w:r>
        <w:rPr>
          <w:rFonts w:cs="宋体" w:hint="eastAsia"/>
        </w:rPr>
        <w:t>数据来源：</w:t>
      </w:r>
      <w:r w:rsidR="00AF0E65">
        <w:rPr>
          <w:rFonts w:hint="eastAsia"/>
        </w:rPr>
        <w:t>Bloomberg</w:t>
      </w:r>
    </w:p>
    <w:p w:rsidR="00FE0E7F" w:rsidRDefault="00FE0E7F" w:rsidP="00AF0E65">
      <w:pPr>
        <w:pStyle w:val="SubTitleLargeTable"/>
        <w:pBdr>
          <w:top w:val="single" w:sz="8" w:space="0" w:color="FF0000"/>
        </w:pBdr>
        <w:spacing w:after="0" w:line="240" w:lineRule="auto"/>
        <w:ind w:left="2160"/>
        <w:rPr>
          <w:rFonts w:cs="Times New Roman"/>
        </w:rPr>
      </w:pPr>
    </w:p>
    <w:p w:rsidR="00AF0E65" w:rsidRDefault="00AF0E65" w:rsidP="00AF0E65">
      <w:pPr>
        <w:pStyle w:val="SubTitleLargeTable"/>
        <w:pBdr>
          <w:top w:val="single" w:sz="8" w:space="0" w:color="FF0000"/>
        </w:pBdr>
        <w:spacing w:after="0" w:line="240" w:lineRule="auto"/>
        <w:ind w:left="2160"/>
        <w:rPr>
          <w:rFonts w:ascii="楷体_GB2312" w:eastAsia="楷体_GB2312" w:hAnsi="Times New Roman" w:cs="楷体_GB2312"/>
          <w:b w:val="0"/>
          <w:bCs w:val="0"/>
          <w:sz w:val="21"/>
          <w:szCs w:val="21"/>
          <w:lang w:val="en-US"/>
        </w:rPr>
      </w:pPr>
      <w:r w:rsidRPr="00AF0E65">
        <w:rPr>
          <w:rFonts w:ascii="楷体_GB2312" w:eastAsia="楷体_GB2312" w:hAnsi="Times New Roman" w:cs="楷体_GB2312" w:hint="eastAsia"/>
          <w:b w:val="0"/>
          <w:bCs w:val="0"/>
          <w:sz w:val="21"/>
          <w:szCs w:val="21"/>
          <w:lang w:val="en-US"/>
        </w:rPr>
        <w:t>欧洲的问题更为复杂</w:t>
      </w:r>
      <w:r>
        <w:rPr>
          <w:rFonts w:ascii="楷体_GB2312" w:eastAsia="楷体_GB2312" w:hAnsi="Times New Roman" w:cs="楷体_GB2312" w:hint="eastAsia"/>
          <w:b w:val="0"/>
          <w:bCs w:val="0"/>
          <w:sz w:val="21"/>
          <w:szCs w:val="21"/>
          <w:lang w:val="en-US"/>
        </w:rPr>
        <w:t>，欧洲目前经济增速面临快速的下滑，而这种下滑更具有刚性，由于欧洲国家的“高福利”所推动的消费增长，在2012年由于债务危机的影响将难以为序，即使考虑最好的情况，欧洲债务危机也将导致欧洲银行的信贷紧缩和经济增速下降，目前欧盟已经将欧元区经济增速下调至0.5%</w:t>
      </w:r>
      <w:r w:rsidR="00296ABE">
        <w:rPr>
          <w:rFonts w:ascii="楷体_GB2312" w:eastAsia="楷体_GB2312" w:hAnsi="Times New Roman" w:cs="楷体_GB2312" w:hint="eastAsia"/>
          <w:b w:val="0"/>
          <w:bCs w:val="0"/>
          <w:sz w:val="21"/>
          <w:szCs w:val="21"/>
          <w:lang w:val="en-US"/>
        </w:rPr>
        <w:t>，从领先一年左右的M1指标看，欧洲经济在2012年将显著下滑。</w:t>
      </w:r>
    </w:p>
    <w:p w:rsidR="00296ABE" w:rsidRDefault="00296ABE" w:rsidP="00AF0E65">
      <w:pPr>
        <w:pStyle w:val="SubTitleLargeTable"/>
        <w:pBdr>
          <w:top w:val="single" w:sz="8" w:space="0" w:color="FF0000"/>
        </w:pBdr>
        <w:spacing w:after="0" w:line="240" w:lineRule="auto"/>
        <w:ind w:left="2160"/>
        <w:rPr>
          <w:rFonts w:ascii="楷体_GB2312" w:eastAsia="楷体_GB2312" w:hAnsi="Times New Roman" w:cs="楷体_GB2312"/>
          <w:b w:val="0"/>
          <w:bCs w:val="0"/>
          <w:sz w:val="21"/>
          <w:szCs w:val="21"/>
          <w:lang w:val="en-US"/>
        </w:rPr>
      </w:pPr>
    </w:p>
    <w:p w:rsidR="00296ABE" w:rsidRPr="00AF0E65" w:rsidRDefault="00296ABE" w:rsidP="00AF0E65">
      <w:pPr>
        <w:pStyle w:val="SubTitleLargeTable"/>
        <w:pBdr>
          <w:top w:val="single" w:sz="8" w:space="0" w:color="FF0000"/>
        </w:pBdr>
        <w:spacing w:after="0" w:line="240" w:lineRule="auto"/>
        <w:ind w:left="2160"/>
        <w:rPr>
          <w:rFonts w:ascii="楷体_GB2312" w:eastAsia="楷体_GB2312" w:hAnsi="Times New Roman" w:cs="楷体_GB2312"/>
          <w:b w:val="0"/>
          <w:bCs w:val="0"/>
          <w:sz w:val="21"/>
          <w:szCs w:val="21"/>
          <w:lang w:val="en-US"/>
        </w:rPr>
      </w:pPr>
      <w:r>
        <w:rPr>
          <w:rFonts w:ascii="楷体_GB2312" w:eastAsia="楷体_GB2312" w:hAnsi="Times New Roman" w:cs="楷体_GB2312" w:hint="eastAsia"/>
          <w:b w:val="0"/>
          <w:bCs w:val="0"/>
          <w:sz w:val="21"/>
          <w:szCs w:val="21"/>
          <w:lang w:val="en-US"/>
        </w:rPr>
        <w:t>对于欧洲债务危机，我们的观点较为乐观，我们认为欧洲央行必将成为欧洲国债的主要支持者，随着利率的下降，债务的可持续性将逐步显示出来。但是欧元将面临大幅贬值以反映经济增长下降的预期</w:t>
      </w:r>
    </w:p>
    <w:p w:rsidR="00AF0E65" w:rsidRPr="00AF0E65" w:rsidRDefault="00AF0E65" w:rsidP="00AF0E65">
      <w:pPr>
        <w:pStyle w:val="SubTitleLargeTable"/>
        <w:pBdr>
          <w:top w:val="single" w:sz="8" w:space="0" w:color="FF0000"/>
        </w:pBdr>
        <w:spacing w:after="0" w:line="240" w:lineRule="auto"/>
        <w:ind w:left="2160"/>
        <w:rPr>
          <w:rFonts w:ascii="楷体_GB2312" w:eastAsia="楷体_GB2312" w:hAnsi="Times New Roman" w:cs="楷体_GB2312"/>
          <w:b w:val="0"/>
          <w:bCs w:val="0"/>
          <w:sz w:val="21"/>
          <w:szCs w:val="21"/>
          <w:lang w:val="en-US"/>
        </w:rPr>
      </w:pPr>
    </w:p>
    <w:tbl>
      <w:tblPr>
        <w:tblW w:w="7020" w:type="dxa"/>
        <w:tblInd w:w="2306" w:type="dxa"/>
        <w:tblLayout w:type="fixed"/>
        <w:tblCellMar>
          <w:left w:w="0" w:type="dxa"/>
          <w:right w:w="0" w:type="dxa"/>
        </w:tblCellMar>
        <w:tblLook w:val="0000"/>
      </w:tblPr>
      <w:tblGrid>
        <w:gridCol w:w="7020"/>
      </w:tblGrid>
      <w:tr w:rsidR="00AF0E65" w:rsidTr="00AF0E65">
        <w:trPr>
          <w:cantSplit/>
          <w:trHeight w:val="200"/>
        </w:trPr>
        <w:tc>
          <w:tcPr>
            <w:tcW w:w="7020" w:type="dxa"/>
          </w:tcPr>
          <w:p w:rsidR="00AF0E65" w:rsidRDefault="00AF0E65" w:rsidP="00AF0E65">
            <w:pPr>
              <w:pStyle w:val="TitleLargeTable"/>
              <w:spacing w:after="0"/>
            </w:pPr>
            <w:r>
              <w:rPr>
                <w:rFonts w:cs="宋体" w:hint="eastAsia"/>
              </w:rPr>
              <w:t>图</w:t>
            </w:r>
            <w:r>
              <w:rPr>
                <w:rFonts w:hint="eastAsia"/>
              </w:rPr>
              <w:t xml:space="preserve">4  </w:t>
            </w:r>
            <w:r>
              <w:rPr>
                <w:rFonts w:cs="宋体" w:hint="eastAsia"/>
                <w:b/>
                <w:bCs/>
                <w:sz w:val="18"/>
                <w:szCs w:val="18"/>
              </w:rPr>
              <w:t>欧洲的制造业下滑明显，而且刚刚开始</w:t>
            </w:r>
          </w:p>
        </w:tc>
      </w:tr>
      <w:tr w:rsidR="00AF0E65" w:rsidTr="00AF0E65">
        <w:trPr>
          <w:cantSplit/>
          <w:trHeight w:val="200"/>
        </w:trPr>
        <w:tc>
          <w:tcPr>
            <w:tcW w:w="7020" w:type="dxa"/>
            <w:tcBorders>
              <w:bottom w:val="single" w:sz="6" w:space="0" w:color="C0C0C0"/>
            </w:tcBorders>
            <w:shd w:val="pct5" w:color="auto" w:fill="FFFFFF"/>
          </w:tcPr>
          <w:p w:rsidR="00AF0E65" w:rsidRPr="00C77711" w:rsidRDefault="00AF0E65" w:rsidP="00044116">
            <w:pPr>
              <w:pStyle w:val="SubTitleLargeTable"/>
              <w:spacing w:after="0" w:line="200" w:lineRule="atLeast"/>
              <w:rPr>
                <w:rFonts w:cs="Times New Roman"/>
              </w:rPr>
            </w:pPr>
            <w:r>
              <w:rPr>
                <w:rFonts w:cs="宋体" w:hint="eastAsia"/>
              </w:rPr>
              <w:t>欧洲制造业和非制造业指数</w:t>
            </w:r>
          </w:p>
        </w:tc>
      </w:tr>
      <w:tr w:rsidR="00AF0E65" w:rsidTr="00AF0E65">
        <w:trPr>
          <w:cantSplit/>
          <w:trHeight w:val="1912"/>
        </w:trPr>
        <w:tc>
          <w:tcPr>
            <w:tcW w:w="7020" w:type="dxa"/>
            <w:tcBorders>
              <w:top w:val="single" w:sz="6" w:space="0" w:color="C0C0C0"/>
              <w:bottom w:val="single" w:sz="6" w:space="0" w:color="808080"/>
            </w:tcBorders>
          </w:tcPr>
          <w:p w:rsidR="00AF0E65" w:rsidRPr="00255057" w:rsidRDefault="00AF0E65" w:rsidP="00044116">
            <w:pPr>
              <w:pStyle w:val="SourceLarge"/>
              <w:jc w:val="center"/>
              <w:rPr>
                <w:rFonts w:cs="Times New Roman"/>
                <w:lang w:val="en-US"/>
              </w:rPr>
            </w:pPr>
            <w:r>
              <w:rPr>
                <w:rFonts w:cs="Times New Roman"/>
                <w:noProof/>
                <w:lang w:val="en-US"/>
              </w:rPr>
              <w:drawing>
                <wp:inline distT="0" distB="0" distL="0" distR="0">
                  <wp:extent cx="3599885" cy="2142067"/>
                  <wp:effectExtent l="19050" t="0" r="565" b="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604607" cy="2144877"/>
                          </a:xfrm>
                          <a:prstGeom prst="rect">
                            <a:avLst/>
                          </a:prstGeom>
                          <a:noFill/>
                          <a:ln w="9525">
                            <a:noFill/>
                            <a:miter lim="800000"/>
                            <a:headEnd/>
                            <a:tailEnd/>
                          </a:ln>
                        </pic:spPr>
                      </pic:pic>
                    </a:graphicData>
                  </a:graphic>
                </wp:inline>
              </w:drawing>
            </w:r>
          </w:p>
        </w:tc>
      </w:tr>
    </w:tbl>
    <w:p w:rsidR="00AF0E65" w:rsidRDefault="00AF0E65" w:rsidP="00AF0E65">
      <w:pPr>
        <w:pStyle w:val="FootnoteNoline"/>
        <w:spacing w:before="0" w:after="0"/>
        <w:ind w:left="2160"/>
      </w:pPr>
      <w:r>
        <w:rPr>
          <w:rFonts w:cs="宋体" w:hint="eastAsia"/>
        </w:rPr>
        <w:t>数据来源：</w:t>
      </w:r>
      <w:r>
        <w:rPr>
          <w:rFonts w:hint="eastAsia"/>
        </w:rPr>
        <w:t>Bloomberg</w:t>
      </w:r>
    </w:p>
    <w:tbl>
      <w:tblPr>
        <w:tblW w:w="7020" w:type="dxa"/>
        <w:tblInd w:w="2306" w:type="dxa"/>
        <w:tblLayout w:type="fixed"/>
        <w:tblCellMar>
          <w:left w:w="0" w:type="dxa"/>
          <w:right w:w="0" w:type="dxa"/>
        </w:tblCellMar>
        <w:tblLook w:val="0000"/>
      </w:tblPr>
      <w:tblGrid>
        <w:gridCol w:w="7020"/>
      </w:tblGrid>
      <w:tr w:rsidR="00296ABE" w:rsidTr="00044116">
        <w:trPr>
          <w:cantSplit/>
          <w:trHeight w:val="200"/>
        </w:trPr>
        <w:tc>
          <w:tcPr>
            <w:tcW w:w="7020" w:type="dxa"/>
          </w:tcPr>
          <w:p w:rsidR="00296ABE" w:rsidRDefault="00296ABE" w:rsidP="002B7FF4">
            <w:pPr>
              <w:pStyle w:val="TitleLargeTable"/>
              <w:spacing w:after="0"/>
            </w:pPr>
            <w:r>
              <w:rPr>
                <w:rFonts w:cs="宋体" w:hint="eastAsia"/>
              </w:rPr>
              <w:lastRenderedPageBreak/>
              <w:t>图</w:t>
            </w:r>
            <w:r w:rsidR="002B7FF4">
              <w:rPr>
                <w:rFonts w:hint="eastAsia"/>
              </w:rPr>
              <w:t>5</w:t>
            </w:r>
            <w:r>
              <w:rPr>
                <w:rFonts w:hint="eastAsia"/>
              </w:rPr>
              <w:t xml:space="preserve">  </w:t>
            </w:r>
            <w:r>
              <w:rPr>
                <w:rFonts w:cs="宋体" w:hint="eastAsia"/>
                <w:b/>
                <w:bCs/>
                <w:sz w:val="18"/>
                <w:szCs w:val="18"/>
              </w:rPr>
              <w:t>欧洲的</w:t>
            </w:r>
            <w:r w:rsidR="002B7FF4">
              <w:rPr>
                <w:rFonts w:cs="宋体" w:hint="eastAsia"/>
                <w:b/>
                <w:bCs/>
                <w:sz w:val="18"/>
                <w:szCs w:val="18"/>
              </w:rPr>
              <w:t>财政赤字消减在</w:t>
            </w:r>
            <w:r w:rsidR="002B7FF4">
              <w:rPr>
                <w:rFonts w:cs="宋体" w:hint="eastAsia"/>
                <w:b/>
                <w:bCs/>
                <w:sz w:val="18"/>
                <w:szCs w:val="18"/>
              </w:rPr>
              <w:t>2012</w:t>
            </w:r>
            <w:r w:rsidR="002B7FF4">
              <w:rPr>
                <w:rFonts w:cs="宋体" w:hint="eastAsia"/>
                <w:b/>
                <w:bCs/>
                <w:sz w:val="18"/>
                <w:szCs w:val="18"/>
              </w:rPr>
              <w:t>年最为激进</w:t>
            </w:r>
          </w:p>
        </w:tc>
      </w:tr>
      <w:tr w:rsidR="00296ABE" w:rsidTr="00044116">
        <w:trPr>
          <w:cantSplit/>
          <w:trHeight w:val="200"/>
        </w:trPr>
        <w:tc>
          <w:tcPr>
            <w:tcW w:w="7020" w:type="dxa"/>
            <w:tcBorders>
              <w:bottom w:val="single" w:sz="6" w:space="0" w:color="C0C0C0"/>
            </w:tcBorders>
            <w:shd w:val="pct5" w:color="auto" w:fill="FFFFFF"/>
          </w:tcPr>
          <w:p w:rsidR="00296ABE" w:rsidRPr="00C77711" w:rsidRDefault="002B7FF4" w:rsidP="002B7FF4">
            <w:pPr>
              <w:pStyle w:val="SubTitleLargeTable"/>
              <w:spacing w:after="0" w:line="200" w:lineRule="atLeast"/>
              <w:rPr>
                <w:rFonts w:cs="Times New Roman"/>
              </w:rPr>
            </w:pPr>
            <w:r>
              <w:rPr>
                <w:rFonts w:cs="宋体" w:hint="eastAsia"/>
              </w:rPr>
              <w:t>欧元区财政赤字占</w:t>
            </w:r>
            <w:r>
              <w:rPr>
                <w:rFonts w:cs="宋体" w:hint="eastAsia"/>
              </w:rPr>
              <w:t>GDP</w:t>
            </w:r>
            <w:r>
              <w:rPr>
                <w:rFonts w:cs="宋体" w:hint="eastAsia"/>
              </w:rPr>
              <w:t>比重</w:t>
            </w:r>
          </w:p>
        </w:tc>
      </w:tr>
      <w:tr w:rsidR="00296ABE" w:rsidTr="00044116">
        <w:trPr>
          <w:cantSplit/>
          <w:trHeight w:val="1912"/>
        </w:trPr>
        <w:tc>
          <w:tcPr>
            <w:tcW w:w="7020" w:type="dxa"/>
            <w:tcBorders>
              <w:top w:val="single" w:sz="6" w:space="0" w:color="C0C0C0"/>
              <w:bottom w:val="single" w:sz="6" w:space="0" w:color="808080"/>
            </w:tcBorders>
          </w:tcPr>
          <w:p w:rsidR="00296ABE" w:rsidRPr="00255057" w:rsidRDefault="00296ABE" w:rsidP="00044116">
            <w:pPr>
              <w:pStyle w:val="SourceLarge"/>
              <w:jc w:val="center"/>
              <w:rPr>
                <w:rFonts w:cs="Times New Roman"/>
                <w:lang w:val="en-US"/>
              </w:rPr>
            </w:pPr>
            <w:r>
              <w:rPr>
                <w:rFonts w:cs="Times New Roman"/>
                <w:noProof/>
                <w:lang w:val="en-US"/>
              </w:rPr>
              <w:drawing>
                <wp:inline distT="0" distB="0" distL="0" distR="0">
                  <wp:extent cx="4214284" cy="1700795"/>
                  <wp:effectExtent l="19050" t="0" r="0" b="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216773" cy="1701800"/>
                          </a:xfrm>
                          <a:prstGeom prst="rect">
                            <a:avLst/>
                          </a:prstGeom>
                          <a:noFill/>
                          <a:ln w="9525">
                            <a:noFill/>
                            <a:miter lim="800000"/>
                            <a:headEnd/>
                            <a:tailEnd/>
                          </a:ln>
                        </pic:spPr>
                      </pic:pic>
                    </a:graphicData>
                  </a:graphic>
                </wp:inline>
              </w:drawing>
            </w:r>
          </w:p>
        </w:tc>
      </w:tr>
    </w:tbl>
    <w:p w:rsidR="00296ABE" w:rsidRDefault="00296ABE" w:rsidP="00296ABE">
      <w:pPr>
        <w:pStyle w:val="FootnoteNoline"/>
        <w:spacing w:before="0" w:after="0"/>
        <w:ind w:left="2160"/>
      </w:pPr>
      <w:r>
        <w:rPr>
          <w:rFonts w:cs="宋体" w:hint="eastAsia"/>
        </w:rPr>
        <w:t>数据来源：</w:t>
      </w:r>
      <w:r>
        <w:rPr>
          <w:rFonts w:hint="eastAsia"/>
        </w:rPr>
        <w:t>欧盟</w:t>
      </w:r>
    </w:p>
    <w:p w:rsidR="00AF0E65" w:rsidRDefault="00AF0E65" w:rsidP="007E58DB">
      <w:pPr>
        <w:pStyle w:val="SubTitleLargeTable"/>
        <w:spacing w:after="0" w:line="240" w:lineRule="auto"/>
        <w:ind w:left="2160"/>
        <w:rPr>
          <w:rFonts w:cs="Times New Roman"/>
        </w:rPr>
      </w:pPr>
    </w:p>
    <w:p w:rsidR="00FE0E7F" w:rsidRDefault="00FE0E7F" w:rsidP="008B0962">
      <w:pPr>
        <w:pStyle w:val="1"/>
        <w:spacing w:beforeLines="50" w:afterLines="50" w:line="480" w:lineRule="auto"/>
        <w:ind w:left="2160"/>
        <w:rPr>
          <w:rFonts w:ascii="楷体_GB2312" w:eastAsia="楷体_GB2312" w:hAnsi="宋体"/>
          <w:sz w:val="21"/>
          <w:szCs w:val="21"/>
        </w:rPr>
      </w:pPr>
      <w:bookmarkStart w:id="11" w:name="_Toc313737741"/>
      <w:bookmarkStart w:id="12" w:name="_Toc253644378"/>
      <w:r w:rsidRPr="002C669D">
        <w:rPr>
          <w:rFonts w:ascii="楷体_GB2312" w:eastAsia="楷体_GB2312" w:hAnsi="宋体" w:cs="楷体_GB2312"/>
          <w:sz w:val="21"/>
          <w:szCs w:val="21"/>
        </w:rPr>
        <w:t>2</w:t>
      </w:r>
      <w:r w:rsidRPr="002C669D">
        <w:rPr>
          <w:rFonts w:ascii="楷体_GB2312" w:eastAsia="楷体_GB2312" w:hAnsi="宋体" w:cs="楷体_GB2312" w:hint="eastAsia"/>
          <w:sz w:val="21"/>
          <w:szCs w:val="21"/>
        </w:rPr>
        <w:t>、</w:t>
      </w:r>
      <w:r w:rsidR="002B7FF4">
        <w:rPr>
          <w:rFonts w:ascii="楷体_GB2312" w:eastAsia="楷体_GB2312" w:hAnsi="宋体" w:cs="楷体_GB2312" w:hint="eastAsia"/>
          <w:sz w:val="21"/>
          <w:szCs w:val="21"/>
        </w:rPr>
        <w:t>2012年中国经济面临稳增长难题</w:t>
      </w:r>
      <w:bookmarkEnd w:id="11"/>
    </w:p>
    <w:p w:rsidR="00FE0E7F" w:rsidRDefault="002B7FF4" w:rsidP="00953DEE">
      <w:pPr>
        <w:autoSpaceDE w:val="0"/>
        <w:autoSpaceDN w:val="0"/>
        <w:adjustRightInd w:val="0"/>
        <w:spacing w:line="320" w:lineRule="exact"/>
        <w:ind w:left="2160"/>
        <w:jc w:val="left"/>
        <w:rPr>
          <w:rFonts w:ascii="楷体_GB2312" w:eastAsia="楷体_GB2312"/>
          <w:kern w:val="0"/>
        </w:rPr>
      </w:pPr>
      <w:r>
        <w:rPr>
          <w:rFonts w:ascii="楷体_GB2312" w:eastAsia="楷体_GB2312" w:cs="楷体_GB2312" w:hint="eastAsia"/>
          <w:kern w:val="0"/>
        </w:rPr>
        <w:t>中国经济面临最大的问题在于结构调整的困难，中国经济长期以来面临投资和出口占比过高，以及消费占比较小</w:t>
      </w:r>
      <w:r w:rsidR="006110E4">
        <w:rPr>
          <w:rFonts w:ascii="楷体_GB2312" w:eastAsia="楷体_GB2312" w:cs="楷体_GB2312" w:hint="eastAsia"/>
          <w:kern w:val="0"/>
        </w:rPr>
        <w:t>的结构性问题</w:t>
      </w:r>
      <w:r>
        <w:rPr>
          <w:rFonts w:ascii="楷体_GB2312" w:eastAsia="楷体_GB2312" w:cs="楷体_GB2312" w:hint="eastAsia"/>
          <w:kern w:val="0"/>
        </w:rPr>
        <w:t>，造成了经济增长的</w:t>
      </w:r>
      <w:r w:rsidR="006110E4">
        <w:rPr>
          <w:rFonts w:ascii="楷体_GB2312" w:eastAsia="楷体_GB2312" w:cs="楷体_GB2312" w:hint="eastAsia"/>
          <w:kern w:val="0"/>
        </w:rPr>
        <w:t>经常</w:t>
      </w:r>
      <w:r>
        <w:rPr>
          <w:rFonts w:ascii="楷体_GB2312" w:eastAsia="楷体_GB2312" w:cs="楷体_GB2312" w:hint="eastAsia"/>
          <w:kern w:val="0"/>
        </w:rPr>
        <w:t>显著波动，尤其是2008年-2011年的国内房地产泡沫的恶化以及地方政府债务的大幅增长，导致经济增长结构的进一步恶化，当需求出现放缓时，中国经济将面临经济增速循环下降，但是政府又不愿意经济增速的快速回落。这些矛盾在2012年将进一步突出。</w:t>
      </w:r>
    </w:p>
    <w:p w:rsidR="00FE0E7F" w:rsidRDefault="00FE0E7F" w:rsidP="00953DEE">
      <w:pPr>
        <w:autoSpaceDE w:val="0"/>
        <w:autoSpaceDN w:val="0"/>
        <w:adjustRightInd w:val="0"/>
        <w:spacing w:line="320" w:lineRule="exact"/>
        <w:ind w:left="2160"/>
        <w:jc w:val="left"/>
        <w:rPr>
          <w:rFonts w:ascii="楷体_GB2312" w:eastAsia="楷体_GB2312"/>
          <w:kern w:val="0"/>
        </w:rPr>
      </w:pPr>
    </w:p>
    <w:p w:rsidR="00FE0E7F" w:rsidRDefault="00D26036" w:rsidP="00DA3F56">
      <w:pPr>
        <w:autoSpaceDE w:val="0"/>
        <w:autoSpaceDN w:val="0"/>
        <w:adjustRightInd w:val="0"/>
        <w:spacing w:line="320" w:lineRule="exact"/>
        <w:ind w:left="2160"/>
        <w:jc w:val="left"/>
        <w:rPr>
          <w:rFonts w:ascii="楷体_GB2312" w:eastAsia="楷体_GB2312"/>
          <w:kern w:val="0"/>
        </w:rPr>
      </w:pPr>
      <w:r>
        <w:rPr>
          <w:rFonts w:ascii="楷体_GB2312" w:eastAsia="楷体_GB2312" w:cs="楷体_GB2312" w:hint="eastAsia"/>
          <w:kern w:val="0"/>
        </w:rPr>
        <w:t>2012年，中国经济增长在固定资产投资方面首先面临的</w:t>
      </w:r>
      <w:r w:rsidR="006110E4">
        <w:rPr>
          <w:rFonts w:ascii="楷体_GB2312" w:eastAsia="楷体_GB2312" w:cs="楷体_GB2312" w:hint="eastAsia"/>
          <w:kern w:val="0"/>
        </w:rPr>
        <w:t>压力</w:t>
      </w:r>
      <w:r>
        <w:rPr>
          <w:rFonts w:ascii="楷体_GB2312" w:eastAsia="楷体_GB2312" w:cs="楷体_GB2312" w:hint="eastAsia"/>
          <w:kern w:val="0"/>
        </w:rPr>
        <w:t>就是房地产投资的明显下滑，而房地产销售量</w:t>
      </w:r>
      <w:r w:rsidR="006110E4">
        <w:rPr>
          <w:rFonts w:ascii="楷体_GB2312" w:eastAsia="楷体_GB2312" w:cs="楷体_GB2312" w:hint="eastAsia"/>
          <w:kern w:val="0"/>
        </w:rPr>
        <w:t>作为领先指标</w:t>
      </w:r>
      <w:r>
        <w:rPr>
          <w:rFonts w:ascii="楷体_GB2312" w:eastAsia="楷体_GB2312" w:cs="楷体_GB2312" w:hint="eastAsia"/>
          <w:kern w:val="0"/>
        </w:rPr>
        <w:t>能否随价格下降企稳是</w:t>
      </w:r>
      <w:r w:rsidR="006110E4">
        <w:rPr>
          <w:rFonts w:ascii="楷体_GB2312" w:eastAsia="楷体_GB2312" w:cs="楷体_GB2312" w:hint="eastAsia"/>
          <w:kern w:val="0"/>
        </w:rPr>
        <w:t>对明年固定资产投资变化重要的</w:t>
      </w:r>
      <w:r>
        <w:rPr>
          <w:rFonts w:ascii="楷体_GB2312" w:eastAsia="楷体_GB2312" w:cs="楷体_GB2312" w:hint="eastAsia"/>
          <w:kern w:val="0"/>
        </w:rPr>
        <w:t>决定因素</w:t>
      </w:r>
      <w:r w:rsidR="00FE0E7F">
        <w:rPr>
          <w:rFonts w:ascii="楷体_GB2312" w:eastAsia="楷体_GB2312" w:cs="楷体_GB2312" w:hint="eastAsia"/>
          <w:kern w:val="0"/>
        </w:rPr>
        <w:t>。</w:t>
      </w:r>
      <w:r w:rsidR="00C03947">
        <w:rPr>
          <w:rFonts w:ascii="楷体_GB2312" w:eastAsia="楷体_GB2312" w:cs="楷体_GB2312" w:hint="eastAsia"/>
          <w:kern w:val="0"/>
        </w:rPr>
        <w:t>根据</w:t>
      </w:r>
      <w:r w:rsidR="006110E4">
        <w:rPr>
          <w:rFonts w:ascii="楷体_GB2312" w:eastAsia="楷体_GB2312" w:cs="楷体_GB2312" w:hint="eastAsia"/>
          <w:kern w:val="0"/>
        </w:rPr>
        <w:t>目前估计的</w:t>
      </w:r>
      <w:r w:rsidR="00C03947">
        <w:rPr>
          <w:rFonts w:ascii="楷体_GB2312" w:eastAsia="楷体_GB2312" w:cs="楷体_GB2312" w:hint="eastAsia"/>
          <w:kern w:val="0"/>
        </w:rPr>
        <w:t>信贷</w:t>
      </w:r>
      <w:r w:rsidR="006110E4">
        <w:rPr>
          <w:rFonts w:ascii="楷体_GB2312" w:eastAsia="楷体_GB2312" w:cs="楷体_GB2312" w:hint="eastAsia"/>
          <w:kern w:val="0"/>
        </w:rPr>
        <w:t>增速，</w:t>
      </w:r>
      <w:r w:rsidR="00C03947">
        <w:rPr>
          <w:rFonts w:ascii="楷体_GB2312" w:eastAsia="楷体_GB2312" w:cs="楷体_GB2312" w:hint="eastAsia"/>
          <w:kern w:val="0"/>
        </w:rPr>
        <w:t>我们</w:t>
      </w:r>
      <w:r w:rsidR="006110E4">
        <w:rPr>
          <w:rFonts w:ascii="楷体_GB2312" w:eastAsia="楷体_GB2312" w:cs="楷体_GB2312" w:hint="eastAsia"/>
          <w:kern w:val="0"/>
        </w:rPr>
        <w:t>认为</w:t>
      </w:r>
      <w:r w:rsidR="00C03947">
        <w:rPr>
          <w:rFonts w:ascii="楷体_GB2312" w:eastAsia="楷体_GB2312" w:cs="楷体_GB2312" w:hint="eastAsia"/>
          <w:kern w:val="0"/>
        </w:rPr>
        <w:t>大概测算投资增速能够稳定在15%左右。而出口由于美元升值的冲击以及欧洲经济放缓的影响，只能增长5%左右，消费增速也将受到一定的负面影响，剔除价格因素，增长率能够保持在12%左右。这样全年中国经济增速能够稳定在7%左右，但单季度会低于7%</w:t>
      </w:r>
      <w:r w:rsidR="00361846">
        <w:rPr>
          <w:rFonts w:ascii="楷体_GB2312" w:eastAsia="楷体_GB2312" w:cs="楷体_GB2312" w:hint="eastAsia"/>
          <w:kern w:val="0"/>
        </w:rPr>
        <w:t>。</w:t>
      </w:r>
    </w:p>
    <w:p w:rsidR="00FE0E7F" w:rsidRPr="00EC3AD4" w:rsidRDefault="00FE0E7F" w:rsidP="00DA3F56">
      <w:pPr>
        <w:autoSpaceDE w:val="0"/>
        <w:autoSpaceDN w:val="0"/>
        <w:adjustRightInd w:val="0"/>
        <w:spacing w:line="320" w:lineRule="exact"/>
        <w:ind w:left="2160"/>
        <w:jc w:val="left"/>
        <w:rPr>
          <w:rFonts w:ascii="楷体_GB2312" w:eastAsia="楷体_GB2312"/>
          <w:kern w:val="0"/>
        </w:rPr>
      </w:pPr>
    </w:p>
    <w:tbl>
      <w:tblPr>
        <w:tblW w:w="7020" w:type="dxa"/>
        <w:jc w:val="right"/>
        <w:tblLayout w:type="fixed"/>
        <w:tblCellMar>
          <w:left w:w="0" w:type="dxa"/>
          <w:right w:w="0" w:type="dxa"/>
        </w:tblCellMar>
        <w:tblLook w:val="0000"/>
      </w:tblPr>
      <w:tblGrid>
        <w:gridCol w:w="7020"/>
      </w:tblGrid>
      <w:tr w:rsidR="00FE0E7F">
        <w:trPr>
          <w:cantSplit/>
          <w:trHeight w:val="200"/>
          <w:jc w:val="right"/>
        </w:trPr>
        <w:tc>
          <w:tcPr>
            <w:tcW w:w="7020" w:type="dxa"/>
          </w:tcPr>
          <w:p w:rsidR="00FE0E7F" w:rsidRDefault="00FE0E7F" w:rsidP="002B7FF4">
            <w:pPr>
              <w:pStyle w:val="TitleLargeTable"/>
              <w:spacing w:after="0"/>
            </w:pPr>
            <w:r w:rsidRPr="00C03947">
              <w:rPr>
                <w:rFonts w:cs="宋体" w:hint="eastAsia"/>
                <w:b/>
                <w:bCs/>
                <w:sz w:val="18"/>
                <w:szCs w:val="18"/>
              </w:rPr>
              <w:t>图</w:t>
            </w:r>
            <w:r w:rsidR="00C03947">
              <w:rPr>
                <w:rFonts w:cs="宋体" w:hint="eastAsia"/>
                <w:b/>
                <w:bCs/>
                <w:sz w:val="18"/>
                <w:szCs w:val="18"/>
              </w:rPr>
              <w:t>6</w:t>
            </w:r>
            <w:r w:rsidR="002B7FF4" w:rsidRPr="00C03947">
              <w:rPr>
                <w:rFonts w:cs="宋体" w:hint="eastAsia"/>
                <w:b/>
                <w:bCs/>
                <w:sz w:val="18"/>
                <w:szCs w:val="18"/>
              </w:rPr>
              <w:t>；</w:t>
            </w:r>
            <w:r w:rsidR="002B7FF4" w:rsidRPr="00C03947">
              <w:rPr>
                <w:rFonts w:cs="宋体" w:hint="eastAsia"/>
                <w:b/>
                <w:bCs/>
                <w:sz w:val="18"/>
                <w:szCs w:val="18"/>
              </w:rPr>
              <w:t xml:space="preserve"> 2012</w:t>
            </w:r>
            <w:r w:rsidR="002B7FF4" w:rsidRPr="00C03947">
              <w:rPr>
                <w:rFonts w:cs="宋体" w:hint="eastAsia"/>
                <w:b/>
                <w:bCs/>
                <w:sz w:val="18"/>
                <w:szCs w:val="18"/>
              </w:rPr>
              <w:t>年拉动固定资产投资下降的还是房地产投资</w:t>
            </w:r>
            <w:r w:rsidR="00D26036" w:rsidRPr="00C03947">
              <w:rPr>
                <w:rFonts w:cs="宋体" w:hint="eastAsia"/>
                <w:b/>
                <w:bCs/>
                <w:sz w:val="18"/>
                <w:szCs w:val="18"/>
              </w:rPr>
              <w:t>，而销售量能否企稳是主要因素</w:t>
            </w:r>
            <w:r w:rsidR="002B7FF4" w:rsidRPr="00C03947">
              <w:rPr>
                <w:rFonts w:cs="宋体" w:hint="eastAsia"/>
                <w:b/>
                <w:bCs/>
                <w:sz w:val="18"/>
                <w:szCs w:val="18"/>
              </w:rPr>
              <w:t>。</w:t>
            </w:r>
          </w:p>
        </w:tc>
      </w:tr>
      <w:tr w:rsidR="00FE0E7F">
        <w:trPr>
          <w:cantSplit/>
          <w:trHeight w:val="200"/>
          <w:jc w:val="right"/>
        </w:trPr>
        <w:tc>
          <w:tcPr>
            <w:tcW w:w="7020" w:type="dxa"/>
            <w:tcBorders>
              <w:bottom w:val="single" w:sz="6" w:space="0" w:color="C0C0C0"/>
            </w:tcBorders>
            <w:shd w:val="pct5" w:color="auto" w:fill="FFFFFF"/>
          </w:tcPr>
          <w:p w:rsidR="00FE0E7F" w:rsidRPr="00C77711" w:rsidRDefault="00D26036" w:rsidP="00D26036">
            <w:pPr>
              <w:pStyle w:val="SubTitleLargeTable"/>
              <w:spacing w:after="0" w:line="200" w:lineRule="atLeast"/>
              <w:rPr>
                <w:rFonts w:cs="Times New Roman"/>
              </w:rPr>
            </w:pPr>
            <w:r>
              <w:rPr>
                <w:rFonts w:hint="eastAsia"/>
              </w:rPr>
              <w:t>房地产投资增速和销量同比</w:t>
            </w:r>
            <w:r w:rsidRPr="00C77711">
              <w:rPr>
                <w:rFonts w:cs="Times New Roman"/>
              </w:rPr>
              <w:t xml:space="preserve"> </w:t>
            </w:r>
          </w:p>
        </w:tc>
      </w:tr>
      <w:tr w:rsidR="00FE0E7F" w:rsidTr="00D26036">
        <w:trPr>
          <w:cantSplit/>
          <w:trHeight w:val="2908"/>
          <w:jc w:val="right"/>
        </w:trPr>
        <w:tc>
          <w:tcPr>
            <w:tcW w:w="7020" w:type="dxa"/>
            <w:tcBorders>
              <w:top w:val="single" w:sz="6" w:space="0" w:color="C0C0C0"/>
              <w:bottom w:val="single" w:sz="6" w:space="0" w:color="808080"/>
            </w:tcBorders>
          </w:tcPr>
          <w:p w:rsidR="00FE0E7F" w:rsidRPr="00255057" w:rsidRDefault="002B7FF4" w:rsidP="009A673C">
            <w:pPr>
              <w:pStyle w:val="SourceLarge"/>
              <w:jc w:val="center"/>
              <w:rPr>
                <w:rFonts w:cs="Times New Roman"/>
                <w:lang w:val="en-US"/>
              </w:rPr>
            </w:pPr>
            <w:r>
              <w:rPr>
                <w:rFonts w:cs="Times New Roman"/>
                <w:noProof/>
                <w:lang w:val="en-US"/>
              </w:rPr>
              <w:drawing>
                <wp:inline distT="0" distB="0" distL="0" distR="0">
                  <wp:extent cx="4452851" cy="1676400"/>
                  <wp:effectExtent l="19050" t="0" r="4849" b="0"/>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453255" cy="1676552"/>
                          </a:xfrm>
                          <a:prstGeom prst="rect">
                            <a:avLst/>
                          </a:prstGeom>
                          <a:noFill/>
                          <a:ln w="9525">
                            <a:noFill/>
                            <a:miter lim="800000"/>
                            <a:headEnd/>
                            <a:tailEnd/>
                          </a:ln>
                        </pic:spPr>
                      </pic:pic>
                    </a:graphicData>
                  </a:graphic>
                </wp:inline>
              </w:drawing>
            </w:r>
          </w:p>
        </w:tc>
      </w:tr>
    </w:tbl>
    <w:p w:rsidR="00FE0E7F" w:rsidRDefault="00FE0E7F" w:rsidP="00D26036">
      <w:pPr>
        <w:pStyle w:val="FootnoteNoline"/>
        <w:spacing w:before="0" w:after="0"/>
        <w:ind w:left="2160" w:firstLineChars="1050" w:firstLine="1470"/>
        <w:rPr>
          <w:rFonts w:cs="Times New Roman"/>
        </w:rPr>
      </w:pPr>
      <w:r>
        <w:rPr>
          <w:rFonts w:cs="宋体" w:hint="eastAsia"/>
        </w:rPr>
        <w:t>数据来源：</w:t>
      </w:r>
      <w:r w:rsidR="00D26036">
        <w:rPr>
          <w:rFonts w:hint="eastAsia"/>
        </w:rPr>
        <w:t>Wind</w:t>
      </w:r>
    </w:p>
    <w:tbl>
      <w:tblPr>
        <w:tblW w:w="6787" w:type="dxa"/>
        <w:jc w:val="right"/>
        <w:tblLayout w:type="fixed"/>
        <w:tblCellMar>
          <w:left w:w="0" w:type="dxa"/>
          <w:right w:w="0" w:type="dxa"/>
        </w:tblCellMar>
        <w:tblLook w:val="0000"/>
      </w:tblPr>
      <w:tblGrid>
        <w:gridCol w:w="6787"/>
      </w:tblGrid>
      <w:tr w:rsidR="00FE0E7F" w:rsidTr="00D26036">
        <w:trPr>
          <w:cantSplit/>
          <w:trHeight w:val="165"/>
          <w:jc w:val="right"/>
        </w:trPr>
        <w:tc>
          <w:tcPr>
            <w:tcW w:w="6787" w:type="dxa"/>
          </w:tcPr>
          <w:p w:rsidR="00FE0E7F" w:rsidRDefault="00FE0E7F" w:rsidP="008E234C">
            <w:pPr>
              <w:pStyle w:val="TitleLargeTable"/>
              <w:spacing w:after="0"/>
            </w:pPr>
            <w:r w:rsidRPr="00C03947">
              <w:rPr>
                <w:rFonts w:cs="宋体" w:hint="eastAsia"/>
                <w:b/>
                <w:bCs/>
                <w:sz w:val="18"/>
                <w:szCs w:val="18"/>
              </w:rPr>
              <w:lastRenderedPageBreak/>
              <w:t>图</w:t>
            </w:r>
            <w:r w:rsidR="00C03947">
              <w:rPr>
                <w:rFonts w:cs="宋体" w:hint="eastAsia"/>
                <w:b/>
                <w:bCs/>
                <w:sz w:val="18"/>
                <w:szCs w:val="18"/>
              </w:rPr>
              <w:t>7</w:t>
            </w:r>
            <w:r w:rsidR="00D26036" w:rsidRPr="00C03947">
              <w:rPr>
                <w:rFonts w:cs="宋体" w:hint="eastAsia"/>
                <w:b/>
                <w:bCs/>
                <w:sz w:val="18"/>
                <w:szCs w:val="18"/>
              </w:rPr>
              <w:t xml:space="preserve"> </w:t>
            </w:r>
            <w:r w:rsidR="00D26036" w:rsidRPr="00C03947">
              <w:rPr>
                <w:rFonts w:cs="宋体" w:hint="eastAsia"/>
                <w:b/>
                <w:bCs/>
                <w:sz w:val="18"/>
                <w:szCs w:val="18"/>
              </w:rPr>
              <w:t>中国的出口能够保持正增长但增速将下降至</w:t>
            </w:r>
            <w:r w:rsidR="00D26036" w:rsidRPr="00C03947">
              <w:rPr>
                <w:rFonts w:cs="宋体" w:hint="eastAsia"/>
                <w:b/>
                <w:bCs/>
                <w:sz w:val="18"/>
                <w:szCs w:val="18"/>
              </w:rPr>
              <w:t>5%</w:t>
            </w:r>
            <w:r w:rsidR="00C03947" w:rsidRPr="00C03947">
              <w:rPr>
                <w:rFonts w:cs="宋体" w:hint="eastAsia"/>
                <w:b/>
                <w:bCs/>
                <w:sz w:val="18"/>
                <w:szCs w:val="18"/>
              </w:rPr>
              <w:t>附近</w:t>
            </w:r>
          </w:p>
        </w:tc>
      </w:tr>
      <w:tr w:rsidR="00FE0E7F" w:rsidTr="00D26036">
        <w:trPr>
          <w:cantSplit/>
          <w:trHeight w:val="165"/>
          <w:jc w:val="right"/>
        </w:trPr>
        <w:tc>
          <w:tcPr>
            <w:tcW w:w="6787" w:type="dxa"/>
            <w:tcBorders>
              <w:bottom w:val="single" w:sz="6" w:space="0" w:color="C0C0C0"/>
            </w:tcBorders>
            <w:shd w:val="pct5" w:color="auto" w:fill="FFFFFF"/>
          </w:tcPr>
          <w:p w:rsidR="00FE0E7F" w:rsidRPr="00C77711" w:rsidRDefault="00FE0E7F" w:rsidP="008E234C">
            <w:pPr>
              <w:pStyle w:val="SubTitleLargeTable"/>
              <w:spacing w:after="0" w:line="200" w:lineRule="atLeast"/>
              <w:rPr>
                <w:rFonts w:cs="Times New Roman"/>
              </w:rPr>
            </w:pPr>
            <w:r>
              <w:rPr>
                <w:rFonts w:cs="宋体" w:hint="eastAsia"/>
              </w:rPr>
              <w:t>出口增速</w:t>
            </w:r>
            <w:r w:rsidR="006110E4">
              <w:rPr>
                <w:rFonts w:cs="宋体" w:hint="eastAsia"/>
              </w:rPr>
              <w:t>下降至个位数</w:t>
            </w:r>
            <w:r>
              <w:rPr>
                <w:rFonts w:cs="宋体" w:hint="eastAsia"/>
              </w:rPr>
              <w:t>，但贸易盈余将明显下滑</w:t>
            </w:r>
          </w:p>
        </w:tc>
      </w:tr>
      <w:tr w:rsidR="00FE0E7F" w:rsidTr="00D26036">
        <w:trPr>
          <w:cantSplit/>
          <w:trHeight w:val="3257"/>
          <w:jc w:val="right"/>
        </w:trPr>
        <w:tc>
          <w:tcPr>
            <w:tcW w:w="6787" w:type="dxa"/>
            <w:tcBorders>
              <w:top w:val="single" w:sz="6" w:space="0" w:color="C0C0C0"/>
              <w:bottom w:val="single" w:sz="6" w:space="0" w:color="808080"/>
            </w:tcBorders>
          </w:tcPr>
          <w:p w:rsidR="00FE0E7F" w:rsidRPr="00255057" w:rsidRDefault="00D26036" w:rsidP="008E234C">
            <w:pPr>
              <w:pStyle w:val="SourceLarge"/>
              <w:jc w:val="center"/>
              <w:rPr>
                <w:rFonts w:cs="Times New Roman"/>
                <w:lang w:val="en-US"/>
              </w:rPr>
            </w:pPr>
            <w:r w:rsidRPr="00D26036">
              <w:rPr>
                <w:rFonts w:cs="Times New Roman"/>
                <w:noProof/>
                <w:lang w:val="en-US"/>
              </w:rPr>
              <w:drawing>
                <wp:inline distT="0" distB="0" distL="0" distR="0">
                  <wp:extent cx="3672417" cy="1828800"/>
                  <wp:effectExtent l="19050" t="0" r="4233" b="0"/>
                  <wp:docPr id="48" name="图片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669472" cy="1827334"/>
                          </a:xfrm>
                          <a:prstGeom prst="rect">
                            <a:avLst/>
                          </a:prstGeom>
                          <a:noFill/>
                          <a:ln w="9525">
                            <a:noFill/>
                            <a:miter lim="800000"/>
                            <a:headEnd/>
                            <a:tailEnd/>
                          </a:ln>
                        </pic:spPr>
                      </pic:pic>
                    </a:graphicData>
                  </a:graphic>
                </wp:inline>
              </w:drawing>
            </w:r>
          </w:p>
        </w:tc>
      </w:tr>
    </w:tbl>
    <w:p w:rsidR="00FE0E7F" w:rsidRDefault="00FE0E7F" w:rsidP="00D26036">
      <w:pPr>
        <w:pStyle w:val="FootnoteNoline"/>
        <w:spacing w:before="0" w:after="0"/>
        <w:ind w:left="2160" w:firstLineChars="1150" w:firstLine="1610"/>
        <w:rPr>
          <w:rFonts w:cs="Times New Roman"/>
        </w:rPr>
      </w:pPr>
      <w:r>
        <w:rPr>
          <w:rFonts w:cs="宋体" w:hint="eastAsia"/>
        </w:rPr>
        <w:t>数据来源：</w:t>
      </w:r>
      <w:r>
        <w:t xml:space="preserve"> </w:t>
      </w:r>
      <w:r w:rsidR="00C03947">
        <w:rPr>
          <w:rFonts w:hint="eastAsia"/>
        </w:rPr>
        <w:t>Wind</w:t>
      </w:r>
      <w:r w:rsidRPr="00EA09D3">
        <w:rPr>
          <w:rFonts w:ascii="Times New Roman" w:eastAsia="楷体_GB2312" w:hAnsi="Times New Roman" w:cs="Times New Roman"/>
          <w:b/>
          <w:bCs/>
          <w:color w:val="000000"/>
          <w:kern w:val="24"/>
          <w:sz w:val="18"/>
          <w:szCs w:val="18"/>
          <w:lang w:val="en-US"/>
        </w:rPr>
        <w:t xml:space="preserve"> </w:t>
      </w:r>
    </w:p>
    <w:p w:rsidR="00FE0E7F" w:rsidRPr="006E7F6E" w:rsidRDefault="00FE0E7F" w:rsidP="00C94B1C">
      <w:pPr>
        <w:pStyle w:val="SubTitleLargeTable"/>
        <w:spacing w:after="0" w:line="240" w:lineRule="auto"/>
        <w:ind w:left="2160"/>
        <w:rPr>
          <w:rFonts w:cs="Times New Roman"/>
        </w:rPr>
      </w:pPr>
    </w:p>
    <w:tbl>
      <w:tblPr>
        <w:tblW w:w="7053" w:type="dxa"/>
        <w:jc w:val="right"/>
        <w:tblLayout w:type="fixed"/>
        <w:tblCellMar>
          <w:left w:w="0" w:type="dxa"/>
          <w:right w:w="0" w:type="dxa"/>
        </w:tblCellMar>
        <w:tblLook w:val="0000"/>
      </w:tblPr>
      <w:tblGrid>
        <w:gridCol w:w="7053"/>
      </w:tblGrid>
      <w:tr w:rsidR="00FE0E7F">
        <w:trPr>
          <w:cantSplit/>
          <w:trHeight w:val="200"/>
          <w:jc w:val="right"/>
        </w:trPr>
        <w:tc>
          <w:tcPr>
            <w:tcW w:w="7053" w:type="dxa"/>
          </w:tcPr>
          <w:p w:rsidR="00FE0E7F" w:rsidRDefault="00FE0E7F" w:rsidP="00C03947">
            <w:pPr>
              <w:pStyle w:val="TitleLargeTable"/>
              <w:spacing w:after="0"/>
            </w:pPr>
            <w:r w:rsidRPr="00C03947">
              <w:rPr>
                <w:rFonts w:cs="宋体" w:hint="eastAsia"/>
                <w:b/>
                <w:bCs/>
                <w:sz w:val="18"/>
                <w:szCs w:val="18"/>
              </w:rPr>
              <w:t>图</w:t>
            </w:r>
            <w:r w:rsidR="00C03947">
              <w:rPr>
                <w:rFonts w:cs="宋体" w:hint="eastAsia"/>
                <w:b/>
                <w:bCs/>
                <w:sz w:val="18"/>
                <w:szCs w:val="18"/>
              </w:rPr>
              <w:t>8</w:t>
            </w:r>
            <w:r w:rsidR="00C03947" w:rsidRPr="00C03947">
              <w:rPr>
                <w:rFonts w:cs="宋体" w:hint="eastAsia"/>
                <w:b/>
                <w:bCs/>
                <w:sz w:val="18"/>
                <w:szCs w:val="18"/>
              </w:rPr>
              <w:t>，消费增速能稳定在</w:t>
            </w:r>
            <w:r w:rsidR="00C03947" w:rsidRPr="00C03947">
              <w:rPr>
                <w:rFonts w:cs="宋体" w:hint="eastAsia"/>
                <w:b/>
                <w:bCs/>
                <w:sz w:val="18"/>
                <w:szCs w:val="18"/>
              </w:rPr>
              <w:t>1</w:t>
            </w:r>
            <w:r w:rsidR="00C03947">
              <w:rPr>
                <w:rFonts w:cs="宋体" w:hint="eastAsia"/>
                <w:b/>
                <w:bCs/>
                <w:sz w:val="18"/>
                <w:szCs w:val="18"/>
              </w:rPr>
              <w:t>2</w:t>
            </w:r>
            <w:r w:rsidR="00C03947" w:rsidRPr="00C03947">
              <w:rPr>
                <w:rFonts w:cs="宋体" w:hint="eastAsia"/>
                <w:b/>
                <w:bCs/>
                <w:sz w:val="18"/>
                <w:szCs w:val="18"/>
              </w:rPr>
              <w:t>%</w:t>
            </w:r>
            <w:r w:rsidR="00361846">
              <w:rPr>
                <w:rFonts w:cs="宋体" w:hint="eastAsia"/>
                <w:b/>
                <w:bCs/>
                <w:sz w:val="18"/>
                <w:szCs w:val="18"/>
              </w:rPr>
              <w:t>以上</w:t>
            </w:r>
            <w:r w:rsidR="00C03947">
              <w:rPr>
                <w:rFonts w:cs="宋体" w:hint="eastAsia"/>
                <w:b/>
                <w:bCs/>
                <w:sz w:val="18"/>
                <w:szCs w:val="18"/>
              </w:rPr>
              <w:t>，全年应该在</w:t>
            </w:r>
            <w:r w:rsidR="00C03947">
              <w:rPr>
                <w:rFonts w:cs="宋体" w:hint="eastAsia"/>
                <w:b/>
                <w:bCs/>
                <w:sz w:val="18"/>
                <w:szCs w:val="18"/>
              </w:rPr>
              <w:t>14%</w:t>
            </w:r>
            <w:r w:rsidR="00C03947">
              <w:rPr>
                <w:rFonts w:cs="宋体" w:hint="eastAsia"/>
                <w:b/>
                <w:bCs/>
                <w:sz w:val="18"/>
                <w:szCs w:val="18"/>
              </w:rPr>
              <w:t>附近</w:t>
            </w:r>
          </w:p>
        </w:tc>
      </w:tr>
      <w:tr w:rsidR="00FE0E7F">
        <w:trPr>
          <w:cantSplit/>
          <w:trHeight w:val="200"/>
          <w:jc w:val="right"/>
        </w:trPr>
        <w:tc>
          <w:tcPr>
            <w:tcW w:w="7053" w:type="dxa"/>
            <w:tcBorders>
              <w:bottom w:val="single" w:sz="6" w:space="0" w:color="C0C0C0"/>
            </w:tcBorders>
            <w:shd w:val="pct5" w:color="auto" w:fill="FFFFFF"/>
          </w:tcPr>
          <w:p w:rsidR="00FE0E7F" w:rsidRPr="00C77711" w:rsidRDefault="00C03947" w:rsidP="008E234C">
            <w:pPr>
              <w:pStyle w:val="SubTitleLargeTable"/>
              <w:spacing w:after="0" w:line="200" w:lineRule="atLeast"/>
              <w:rPr>
                <w:rFonts w:cs="Times New Roman"/>
              </w:rPr>
            </w:pPr>
            <w:r>
              <w:rPr>
                <w:rFonts w:cs="宋体" w:hint="eastAsia"/>
              </w:rPr>
              <w:t>最悲观的预计消费增速能够稳定在</w:t>
            </w:r>
            <w:r>
              <w:rPr>
                <w:rFonts w:cs="宋体" w:hint="eastAsia"/>
              </w:rPr>
              <w:t>12%</w:t>
            </w:r>
            <w:r>
              <w:rPr>
                <w:rFonts w:cs="宋体" w:hint="eastAsia"/>
              </w:rPr>
              <w:t>以上</w:t>
            </w:r>
          </w:p>
        </w:tc>
      </w:tr>
      <w:tr w:rsidR="00FE0E7F" w:rsidTr="00361846">
        <w:trPr>
          <w:cantSplit/>
          <w:trHeight w:val="3427"/>
          <w:jc w:val="right"/>
        </w:trPr>
        <w:tc>
          <w:tcPr>
            <w:tcW w:w="7053" w:type="dxa"/>
            <w:tcBorders>
              <w:top w:val="single" w:sz="6" w:space="0" w:color="C0C0C0"/>
              <w:bottom w:val="single" w:sz="6" w:space="0" w:color="808080"/>
            </w:tcBorders>
          </w:tcPr>
          <w:p w:rsidR="00FE0E7F" w:rsidRPr="00255057" w:rsidRDefault="00C03947" w:rsidP="008E234C">
            <w:pPr>
              <w:pStyle w:val="SourceLarge"/>
              <w:jc w:val="center"/>
              <w:rPr>
                <w:rFonts w:cs="Times New Roman"/>
                <w:lang w:val="en-US"/>
              </w:rPr>
            </w:pPr>
            <w:r w:rsidRPr="00C03947">
              <w:rPr>
                <w:rFonts w:cs="Times New Roman"/>
                <w:noProof/>
                <w:lang w:val="en-US"/>
              </w:rPr>
              <w:drawing>
                <wp:inline distT="0" distB="0" distL="0" distR="0">
                  <wp:extent cx="3985683" cy="1997022"/>
                  <wp:effectExtent l="19050" t="0" r="0" b="0"/>
                  <wp:docPr id="49" name="图片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984703" cy="1996531"/>
                          </a:xfrm>
                          <a:prstGeom prst="rect">
                            <a:avLst/>
                          </a:prstGeom>
                          <a:noFill/>
                          <a:ln w="9525">
                            <a:noFill/>
                            <a:miter lim="800000"/>
                            <a:headEnd/>
                            <a:tailEnd/>
                          </a:ln>
                        </pic:spPr>
                      </pic:pic>
                    </a:graphicData>
                  </a:graphic>
                </wp:inline>
              </w:drawing>
            </w:r>
          </w:p>
        </w:tc>
      </w:tr>
    </w:tbl>
    <w:p w:rsidR="00FE0E7F" w:rsidRDefault="00FE0E7F" w:rsidP="00C03947">
      <w:pPr>
        <w:pStyle w:val="FootnoteNoline"/>
        <w:spacing w:before="0" w:after="0"/>
        <w:ind w:left="2160" w:firstLineChars="900" w:firstLine="1260"/>
        <w:rPr>
          <w:rFonts w:cs="Times New Roman"/>
        </w:rPr>
      </w:pPr>
      <w:r>
        <w:rPr>
          <w:rFonts w:cs="宋体" w:hint="eastAsia"/>
        </w:rPr>
        <w:t>数据来源：</w:t>
      </w:r>
      <w:r>
        <w:t xml:space="preserve"> </w:t>
      </w:r>
      <w:r w:rsidR="00C03947">
        <w:rPr>
          <w:rFonts w:hint="eastAsia"/>
        </w:rPr>
        <w:t>Wind</w:t>
      </w:r>
    </w:p>
    <w:p w:rsidR="00FE0E7F" w:rsidRDefault="00FE0E7F" w:rsidP="006E7F6E">
      <w:pPr>
        <w:pStyle w:val="SubTitleLargeTable"/>
        <w:spacing w:after="0" w:line="240" w:lineRule="auto"/>
        <w:ind w:left="2160"/>
        <w:rPr>
          <w:rFonts w:cs="Times New Roman"/>
        </w:rPr>
      </w:pPr>
    </w:p>
    <w:p w:rsidR="00FE0E7F" w:rsidRPr="0012774A" w:rsidRDefault="00FE0E7F" w:rsidP="008B0962">
      <w:pPr>
        <w:pStyle w:val="1"/>
        <w:spacing w:beforeLines="50" w:afterLines="50" w:line="480" w:lineRule="auto"/>
        <w:ind w:left="2160"/>
        <w:rPr>
          <w:rFonts w:ascii="楷体_GB2312" w:eastAsia="楷体_GB2312"/>
          <w:b w:val="0"/>
          <w:bCs w:val="0"/>
          <w:kern w:val="0"/>
        </w:rPr>
      </w:pPr>
      <w:bookmarkStart w:id="13" w:name="_Toc313737742"/>
      <w:r>
        <w:rPr>
          <w:rFonts w:ascii="楷体_GB2312" w:eastAsia="楷体_GB2312" w:hAnsi="宋体" w:cs="楷体_GB2312"/>
          <w:sz w:val="21"/>
          <w:szCs w:val="21"/>
        </w:rPr>
        <w:t>3</w:t>
      </w:r>
      <w:r>
        <w:rPr>
          <w:rFonts w:ascii="楷体_GB2312" w:eastAsia="楷体_GB2312" w:hAnsi="宋体" w:cs="楷体_GB2312" w:hint="eastAsia"/>
          <w:sz w:val="21"/>
          <w:szCs w:val="21"/>
        </w:rPr>
        <w:t>、</w:t>
      </w:r>
      <w:bookmarkEnd w:id="12"/>
      <w:r w:rsidR="00044116">
        <w:rPr>
          <w:rFonts w:ascii="楷体_GB2312" w:eastAsia="楷体_GB2312" w:hAnsi="宋体" w:cs="楷体_GB2312" w:hint="eastAsia"/>
          <w:sz w:val="21"/>
          <w:szCs w:val="21"/>
        </w:rPr>
        <w:t>2012年中国</w:t>
      </w:r>
      <w:r w:rsidR="00361846">
        <w:rPr>
          <w:rFonts w:ascii="楷体_GB2312" w:eastAsia="楷体_GB2312" w:hAnsi="宋体" w:cs="楷体_GB2312" w:hint="eastAsia"/>
          <w:sz w:val="21"/>
          <w:szCs w:val="21"/>
        </w:rPr>
        <w:t>企业盈利如何演绎</w:t>
      </w:r>
      <w:bookmarkEnd w:id="13"/>
    </w:p>
    <w:p w:rsidR="00FE0E7F" w:rsidRDefault="00361846" w:rsidP="0012774A">
      <w:pPr>
        <w:autoSpaceDE w:val="0"/>
        <w:autoSpaceDN w:val="0"/>
        <w:adjustRightInd w:val="0"/>
        <w:spacing w:line="320" w:lineRule="exact"/>
        <w:ind w:left="2160"/>
        <w:jc w:val="left"/>
        <w:rPr>
          <w:rFonts w:ascii="楷体_GB2312" w:eastAsia="楷体_GB2312"/>
          <w:kern w:val="0"/>
        </w:rPr>
      </w:pPr>
      <w:r>
        <w:rPr>
          <w:rFonts w:ascii="楷体_GB2312" w:eastAsia="楷体_GB2312" w:cs="楷体_GB2312" w:hint="eastAsia"/>
          <w:kern w:val="0"/>
        </w:rPr>
        <w:t>基于对经济的判断，我们对企业盈利的判断较为悲观，考虑的宏观经济面面临的下行压力，明年上半年企业盈利增长面临显著下降</w:t>
      </w:r>
      <w:r w:rsidR="00FE0E7F" w:rsidRPr="0012774A">
        <w:rPr>
          <w:rFonts w:ascii="楷体_GB2312" w:eastAsia="楷体_GB2312" w:cs="楷体_GB2312" w:hint="eastAsia"/>
          <w:kern w:val="0"/>
        </w:rPr>
        <w:t>。</w:t>
      </w:r>
    </w:p>
    <w:p w:rsidR="00FE0E7F" w:rsidRPr="00361846" w:rsidRDefault="00FE0E7F" w:rsidP="0012774A">
      <w:pPr>
        <w:autoSpaceDE w:val="0"/>
        <w:autoSpaceDN w:val="0"/>
        <w:adjustRightInd w:val="0"/>
        <w:spacing w:line="320" w:lineRule="exact"/>
        <w:ind w:left="2160"/>
        <w:jc w:val="left"/>
        <w:rPr>
          <w:rFonts w:ascii="楷体_GB2312" w:eastAsia="楷体_GB2312"/>
          <w:kern w:val="0"/>
        </w:rPr>
      </w:pPr>
    </w:p>
    <w:p w:rsidR="00FE0E7F" w:rsidRPr="00B11952" w:rsidRDefault="00361846" w:rsidP="0012774A">
      <w:pPr>
        <w:autoSpaceDE w:val="0"/>
        <w:autoSpaceDN w:val="0"/>
        <w:adjustRightInd w:val="0"/>
        <w:spacing w:line="320" w:lineRule="exact"/>
        <w:ind w:left="2160"/>
        <w:jc w:val="left"/>
        <w:rPr>
          <w:rFonts w:ascii="楷体_GB2312" w:eastAsia="楷体_GB2312"/>
          <w:kern w:val="0"/>
        </w:rPr>
      </w:pPr>
      <w:r>
        <w:rPr>
          <w:rFonts w:ascii="楷体_GB2312" w:eastAsia="楷体_GB2312" w:cs="楷体_GB2312" w:hint="eastAsia"/>
          <w:kern w:val="0"/>
        </w:rPr>
        <w:t>首先，</w:t>
      </w:r>
      <w:r w:rsidR="005C7EBB">
        <w:rPr>
          <w:rFonts w:ascii="楷体_GB2312" w:eastAsia="楷体_GB2312" w:cs="楷体_GB2312" w:hint="eastAsia"/>
          <w:kern w:val="0"/>
        </w:rPr>
        <w:t>企业盈利增速主要由价格和量所决定，价格方面主要来自于PPI指数的变化，而量来自于需求的变化</w:t>
      </w:r>
      <w:r w:rsidR="00044116">
        <w:rPr>
          <w:rFonts w:ascii="楷体_GB2312" w:eastAsia="楷体_GB2312" w:cs="楷体_GB2312" w:hint="eastAsia"/>
          <w:kern w:val="0"/>
        </w:rPr>
        <w:t>，从目前工业企业利润变化来看，价格因素影响已经接近尾声，未来的变化将更多来自于需求的下降，我们判断时间点上二季度初可能是需求下降的开始。明年企业盈利只能保证5%左右的增速。而企业的ROE水平也面临较大的下行压力，从目前的情况看，ROE水平可能回归至均值附近，单季度可能低于均值，也就是说ROE下降3%到12%左右。</w:t>
      </w:r>
    </w:p>
    <w:tbl>
      <w:tblPr>
        <w:tblW w:w="7020" w:type="dxa"/>
        <w:jc w:val="right"/>
        <w:tblLayout w:type="fixed"/>
        <w:tblCellMar>
          <w:left w:w="0" w:type="dxa"/>
          <w:right w:w="0" w:type="dxa"/>
        </w:tblCellMar>
        <w:tblLook w:val="0000"/>
      </w:tblPr>
      <w:tblGrid>
        <w:gridCol w:w="7020"/>
      </w:tblGrid>
      <w:tr w:rsidR="00FE0E7F">
        <w:trPr>
          <w:cantSplit/>
          <w:trHeight w:val="200"/>
          <w:jc w:val="right"/>
        </w:trPr>
        <w:tc>
          <w:tcPr>
            <w:tcW w:w="7020" w:type="dxa"/>
          </w:tcPr>
          <w:p w:rsidR="00FE0E7F" w:rsidRDefault="00FE0E7F" w:rsidP="00361846">
            <w:pPr>
              <w:pStyle w:val="TitleLargeTable"/>
              <w:spacing w:after="0"/>
            </w:pPr>
            <w:r w:rsidRPr="00361846">
              <w:rPr>
                <w:rFonts w:cs="宋体" w:hint="eastAsia"/>
                <w:b/>
                <w:bCs/>
                <w:sz w:val="18"/>
                <w:szCs w:val="18"/>
              </w:rPr>
              <w:lastRenderedPageBreak/>
              <w:t>图</w:t>
            </w:r>
            <w:r w:rsidR="00361846" w:rsidRPr="00361846">
              <w:rPr>
                <w:rFonts w:cs="宋体" w:hint="eastAsia"/>
                <w:b/>
                <w:bCs/>
                <w:sz w:val="18"/>
                <w:szCs w:val="18"/>
              </w:rPr>
              <w:t>9</w:t>
            </w:r>
            <w:r w:rsidR="00361846" w:rsidRPr="00361846">
              <w:rPr>
                <w:rFonts w:cs="宋体" w:hint="eastAsia"/>
                <w:b/>
                <w:bCs/>
                <w:sz w:val="18"/>
                <w:szCs w:val="18"/>
              </w:rPr>
              <w:t>，企业盈利增速下行趋势明显，</w:t>
            </w:r>
          </w:p>
        </w:tc>
      </w:tr>
      <w:tr w:rsidR="00FE0E7F">
        <w:trPr>
          <w:cantSplit/>
          <w:trHeight w:val="200"/>
          <w:jc w:val="right"/>
        </w:trPr>
        <w:tc>
          <w:tcPr>
            <w:tcW w:w="7020" w:type="dxa"/>
            <w:tcBorders>
              <w:bottom w:val="single" w:sz="6" w:space="0" w:color="C0C0C0"/>
            </w:tcBorders>
            <w:shd w:val="pct5" w:color="auto" w:fill="FFFFFF"/>
          </w:tcPr>
          <w:p w:rsidR="00FE0E7F" w:rsidRPr="00C77711" w:rsidRDefault="00FE0E7F" w:rsidP="00361846">
            <w:pPr>
              <w:pStyle w:val="SubTitleLargeTable"/>
              <w:spacing w:after="0" w:line="200" w:lineRule="atLeast"/>
              <w:rPr>
                <w:rFonts w:cs="Times New Roman"/>
              </w:rPr>
            </w:pPr>
            <w:r w:rsidRPr="005243F2">
              <w:rPr>
                <w:rFonts w:cs="宋体" w:hint="eastAsia"/>
              </w:rPr>
              <w:t>全国规模以上工业企业</w:t>
            </w:r>
            <w:r w:rsidR="00361846">
              <w:rPr>
                <w:rFonts w:cs="宋体" w:hint="eastAsia"/>
              </w:rPr>
              <w:t>利润增速同比</w:t>
            </w:r>
          </w:p>
        </w:tc>
      </w:tr>
      <w:tr w:rsidR="00FE0E7F">
        <w:trPr>
          <w:cantSplit/>
          <w:trHeight w:val="2975"/>
          <w:jc w:val="right"/>
        </w:trPr>
        <w:tc>
          <w:tcPr>
            <w:tcW w:w="7020" w:type="dxa"/>
            <w:tcBorders>
              <w:top w:val="single" w:sz="6" w:space="0" w:color="C0C0C0"/>
              <w:bottom w:val="single" w:sz="6" w:space="0" w:color="808080"/>
            </w:tcBorders>
          </w:tcPr>
          <w:p w:rsidR="00FE0E7F" w:rsidRPr="00255057" w:rsidRDefault="00361846" w:rsidP="00866F45">
            <w:pPr>
              <w:pStyle w:val="SourceLarge"/>
              <w:jc w:val="center"/>
              <w:rPr>
                <w:rFonts w:cs="Times New Roman"/>
                <w:lang w:val="en-US"/>
              </w:rPr>
            </w:pPr>
            <w:r>
              <w:rPr>
                <w:rFonts w:cs="Times New Roman"/>
                <w:noProof/>
                <w:lang w:val="en-US"/>
              </w:rPr>
              <w:drawing>
                <wp:inline distT="0" distB="0" distL="0" distR="0">
                  <wp:extent cx="4453255" cy="1710055"/>
                  <wp:effectExtent l="19050" t="0" r="4445" b="0"/>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453255" cy="1710055"/>
                          </a:xfrm>
                          <a:prstGeom prst="rect">
                            <a:avLst/>
                          </a:prstGeom>
                          <a:noFill/>
                          <a:ln w="9525">
                            <a:noFill/>
                            <a:miter lim="800000"/>
                            <a:headEnd/>
                            <a:tailEnd/>
                          </a:ln>
                        </pic:spPr>
                      </pic:pic>
                    </a:graphicData>
                  </a:graphic>
                </wp:inline>
              </w:drawing>
            </w:r>
          </w:p>
        </w:tc>
      </w:tr>
    </w:tbl>
    <w:p w:rsidR="00FE0E7F" w:rsidRDefault="00FE0E7F" w:rsidP="00361846">
      <w:pPr>
        <w:pStyle w:val="FootnoteNoline"/>
        <w:spacing w:before="0" w:after="0"/>
        <w:ind w:left="2160" w:firstLineChars="950" w:firstLine="1330"/>
      </w:pPr>
      <w:r>
        <w:rPr>
          <w:rFonts w:cs="宋体" w:hint="eastAsia"/>
        </w:rPr>
        <w:t>数据来源：</w:t>
      </w:r>
      <w:r>
        <w:t>Wind</w:t>
      </w:r>
    </w:p>
    <w:p w:rsidR="00FE0E7F" w:rsidRDefault="00FE0E7F" w:rsidP="007E58DB">
      <w:pPr>
        <w:pStyle w:val="SubTitleLargeTable"/>
        <w:ind w:left="2160"/>
        <w:rPr>
          <w:rFonts w:cs="Times New Roman"/>
        </w:rPr>
      </w:pPr>
    </w:p>
    <w:tbl>
      <w:tblPr>
        <w:tblW w:w="7020" w:type="dxa"/>
        <w:jc w:val="right"/>
        <w:tblLayout w:type="fixed"/>
        <w:tblCellMar>
          <w:left w:w="0" w:type="dxa"/>
          <w:right w:w="0" w:type="dxa"/>
        </w:tblCellMar>
        <w:tblLook w:val="0000"/>
      </w:tblPr>
      <w:tblGrid>
        <w:gridCol w:w="7020"/>
      </w:tblGrid>
      <w:tr w:rsidR="00044116" w:rsidTr="00044116">
        <w:trPr>
          <w:cantSplit/>
          <w:trHeight w:val="200"/>
          <w:jc w:val="right"/>
        </w:trPr>
        <w:tc>
          <w:tcPr>
            <w:tcW w:w="7020" w:type="dxa"/>
          </w:tcPr>
          <w:p w:rsidR="00044116" w:rsidRDefault="00044116" w:rsidP="00044116">
            <w:pPr>
              <w:pStyle w:val="TitleLargeTable"/>
              <w:spacing w:after="0"/>
            </w:pPr>
            <w:r w:rsidRPr="00361846">
              <w:rPr>
                <w:rFonts w:cs="宋体" w:hint="eastAsia"/>
                <w:b/>
                <w:bCs/>
                <w:sz w:val="18"/>
                <w:szCs w:val="18"/>
              </w:rPr>
              <w:t>图</w:t>
            </w:r>
            <w:r w:rsidRPr="00361846">
              <w:rPr>
                <w:rFonts w:cs="宋体" w:hint="eastAsia"/>
                <w:b/>
                <w:bCs/>
                <w:sz w:val="18"/>
                <w:szCs w:val="18"/>
              </w:rPr>
              <w:t>9</w:t>
            </w:r>
            <w:r w:rsidRPr="00361846">
              <w:rPr>
                <w:rFonts w:cs="宋体" w:hint="eastAsia"/>
                <w:b/>
                <w:bCs/>
                <w:sz w:val="18"/>
                <w:szCs w:val="18"/>
              </w:rPr>
              <w:t>，</w:t>
            </w:r>
            <w:r>
              <w:rPr>
                <w:rFonts w:cs="宋体" w:hint="eastAsia"/>
                <w:b/>
                <w:bCs/>
                <w:sz w:val="18"/>
                <w:szCs w:val="18"/>
              </w:rPr>
              <w:t>企业的</w:t>
            </w:r>
            <w:r>
              <w:rPr>
                <w:rFonts w:cs="宋体" w:hint="eastAsia"/>
                <w:b/>
                <w:bCs/>
                <w:sz w:val="18"/>
                <w:szCs w:val="18"/>
              </w:rPr>
              <w:t>ROE</w:t>
            </w:r>
            <w:r>
              <w:rPr>
                <w:rFonts w:cs="宋体" w:hint="eastAsia"/>
                <w:b/>
                <w:bCs/>
                <w:sz w:val="18"/>
                <w:szCs w:val="18"/>
              </w:rPr>
              <w:t>水平受到收入下降影响将显著回落</w:t>
            </w:r>
          </w:p>
        </w:tc>
      </w:tr>
      <w:tr w:rsidR="00044116" w:rsidTr="00044116">
        <w:trPr>
          <w:cantSplit/>
          <w:trHeight w:val="200"/>
          <w:jc w:val="right"/>
        </w:trPr>
        <w:tc>
          <w:tcPr>
            <w:tcW w:w="7020" w:type="dxa"/>
            <w:tcBorders>
              <w:bottom w:val="single" w:sz="6" w:space="0" w:color="C0C0C0"/>
            </w:tcBorders>
            <w:shd w:val="pct5" w:color="auto" w:fill="FFFFFF"/>
          </w:tcPr>
          <w:p w:rsidR="00044116" w:rsidRPr="00C77711" w:rsidRDefault="006110E4" w:rsidP="00044116">
            <w:pPr>
              <w:pStyle w:val="SubTitleLargeTable"/>
              <w:spacing w:after="0" w:line="200" w:lineRule="atLeast"/>
              <w:rPr>
                <w:rFonts w:cs="Times New Roman"/>
              </w:rPr>
            </w:pPr>
            <w:r>
              <w:rPr>
                <w:rFonts w:cs="宋体" w:hint="eastAsia"/>
              </w:rPr>
              <w:t>A</w:t>
            </w:r>
            <w:r>
              <w:rPr>
                <w:rFonts w:cs="宋体" w:hint="eastAsia"/>
              </w:rPr>
              <w:t>股市场</w:t>
            </w:r>
            <w:r>
              <w:rPr>
                <w:rFonts w:cs="宋体" w:hint="eastAsia"/>
              </w:rPr>
              <w:t>ROE</w:t>
            </w:r>
            <w:r>
              <w:rPr>
                <w:rFonts w:cs="宋体" w:hint="eastAsia"/>
              </w:rPr>
              <w:t>水平持续下降</w:t>
            </w:r>
          </w:p>
        </w:tc>
      </w:tr>
      <w:tr w:rsidR="00044116" w:rsidTr="00044116">
        <w:trPr>
          <w:cantSplit/>
          <w:trHeight w:val="2975"/>
          <w:jc w:val="right"/>
        </w:trPr>
        <w:tc>
          <w:tcPr>
            <w:tcW w:w="7020" w:type="dxa"/>
            <w:tcBorders>
              <w:top w:val="single" w:sz="6" w:space="0" w:color="C0C0C0"/>
              <w:bottom w:val="single" w:sz="6" w:space="0" w:color="808080"/>
            </w:tcBorders>
          </w:tcPr>
          <w:p w:rsidR="00044116" w:rsidRPr="00255057" w:rsidRDefault="00044116" w:rsidP="00044116">
            <w:pPr>
              <w:pStyle w:val="SourceLarge"/>
              <w:jc w:val="center"/>
              <w:rPr>
                <w:rFonts w:cs="Times New Roman"/>
                <w:lang w:val="en-US"/>
              </w:rPr>
            </w:pPr>
            <w:r w:rsidRPr="00044116">
              <w:rPr>
                <w:rFonts w:cs="Times New Roman"/>
                <w:noProof/>
                <w:lang w:val="en-US"/>
              </w:rPr>
              <w:drawing>
                <wp:inline distT="0" distB="0" distL="0" distR="0">
                  <wp:extent cx="3867150" cy="2032000"/>
                  <wp:effectExtent l="19050" t="0" r="19050" b="6350"/>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044116" w:rsidRDefault="00044116" w:rsidP="00044116">
      <w:pPr>
        <w:pStyle w:val="FootnoteNoline"/>
        <w:spacing w:before="0" w:after="0"/>
        <w:ind w:left="2160" w:firstLineChars="950" w:firstLine="1330"/>
      </w:pPr>
      <w:r>
        <w:rPr>
          <w:rFonts w:cs="宋体" w:hint="eastAsia"/>
        </w:rPr>
        <w:t>数据来源：</w:t>
      </w:r>
      <w:r>
        <w:t>Wind</w:t>
      </w:r>
    </w:p>
    <w:p w:rsidR="00044116" w:rsidRDefault="00044116" w:rsidP="007E58DB">
      <w:pPr>
        <w:pStyle w:val="SubTitleLargeTable"/>
        <w:ind w:left="2160"/>
        <w:rPr>
          <w:rFonts w:cs="Times New Roman"/>
        </w:rPr>
      </w:pPr>
    </w:p>
    <w:p w:rsidR="00FE0E7F" w:rsidRDefault="00FE0E7F" w:rsidP="008B0962">
      <w:pPr>
        <w:pStyle w:val="1"/>
        <w:spacing w:beforeLines="50" w:afterLines="50" w:line="480" w:lineRule="auto"/>
        <w:ind w:left="2160"/>
        <w:rPr>
          <w:rFonts w:ascii="楷体_GB2312" w:eastAsia="楷体_GB2312" w:hAnsi="宋体"/>
          <w:sz w:val="21"/>
          <w:szCs w:val="21"/>
        </w:rPr>
      </w:pPr>
      <w:bookmarkStart w:id="14" w:name="_Toc253644147"/>
      <w:bookmarkStart w:id="15" w:name="_Toc253644217"/>
      <w:bookmarkStart w:id="16" w:name="_Toc253644379"/>
      <w:bookmarkStart w:id="17" w:name="_Toc313737743"/>
      <w:r>
        <w:rPr>
          <w:rFonts w:ascii="楷体_GB2312" w:eastAsia="楷体_GB2312" w:hAnsi="宋体" w:cs="楷体_GB2312" w:hint="eastAsia"/>
          <w:sz w:val="21"/>
          <w:szCs w:val="21"/>
        </w:rPr>
        <w:t>二、</w:t>
      </w:r>
      <w:bookmarkEnd w:id="14"/>
      <w:bookmarkEnd w:id="15"/>
      <w:bookmarkEnd w:id="16"/>
      <w:r w:rsidR="00044116">
        <w:rPr>
          <w:rFonts w:ascii="楷体_GB2312" w:eastAsia="楷体_GB2312" w:hAnsi="宋体" w:cs="楷体_GB2312" w:hint="eastAsia"/>
          <w:sz w:val="21"/>
          <w:szCs w:val="21"/>
        </w:rPr>
        <w:t>流动性和美元将是主导明年市场的主要因素</w:t>
      </w:r>
      <w:bookmarkEnd w:id="17"/>
    </w:p>
    <w:p w:rsidR="00FE0E7F" w:rsidRPr="00083299" w:rsidRDefault="00044116" w:rsidP="00D34B31">
      <w:pPr>
        <w:tabs>
          <w:tab w:val="num" w:pos="720"/>
        </w:tabs>
        <w:autoSpaceDE w:val="0"/>
        <w:autoSpaceDN w:val="0"/>
        <w:adjustRightInd w:val="0"/>
        <w:spacing w:line="320" w:lineRule="exact"/>
        <w:ind w:left="2160"/>
        <w:jc w:val="left"/>
        <w:rPr>
          <w:rFonts w:ascii="楷体_GB2312" w:eastAsia="楷体_GB2312"/>
          <w:kern w:val="0"/>
        </w:rPr>
      </w:pPr>
      <w:r>
        <w:rPr>
          <w:rFonts w:ascii="楷体_GB2312" w:eastAsia="楷体_GB2312" w:cs="楷体_GB2312" w:hint="eastAsia"/>
          <w:kern w:val="0"/>
        </w:rPr>
        <w:t>如同2011年通胀对市场的主导作用一样，我们认为2012年美元的变化对市场将产生同样的主导作用。</w:t>
      </w:r>
      <w:r w:rsidRPr="00083299">
        <w:rPr>
          <w:rFonts w:ascii="楷体_GB2312" w:eastAsia="楷体_GB2312"/>
          <w:kern w:val="0"/>
        </w:rPr>
        <w:t xml:space="preserve"> </w:t>
      </w:r>
    </w:p>
    <w:p w:rsidR="00FE0E7F" w:rsidRPr="0036734B" w:rsidRDefault="00FE0E7F" w:rsidP="008B0962">
      <w:pPr>
        <w:pStyle w:val="1"/>
        <w:spacing w:beforeLines="50" w:afterLines="50" w:line="480" w:lineRule="auto"/>
        <w:ind w:left="2160"/>
        <w:rPr>
          <w:rFonts w:ascii="楷体_GB2312" w:eastAsia="楷体_GB2312" w:hAnsi="宋体"/>
          <w:sz w:val="21"/>
          <w:szCs w:val="21"/>
        </w:rPr>
      </w:pPr>
      <w:bookmarkStart w:id="18" w:name="_Toc253644148"/>
      <w:bookmarkStart w:id="19" w:name="_Toc253644218"/>
      <w:bookmarkStart w:id="20" w:name="_Toc253644380"/>
      <w:bookmarkStart w:id="21" w:name="_Toc313737744"/>
      <w:r w:rsidRPr="0036734B">
        <w:rPr>
          <w:rFonts w:ascii="楷体_GB2312" w:eastAsia="楷体_GB2312" w:hAnsi="宋体" w:cs="楷体_GB2312"/>
          <w:sz w:val="21"/>
          <w:szCs w:val="21"/>
        </w:rPr>
        <w:t>1</w:t>
      </w:r>
      <w:r w:rsidRPr="0036734B">
        <w:rPr>
          <w:rFonts w:ascii="楷体_GB2312" w:eastAsia="楷体_GB2312" w:hAnsi="宋体" w:cs="楷体_GB2312" w:hint="eastAsia"/>
          <w:sz w:val="21"/>
          <w:szCs w:val="21"/>
        </w:rPr>
        <w:t>、</w:t>
      </w:r>
      <w:bookmarkEnd w:id="18"/>
      <w:bookmarkEnd w:id="19"/>
      <w:bookmarkEnd w:id="20"/>
      <w:r w:rsidR="00044116">
        <w:rPr>
          <w:rFonts w:ascii="楷体_GB2312" w:eastAsia="楷体_GB2312" w:hAnsi="宋体" w:cs="楷体_GB2312" w:hint="eastAsia"/>
          <w:sz w:val="21"/>
          <w:szCs w:val="21"/>
        </w:rPr>
        <w:t>外汇占款能否正增长</w:t>
      </w:r>
      <w:bookmarkEnd w:id="21"/>
    </w:p>
    <w:p w:rsidR="00FE0E7F" w:rsidRPr="003649AC" w:rsidRDefault="00044116" w:rsidP="003649AC">
      <w:pPr>
        <w:tabs>
          <w:tab w:val="num" w:pos="720"/>
        </w:tabs>
        <w:autoSpaceDE w:val="0"/>
        <w:autoSpaceDN w:val="0"/>
        <w:adjustRightInd w:val="0"/>
        <w:spacing w:line="320" w:lineRule="exact"/>
        <w:ind w:left="2160"/>
        <w:jc w:val="left"/>
      </w:pPr>
      <w:r>
        <w:rPr>
          <w:rFonts w:ascii="楷体_GB2312" w:eastAsia="楷体_GB2312" w:cs="楷体_GB2312" w:hint="eastAsia"/>
          <w:kern w:val="0"/>
        </w:rPr>
        <w:t>我们都知道，主导我们基础货币增长的主要因素就是外汇占款的变化，在过去10年我们的外汇占款一直保持了稳定增长的趋势。</w:t>
      </w:r>
      <w:r w:rsidR="006B5AAC">
        <w:rPr>
          <w:rFonts w:ascii="楷体_GB2312" w:eastAsia="楷体_GB2312" w:cs="楷体_GB2312" w:hint="eastAsia"/>
          <w:kern w:val="0"/>
        </w:rPr>
        <w:t>外汇占款为国内的投资和消费提供了大量的</w:t>
      </w:r>
      <w:r w:rsidR="006110E4">
        <w:rPr>
          <w:rFonts w:ascii="楷体_GB2312" w:eastAsia="楷体_GB2312" w:cs="楷体_GB2312" w:hint="eastAsia"/>
          <w:kern w:val="0"/>
        </w:rPr>
        <w:t>供给</w:t>
      </w:r>
      <w:r w:rsidR="006B5AAC">
        <w:rPr>
          <w:rFonts w:ascii="楷体_GB2312" w:eastAsia="楷体_GB2312" w:cs="楷体_GB2312" w:hint="eastAsia"/>
          <w:kern w:val="0"/>
        </w:rPr>
        <w:t>和需求。同时外汇占款也为银行提供了大量的可贷资金</w:t>
      </w:r>
      <w:r w:rsidR="00FC4D32">
        <w:rPr>
          <w:rFonts w:ascii="楷体_GB2312" w:eastAsia="楷体_GB2312" w:cs="楷体_GB2312" w:hint="eastAsia"/>
          <w:kern w:val="0"/>
        </w:rPr>
        <w:t>，</w:t>
      </w:r>
      <w:r w:rsidR="006B5AAC">
        <w:rPr>
          <w:rFonts w:ascii="楷体_GB2312" w:eastAsia="楷体_GB2312" w:cs="楷体_GB2312" w:hint="eastAsia"/>
          <w:kern w:val="0"/>
        </w:rPr>
        <w:t>明年外汇占款能否正增长是决定经济波动的主要因素</w:t>
      </w:r>
      <w:r w:rsidR="006110E4">
        <w:rPr>
          <w:rFonts w:ascii="楷体_GB2312" w:eastAsia="楷体_GB2312" w:cs="楷体_GB2312" w:hint="eastAsia"/>
          <w:kern w:val="0"/>
        </w:rPr>
        <w:t>。</w:t>
      </w:r>
    </w:p>
    <w:p w:rsidR="00FE0E7F" w:rsidRPr="006B5AAC" w:rsidRDefault="00FE0E7F" w:rsidP="003649AC"/>
    <w:tbl>
      <w:tblPr>
        <w:tblW w:w="9360" w:type="dxa"/>
        <w:tblInd w:w="559" w:type="dxa"/>
        <w:tblLayout w:type="fixed"/>
        <w:tblCellMar>
          <w:left w:w="0" w:type="dxa"/>
          <w:right w:w="0" w:type="dxa"/>
        </w:tblCellMar>
        <w:tblLook w:val="0000"/>
      </w:tblPr>
      <w:tblGrid>
        <w:gridCol w:w="4500"/>
        <w:gridCol w:w="360"/>
        <w:gridCol w:w="4500"/>
      </w:tblGrid>
      <w:tr w:rsidR="00FE0E7F" w:rsidTr="00044116">
        <w:trPr>
          <w:cantSplit/>
          <w:trHeight w:val="275"/>
        </w:trPr>
        <w:tc>
          <w:tcPr>
            <w:tcW w:w="4500" w:type="dxa"/>
          </w:tcPr>
          <w:p w:rsidR="00FE0E7F" w:rsidRDefault="00FE0E7F" w:rsidP="006B5AAC">
            <w:pPr>
              <w:pStyle w:val="TitleLargeTable"/>
              <w:spacing w:after="0"/>
            </w:pPr>
            <w:r>
              <w:rPr>
                <w:rFonts w:cs="宋体" w:hint="eastAsia"/>
              </w:rPr>
              <w:lastRenderedPageBreak/>
              <w:t>图</w:t>
            </w:r>
            <w:r w:rsidR="006B5AAC">
              <w:t xml:space="preserve"> </w:t>
            </w:r>
            <w:r w:rsidR="006B5AAC">
              <w:rPr>
                <w:rFonts w:hint="eastAsia"/>
              </w:rPr>
              <w:t xml:space="preserve">10  </w:t>
            </w:r>
          </w:p>
        </w:tc>
        <w:tc>
          <w:tcPr>
            <w:tcW w:w="360" w:type="dxa"/>
          </w:tcPr>
          <w:p w:rsidR="00FE0E7F" w:rsidRDefault="00FE0E7F" w:rsidP="001F6679">
            <w:pPr>
              <w:spacing w:line="200" w:lineRule="atLeast"/>
              <w:jc w:val="center"/>
            </w:pPr>
          </w:p>
        </w:tc>
        <w:tc>
          <w:tcPr>
            <w:tcW w:w="4500" w:type="dxa"/>
          </w:tcPr>
          <w:p w:rsidR="00FE0E7F" w:rsidRDefault="00905DE5" w:rsidP="00D34B31">
            <w:pPr>
              <w:pStyle w:val="TitleLargeTable"/>
              <w:spacing w:after="0"/>
              <w:rPr>
                <w:rFonts w:cs="Times New Roman"/>
              </w:rPr>
            </w:pPr>
            <w:r>
              <w:rPr>
                <w:rFonts w:cs="Times New Roman" w:hint="eastAsia"/>
              </w:rPr>
              <w:t>图</w:t>
            </w:r>
            <w:r>
              <w:rPr>
                <w:rFonts w:cs="Times New Roman" w:hint="eastAsia"/>
              </w:rPr>
              <w:t>11</w:t>
            </w:r>
          </w:p>
        </w:tc>
      </w:tr>
      <w:tr w:rsidR="00FE0E7F" w:rsidTr="00044116">
        <w:trPr>
          <w:cantSplit/>
          <w:trHeight w:val="200"/>
        </w:trPr>
        <w:tc>
          <w:tcPr>
            <w:tcW w:w="4500" w:type="dxa"/>
          </w:tcPr>
          <w:p w:rsidR="00FE0E7F" w:rsidRPr="006354BD" w:rsidRDefault="006B5AAC" w:rsidP="001F6679">
            <w:pPr>
              <w:pStyle w:val="SubTitleLargeTable"/>
              <w:pBdr>
                <w:bottom w:val="single" w:sz="6" w:space="1" w:color="C0C0C0"/>
              </w:pBdr>
              <w:shd w:val="pct5" w:color="auto" w:fill="FFFFFF"/>
              <w:rPr>
                <w:rFonts w:ascii="宋体" w:cs="Times New Roman"/>
              </w:rPr>
            </w:pPr>
            <w:r>
              <w:rPr>
                <w:rFonts w:ascii="宋体" w:hAnsi="宋体" w:cs="宋体" w:hint="eastAsia"/>
              </w:rPr>
              <w:t>基础货币的增加基本来自于外汇占款</w:t>
            </w:r>
          </w:p>
        </w:tc>
        <w:tc>
          <w:tcPr>
            <w:tcW w:w="360" w:type="dxa"/>
          </w:tcPr>
          <w:p w:rsidR="00FE0E7F" w:rsidRPr="000C3FB8" w:rsidRDefault="00FE0E7F" w:rsidP="001F6679">
            <w:pPr>
              <w:spacing w:line="200" w:lineRule="atLeast"/>
              <w:jc w:val="center"/>
              <w:rPr>
                <w:rFonts w:ascii="楷体_GB2312" w:eastAsia="楷体_GB2312"/>
              </w:rPr>
            </w:pPr>
          </w:p>
        </w:tc>
        <w:tc>
          <w:tcPr>
            <w:tcW w:w="4500" w:type="dxa"/>
          </w:tcPr>
          <w:p w:rsidR="00FE0E7F" w:rsidRPr="006354BD" w:rsidRDefault="006B5AAC" w:rsidP="001F6679">
            <w:pPr>
              <w:pStyle w:val="SubTitleLargeTable"/>
              <w:pBdr>
                <w:bottom w:val="single" w:sz="6" w:space="1" w:color="C0C0C0"/>
              </w:pBdr>
              <w:shd w:val="pct5" w:color="auto" w:fill="FFFFFF"/>
              <w:rPr>
                <w:rFonts w:ascii="宋体" w:cs="Times New Roman"/>
              </w:rPr>
            </w:pPr>
            <w:r>
              <w:rPr>
                <w:rFonts w:ascii="宋体" w:cs="Times New Roman" w:hint="eastAsia"/>
              </w:rPr>
              <w:t>人民币实际汇率存在升值压力</w:t>
            </w:r>
          </w:p>
        </w:tc>
      </w:tr>
      <w:tr w:rsidR="00FE0E7F" w:rsidTr="00044116">
        <w:trPr>
          <w:cantSplit/>
          <w:trHeight w:val="2925"/>
        </w:trPr>
        <w:tc>
          <w:tcPr>
            <w:tcW w:w="4500" w:type="dxa"/>
            <w:tcBorders>
              <w:bottom w:val="single" w:sz="6" w:space="0" w:color="808080"/>
            </w:tcBorders>
          </w:tcPr>
          <w:p w:rsidR="00FE0E7F" w:rsidRPr="009F0D17" w:rsidRDefault="006B5AAC" w:rsidP="001F6679">
            <w:pPr>
              <w:spacing w:line="200" w:lineRule="atLeast"/>
              <w:jc w:val="center"/>
            </w:pPr>
            <w:r>
              <w:rPr>
                <w:noProof/>
              </w:rPr>
              <w:drawing>
                <wp:inline distT="0" distB="0" distL="0" distR="0">
                  <wp:extent cx="2853055" cy="1498600"/>
                  <wp:effectExtent l="19050" t="0" r="4445" b="0"/>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853055" cy="1498600"/>
                          </a:xfrm>
                          <a:prstGeom prst="rect">
                            <a:avLst/>
                          </a:prstGeom>
                          <a:noFill/>
                          <a:ln w="9525">
                            <a:noFill/>
                            <a:miter lim="800000"/>
                            <a:headEnd/>
                            <a:tailEnd/>
                          </a:ln>
                        </pic:spPr>
                      </pic:pic>
                    </a:graphicData>
                  </a:graphic>
                </wp:inline>
              </w:drawing>
            </w:r>
          </w:p>
        </w:tc>
        <w:tc>
          <w:tcPr>
            <w:tcW w:w="360" w:type="dxa"/>
          </w:tcPr>
          <w:p w:rsidR="00FE0E7F" w:rsidRDefault="00FE0E7F" w:rsidP="001F6679">
            <w:pPr>
              <w:spacing w:line="200" w:lineRule="atLeast"/>
              <w:jc w:val="center"/>
            </w:pPr>
          </w:p>
        </w:tc>
        <w:tc>
          <w:tcPr>
            <w:tcW w:w="4500" w:type="dxa"/>
            <w:tcBorders>
              <w:bottom w:val="single" w:sz="6" w:space="0" w:color="808080"/>
            </w:tcBorders>
          </w:tcPr>
          <w:p w:rsidR="00FE0E7F" w:rsidRPr="00482F40" w:rsidRDefault="006B5AAC" w:rsidP="001F6679">
            <w:pPr>
              <w:spacing w:line="200" w:lineRule="atLeast"/>
              <w:jc w:val="center"/>
            </w:pPr>
            <w:r w:rsidRPr="006B5AAC">
              <w:rPr>
                <w:noProof/>
              </w:rPr>
              <w:drawing>
                <wp:inline distT="0" distB="0" distL="0" distR="0">
                  <wp:extent cx="2758016" cy="1566333"/>
                  <wp:effectExtent l="19050" t="0" r="4234" b="0"/>
                  <wp:docPr id="55" name="图片 4"/>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755803" cy="1565076"/>
                          </a:xfrm>
                          <a:prstGeom prst="rect">
                            <a:avLst/>
                          </a:prstGeom>
                          <a:noFill/>
                          <a:ln w="9525">
                            <a:noFill/>
                            <a:miter lim="800000"/>
                            <a:headEnd/>
                            <a:tailEnd/>
                          </a:ln>
                        </pic:spPr>
                      </pic:pic>
                    </a:graphicData>
                  </a:graphic>
                </wp:inline>
              </w:drawing>
            </w:r>
          </w:p>
        </w:tc>
      </w:tr>
    </w:tbl>
    <w:p w:rsidR="00FE0E7F" w:rsidRDefault="00FE0E7F" w:rsidP="006B5AAC">
      <w:pPr>
        <w:pStyle w:val="FootnoteNoline"/>
        <w:spacing w:before="0" w:after="0"/>
        <w:ind w:left="0" w:rightChars="-85" w:right="-178" w:firstLineChars="500" w:firstLine="700"/>
        <w:rPr>
          <w:rFonts w:cs="Times New Roman"/>
        </w:rPr>
      </w:pPr>
      <w:r>
        <w:rPr>
          <w:rFonts w:cs="宋体" w:hint="eastAsia"/>
        </w:rPr>
        <w:t>数据来源：</w:t>
      </w:r>
      <w:r w:rsidR="006B5AAC">
        <w:rPr>
          <w:rFonts w:cs="宋体" w:hint="eastAsia"/>
        </w:rPr>
        <w:t>Wind</w:t>
      </w:r>
    </w:p>
    <w:p w:rsidR="00FE0E7F" w:rsidRDefault="00FE0E7F" w:rsidP="001A2DBE">
      <w:pPr>
        <w:pStyle w:val="SubTitleLargeTable"/>
        <w:ind w:rightChars="-85" w:right="-178"/>
        <w:rPr>
          <w:rFonts w:cs="Times New Roman"/>
        </w:rPr>
      </w:pPr>
    </w:p>
    <w:p w:rsidR="00FE0E7F" w:rsidRPr="002C669D" w:rsidRDefault="00FE0E7F" w:rsidP="008B0962">
      <w:pPr>
        <w:pStyle w:val="1"/>
        <w:spacing w:beforeLines="50" w:afterLines="50" w:line="480" w:lineRule="auto"/>
        <w:ind w:left="2160"/>
        <w:rPr>
          <w:rFonts w:ascii="楷体_GB2312" w:eastAsia="楷体_GB2312" w:hAnsi="宋体"/>
          <w:sz w:val="21"/>
          <w:szCs w:val="21"/>
        </w:rPr>
      </w:pPr>
      <w:bookmarkStart w:id="22" w:name="_Toc253644381"/>
      <w:bookmarkStart w:id="23" w:name="_Toc313737745"/>
      <w:r w:rsidRPr="002C669D">
        <w:rPr>
          <w:rFonts w:ascii="楷体_GB2312" w:eastAsia="楷体_GB2312" w:hAnsi="宋体" w:cs="楷体_GB2312"/>
          <w:sz w:val="21"/>
          <w:szCs w:val="21"/>
        </w:rPr>
        <w:t>2</w:t>
      </w:r>
      <w:r w:rsidRPr="002C669D">
        <w:rPr>
          <w:rFonts w:ascii="楷体_GB2312" w:eastAsia="楷体_GB2312" w:hAnsi="宋体" w:cs="楷体_GB2312" w:hint="eastAsia"/>
          <w:sz w:val="21"/>
          <w:szCs w:val="21"/>
        </w:rPr>
        <w:t>、</w:t>
      </w:r>
      <w:bookmarkEnd w:id="22"/>
      <w:r w:rsidR="006B5AAC">
        <w:rPr>
          <w:rFonts w:ascii="楷体_GB2312" w:eastAsia="楷体_GB2312" w:hAnsi="宋体" w:cs="楷体_GB2312" w:hint="eastAsia"/>
          <w:sz w:val="21"/>
          <w:szCs w:val="21"/>
        </w:rPr>
        <w:t>人民币对非美货币升值？</w:t>
      </w:r>
      <w:bookmarkEnd w:id="23"/>
    </w:p>
    <w:p w:rsidR="00FE0E7F" w:rsidRPr="006B5AAC" w:rsidRDefault="00FE0E7F" w:rsidP="00131948">
      <w:pPr>
        <w:tabs>
          <w:tab w:val="num" w:pos="720"/>
        </w:tabs>
        <w:autoSpaceDE w:val="0"/>
        <w:autoSpaceDN w:val="0"/>
        <w:adjustRightInd w:val="0"/>
        <w:spacing w:line="320" w:lineRule="exact"/>
        <w:ind w:left="2160"/>
        <w:jc w:val="left"/>
        <w:rPr>
          <w:rFonts w:ascii="楷体_GB2312" w:eastAsia="楷体_GB2312"/>
          <w:kern w:val="0"/>
        </w:rPr>
      </w:pPr>
    </w:p>
    <w:p w:rsidR="00FE0E7F" w:rsidRDefault="006B5AAC" w:rsidP="00131948">
      <w:pPr>
        <w:tabs>
          <w:tab w:val="num" w:pos="720"/>
        </w:tabs>
        <w:autoSpaceDE w:val="0"/>
        <w:autoSpaceDN w:val="0"/>
        <w:adjustRightInd w:val="0"/>
        <w:spacing w:line="320" w:lineRule="exact"/>
        <w:ind w:left="2160"/>
        <w:jc w:val="left"/>
        <w:rPr>
          <w:rFonts w:ascii="楷体_GB2312" w:eastAsia="楷体_GB2312"/>
          <w:kern w:val="0"/>
        </w:rPr>
      </w:pPr>
      <w:r>
        <w:rPr>
          <w:rFonts w:ascii="楷体_GB2312" w:eastAsia="楷体_GB2312" w:cs="楷体_GB2312" w:hint="eastAsia"/>
          <w:kern w:val="0"/>
        </w:rPr>
        <w:t>人民币未来最大的压力来自于欧元贬值以及美元升值带来了升值压力，考虑到中国是唯一一个存在固定汇率的国家，明年如果美元明显升值超过5%，则中国经济的出口将受到负面影响</w:t>
      </w:r>
      <w:r w:rsidR="00FE0E7F">
        <w:rPr>
          <w:rFonts w:ascii="楷体_GB2312" w:eastAsia="楷体_GB2312" w:cs="楷体_GB2312" w:hint="eastAsia"/>
          <w:kern w:val="0"/>
        </w:rPr>
        <w:t>。</w:t>
      </w:r>
    </w:p>
    <w:p w:rsidR="00FE0E7F" w:rsidRPr="00131948" w:rsidRDefault="00FE0E7F" w:rsidP="00131948">
      <w:pPr>
        <w:tabs>
          <w:tab w:val="num" w:pos="720"/>
        </w:tabs>
        <w:autoSpaceDE w:val="0"/>
        <w:autoSpaceDN w:val="0"/>
        <w:adjustRightInd w:val="0"/>
        <w:spacing w:line="320" w:lineRule="exact"/>
        <w:ind w:left="2160"/>
        <w:jc w:val="left"/>
        <w:rPr>
          <w:rFonts w:ascii="楷体_GB2312" w:eastAsia="楷体_GB2312"/>
          <w:kern w:val="0"/>
        </w:rPr>
      </w:pPr>
    </w:p>
    <w:tbl>
      <w:tblPr>
        <w:tblW w:w="7020" w:type="dxa"/>
        <w:jc w:val="right"/>
        <w:tblLayout w:type="fixed"/>
        <w:tblCellMar>
          <w:left w:w="0" w:type="dxa"/>
          <w:right w:w="0" w:type="dxa"/>
        </w:tblCellMar>
        <w:tblLook w:val="0000"/>
      </w:tblPr>
      <w:tblGrid>
        <w:gridCol w:w="7020"/>
      </w:tblGrid>
      <w:tr w:rsidR="00FE0E7F">
        <w:trPr>
          <w:cantSplit/>
          <w:trHeight w:val="200"/>
          <w:jc w:val="right"/>
        </w:trPr>
        <w:tc>
          <w:tcPr>
            <w:tcW w:w="7020" w:type="dxa"/>
          </w:tcPr>
          <w:p w:rsidR="00FE0E7F" w:rsidRDefault="00FE0E7F" w:rsidP="00905DE5">
            <w:pPr>
              <w:pStyle w:val="TitleLargeTable"/>
              <w:spacing w:after="0"/>
            </w:pPr>
            <w:r>
              <w:rPr>
                <w:rFonts w:cs="宋体" w:hint="eastAsia"/>
              </w:rPr>
              <w:t>图</w:t>
            </w:r>
            <w:r>
              <w:t>1</w:t>
            </w:r>
            <w:r w:rsidR="00905DE5">
              <w:rPr>
                <w:rFonts w:hint="eastAsia"/>
              </w:rPr>
              <w:t>2</w:t>
            </w:r>
          </w:p>
        </w:tc>
      </w:tr>
      <w:tr w:rsidR="00FE0E7F">
        <w:trPr>
          <w:cantSplit/>
          <w:trHeight w:val="200"/>
          <w:jc w:val="right"/>
        </w:trPr>
        <w:tc>
          <w:tcPr>
            <w:tcW w:w="7020" w:type="dxa"/>
            <w:tcBorders>
              <w:bottom w:val="single" w:sz="6" w:space="0" w:color="C0C0C0"/>
            </w:tcBorders>
            <w:shd w:val="pct5" w:color="auto" w:fill="FFFFFF"/>
          </w:tcPr>
          <w:p w:rsidR="00FE0E7F" w:rsidRPr="00C77711" w:rsidRDefault="006D6D20" w:rsidP="006D6D20">
            <w:pPr>
              <w:pStyle w:val="SubTitleLargeTable"/>
              <w:spacing w:after="0" w:line="200" w:lineRule="atLeast"/>
              <w:rPr>
                <w:rFonts w:cs="Times New Roman"/>
              </w:rPr>
            </w:pPr>
            <w:r>
              <w:rPr>
                <w:rFonts w:cs="Times New Roman" w:hint="eastAsia"/>
              </w:rPr>
              <w:t>美元指数升值趋势已经出现。</w:t>
            </w:r>
          </w:p>
        </w:tc>
      </w:tr>
      <w:tr w:rsidR="00FE0E7F">
        <w:trPr>
          <w:cantSplit/>
          <w:trHeight w:val="1912"/>
          <w:jc w:val="right"/>
        </w:trPr>
        <w:tc>
          <w:tcPr>
            <w:tcW w:w="7020" w:type="dxa"/>
            <w:tcBorders>
              <w:top w:val="single" w:sz="6" w:space="0" w:color="C0C0C0"/>
              <w:bottom w:val="single" w:sz="6" w:space="0" w:color="808080"/>
            </w:tcBorders>
          </w:tcPr>
          <w:p w:rsidR="00FE0E7F" w:rsidRPr="00131948" w:rsidRDefault="006D6D20" w:rsidP="00D70DF9">
            <w:pPr>
              <w:pStyle w:val="SourceLarge"/>
              <w:ind w:leftChars="-560" w:left="-1176"/>
              <w:jc w:val="center"/>
              <w:rPr>
                <w:rFonts w:cs="Times New Roman"/>
                <w:lang w:val="en-US"/>
              </w:rPr>
            </w:pPr>
            <w:r w:rsidRPr="006D6D20">
              <w:rPr>
                <w:rFonts w:cs="Times New Roman"/>
                <w:noProof/>
                <w:lang w:val="en-US"/>
              </w:rPr>
              <w:drawing>
                <wp:inline distT="0" distB="0" distL="0" distR="0">
                  <wp:extent cx="3505200" cy="1981200"/>
                  <wp:effectExtent l="19050" t="0" r="0" b="0"/>
                  <wp:docPr id="56" name="图片 5"/>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502389" cy="1979611"/>
                          </a:xfrm>
                          <a:prstGeom prst="rect">
                            <a:avLst/>
                          </a:prstGeom>
                          <a:noFill/>
                          <a:ln w="9525">
                            <a:noFill/>
                            <a:miter lim="800000"/>
                            <a:headEnd/>
                            <a:tailEnd/>
                          </a:ln>
                        </pic:spPr>
                      </pic:pic>
                    </a:graphicData>
                  </a:graphic>
                </wp:inline>
              </w:drawing>
            </w:r>
          </w:p>
        </w:tc>
      </w:tr>
    </w:tbl>
    <w:p w:rsidR="00FE0E7F" w:rsidRDefault="00FE0E7F" w:rsidP="006B5AAC">
      <w:pPr>
        <w:pStyle w:val="FootnoteNoline"/>
        <w:spacing w:before="0" w:after="0"/>
        <w:ind w:left="2160" w:firstLineChars="950" w:firstLine="1330"/>
        <w:rPr>
          <w:rFonts w:cs="Times New Roman"/>
        </w:rPr>
      </w:pPr>
      <w:r>
        <w:rPr>
          <w:rFonts w:cs="宋体" w:hint="eastAsia"/>
        </w:rPr>
        <w:t>数据来源：华商基金</w:t>
      </w:r>
    </w:p>
    <w:p w:rsidR="00FE0E7F" w:rsidRPr="0036734B" w:rsidRDefault="00FE0E7F" w:rsidP="008B0962">
      <w:pPr>
        <w:pStyle w:val="1"/>
        <w:spacing w:beforeLines="50" w:afterLines="50" w:line="480" w:lineRule="auto"/>
        <w:ind w:left="2160"/>
        <w:rPr>
          <w:rFonts w:ascii="楷体_GB2312" w:eastAsia="楷体_GB2312" w:hAnsi="宋体"/>
          <w:sz w:val="21"/>
          <w:szCs w:val="21"/>
        </w:rPr>
      </w:pPr>
      <w:bookmarkStart w:id="24" w:name="_Toc253644149"/>
      <w:bookmarkStart w:id="25" w:name="_Toc253644219"/>
      <w:bookmarkStart w:id="26" w:name="_Toc253644382"/>
      <w:bookmarkStart w:id="27" w:name="_Toc313737746"/>
      <w:r>
        <w:rPr>
          <w:rFonts w:ascii="楷体_GB2312" w:eastAsia="楷体_GB2312" w:hAnsi="宋体" w:cs="楷体_GB2312"/>
          <w:sz w:val="21"/>
          <w:szCs w:val="21"/>
        </w:rPr>
        <w:t>3</w:t>
      </w:r>
      <w:r w:rsidRPr="0036734B">
        <w:rPr>
          <w:rFonts w:ascii="楷体_GB2312" w:eastAsia="楷体_GB2312" w:hAnsi="宋体" w:cs="楷体_GB2312" w:hint="eastAsia"/>
          <w:sz w:val="21"/>
          <w:szCs w:val="21"/>
        </w:rPr>
        <w:t>、</w:t>
      </w:r>
      <w:bookmarkEnd w:id="24"/>
      <w:bookmarkEnd w:id="25"/>
      <w:bookmarkEnd w:id="26"/>
      <w:r w:rsidR="00D60206">
        <w:rPr>
          <w:rFonts w:ascii="楷体_GB2312" w:eastAsia="楷体_GB2312" w:hAnsi="宋体" w:cs="楷体_GB2312" w:hint="eastAsia"/>
          <w:sz w:val="21"/>
          <w:szCs w:val="21"/>
        </w:rPr>
        <w:t>2012年流动性情况研判</w:t>
      </w:r>
      <w:bookmarkEnd w:id="27"/>
    </w:p>
    <w:p w:rsidR="00FE0E7F" w:rsidRPr="00DB2FCF" w:rsidRDefault="00D60206" w:rsidP="00D70DF9">
      <w:pPr>
        <w:autoSpaceDE w:val="0"/>
        <w:autoSpaceDN w:val="0"/>
        <w:adjustRightInd w:val="0"/>
        <w:spacing w:line="320" w:lineRule="exact"/>
        <w:ind w:leftChars="1080" w:left="2268"/>
        <w:jc w:val="left"/>
        <w:rPr>
          <w:rFonts w:ascii="楷体_GB2312" w:eastAsia="楷体_GB2312"/>
          <w:kern w:val="0"/>
        </w:rPr>
      </w:pPr>
      <w:r>
        <w:rPr>
          <w:rFonts w:ascii="楷体_GB2312" w:eastAsia="楷体_GB2312" w:cs="楷体_GB2312" w:hint="eastAsia"/>
          <w:kern w:val="0"/>
        </w:rPr>
        <w:t>2012年的流动性状况决定于外部因素和国内货币政策的变化，外部因素来自于外汇占款</w:t>
      </w:r>
      <w:r w:rsidR="00D70DF9">
        <w:rPr>
          <w:rFonts w:ascii="楷体_GB2312" w:eastAsia="楷体_GB2312" w:cs="楷体_GB2312" w:hint="eastAsia"/>
          <w:kern w:val="0"/>
        </w:rPr>
        <w:t>增量</w:t>
      </w:r>
      <w:r>
        <w:rPr>
          <w:rFonts w:ascii="楷体_GB2312" w:eastAsia="楷体_GB2312" w:cs="楷体_GB2312" w:hint="eastAsia"/>
          <w:kern w:val="0"/>
        </w:rPr>
        <w:t>或减值，而货币政策的</w:t>
      </w:r>
      <w:r w:rsidR="00D70DF9">
        <w:rPr>
          <w:rFonts w:ascii="楷体_GB2312" w:eastAsia="楷体_GB2312" w:cs="楷体_GB2312" w:hint="eastAsia"/>
          <w:kern w:val="0"/>
        </w:rPr>
        <w:t>影</w:t>
      </w:r>
      <w:r>
        <w:rPr>
          <w:rFonts w:ascii="楷体_GB2312" w:eastAsia="楷体_GB2312" w:cs="楷体_GB2312" w:hint="eastAsia"/>
          <w:kern w:val="0"/>
        </w:rPr>
        <w:t>响，主要体现在公开市场操作情况和准备金率的变化。</w:t>
      </w:r>
      <w:r w:rsidR="00361846" w:rsidRPr="00DB2FCF">
        <w:rPr>
          <w:rFonts w:ascii="楷体_GB2312" w:eastAsia="楷体_GB2312"/>
          <w:kern w:val="0"/>
        </w:rPr>
        <w:t xml:space="preserve"> </w:t>
      </w:r>
      <w:r w:rsidR="00D70DF9">
        <w:rPr>
          <w:rFonts w:ascii="楷体_GB2312" w:eastAsia="楷体_GB2312" w:hint="eastAsia"/>
          <w:kern w:val="0"/>
        </w:rPr>
        <w:t>首先全社会广谱利率的下降要有信贷增速的同比多增</w:t>
      </w:r>
      <w:r w:rsidR="001705A3">
        <w:rPr>
          <w:rFonts w:ascii="楷体_GB2312" w:eastAsia="楷体_GB2312" w:hint="eastAsia"/>
          <w:kern w:val="0"/>
        </w:rPr>
        <w:t>来降低利率水平</w:t>
      </w:r>
      <w:r w:rsidR="00D70DF9">
        <w:rPr>
          <w:rFonts w:ascii="楷体_GB2312" w:eastAsia="楷体_GB2312" w:hint="eastAsia"/>
          <w:kern w:val="0"/>
        </w:rPr>
        <w:t>，从目前的情况看，信贷的同比多增在1季度的可能性最大。我们测算，如果1月份信贷达到6000亿，则信贷同比多增趋势将出现，</w:t>
      </w:r>
      <w:r w:rsidR="006110E4">
        <w:rPr>
          <w:rFonts w:ascii="楷体_GB2312" w:eastAsia="楷体_GB2312" w:hint="eastAsia"/>
          <w:kern w:val="0"/>
        </w:rPr>
        <w:t>但随着存贷比压力的上升，信贷同比增速将无法持续</w:t>
      </w:r>
      <w:r w:rsidR="00D70DF9">
        <w:rPr>
          <w:rFonts w:ascii="楷体_GB2312" w:eastAsia="楷体_GB2312" w:hint="eastAsia"/>
          <w:kern w:val="0"/>
        </w:rPr>
        <w:t>。而从季节性角度看，</w:t>
      </w:r>
      <w:r w:rsidR="001705A3">
        <w:rPr>
          <w:rFonts w:ascii="楷体_GB2312" w:eastAsia="楷体_GB2312" w:hint="eastAsia"/>
          <w:kern w:val="0"/>
        </w:rPr>
        <w:lastRenderedPageBreak/>
        <w:t>2012年2月至4月央行</w:t>
      </w:r>
      <w:r w:rsidR="00D70DF9">
        <w:rPr>
          <w:rFonts w:ascii="楷体_GB2312" w:eastAsia="楷体_GB2312" w:hint="eastAsia"/>
          <w:kern w:val="0"/>
        </w:rPr>
        <w:t>公开市场到期量最大。考虑到4月份的财政存款收取，我们认为2-3月流动性全年最佳。</w:t>
      </w:r>
    </w:p>
    <w:tbl>
      <w:tblPr>
        <w:tblW w:w="7020" w:type="dxa"/>
        <w:jc w:val="right"/>
        <w:tblLayout w:type="fixed"/>
        <w:tblCellMar>
          <w:left w:w="0" w:type="dxa"/>
          <w:right w:w="0" w:type="dxa"/>
        </w:tblCellMar>
        <w:tblLook w:val="0000"/>
      </w:tblPr>
      <w:tblGrid>
        <w:gridCol w:w="7020"/>
      </w:tblGrid>
      <w:tr w:rsidR="00FE0E7F">
        <w:trPr>
          <w:cantSplit/>
          <w:trHeight w:val="200"/>
          <w:jc w:val="right"/>
        </w:trPr>
        <w:tc>
          <w:tcPr>
            <w:tcW w:w="7020" w:type="dxa"/>
          </w:tcPr>
          <w:p w:rsidR="00FE0E7F" w:rsidRDefault="00FE0E7F" w:rsidP="00905DE5">
            <w:pPr>
              <w:pStyle w:val="TitleLargeTable"/>
              <w:spacing w:after="0"/>
            </w:pPr>
            <w:r>
              <w:rPr>
                <w:rFonts w:cs="宋体" w:hint="eastAsia"/>
              </w:rPr>
              <w:t>图</w:t>
            </w:r>
            <w:r>
              <w:t>1</w:t>
            </w:r>
            <w:r w:rsidR="00905DE5">
              <w:rPr>
                <w:rFonts w:hint="eastAsia"/>
              </w:rPr>
              <w:t>3</w:t>
            </w:r>
          </w:p>
        </w:tc>
      </w:tr>
      <w:tr w:rsidR="00FE0E7F">
        <w:trPr>
          <w:cantSplit/>
          <w:trHeight w:val="200"/>
          <w:jc w:val="right"/>
        </w:trPr>
        <w:tc>
          <w:tcPr>
            <w:tcW w:w="7020" w:type="dxa"/>
            <w:tcBorders>
              <w:bottom w:val="single" w:sz="6" w:space="0" w:color="C0C0C0"/>
            </w:tcBorders>
            <w:shd w:val="pct5" w:color="auto" w:fill="FFFFFF"/>
          </w:tcPr>
          <w:p w:rsidR="00FE0E7F" w:rsidRPr="00C77711" w:rsidRDefault="00D70DF9" w:rsidP="00866F45">
            <w:pPr>
              <w:pStyle w:val="SubTitleLargeTable"/>
              <w:spacing w:after="0" w:line="200" w:lineRule="atLeast"/>
              <w:rPr>
                <w:rFonts w:cs="Times New Roman"/>
              </w:rPr>
            </w:pPr>
            <w:r>
              <w:rPr>
                <w:rFonts w:cs="宋体" w:hint="eastAsia"/>
              </w:rPr>
              <w:t>公开市场到期量全年分部</w:t>
            </w:r>
          </w:p>
        </w:tc>
      </w:tr>
      <w:tr w:rsidR="00FE0E7F" w:rsidTr="00915E66">
        <w:trPr>
          <w:cantSplit/>
          <w:trHeight w:val="2941"/>
          <w:jc w:val="right"/>
        </w:trPr>
        <w:tc>
          <w:tcPr>
            <w:tcW w:w="7020" w:type="dxa"/>
            <w:tcBorders>
              <w:top w:val="single" w:sz="6" w:space="0" w:color="C0C0C0"/>
              <w:bottom w:val="single" w:sz="6" w:space="0" w:color="808080"/>
            </w:tcBorders>
          </w:tcPr>
          <w:p w:rsidR="00FE0E7F" w:rsidRPr="00255057" w:rsidRDefault="00D70DF9" w:rsidP="00866F45">
            <w:pPr>
              <w:pStyle w:val="SourceLarge"/>
              <w:jc w:val="center"/>
              <w:rPr>
                <w:rFonts w:cs="Times New Roman"/>
                <w:lang w:val="en-US"/>
              </w:rPr>
            </w:pPr>
            <w:r>
              <w:rPr>
                <w:rFonts w:cs="Times New Roman"/>
                <w:noProof/>
                <w:lang w:val="en-US"/>
              </w:rPr>
              <w:drawing>
                <wp:inline distT="0" distB="0" distL="0" distR="0">
                  <wp:extent cx="3640590" cy="1667933"/>
                  <wp:effectExtent l="19050" t="0" r="0" b="0"/>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3640212" cy="1667760"/>
                          </a:xfrm>
                          <a:prstGeom prst="rect">
                            <a:avLst/>
                          </a:prstGeom>
                          <a:noFill/>
                          <a:ln w="9525">
                            <a:noFill/>
                            <a:miter lim="800000"/>
                            <a:headEnd/>
                            <a:tailEnd/>
                          </a:ln>
                        </pic:spPr>
                      </pic:pic>
                    </a:graphicData>
                  </a:graphic>
                </wp:inline>
              </w:drawing>
            </w:r>
          </w:p>
        </w:tc>
      </w:tr>
    </w:tbl>
    <w:p w:rsidR="00FE0E7F" w:rsidRDefault="00D70DF9" w:rsidP="00D70DF9">
      <w:pPr>
        <w:pStyle w:val="FootnoteNoline"/>
        <w:spacing w:before="0" w:after="0"/>
        <w:ind w:left="2160" w:firstLineChars="950" w:firstLine="1330"/>
        <w:rPr>
          <w:rFonts w:cs="Times New Roman"/>
        </w:rPr>
      </w:pPr>
      <w:r>
        <w:rPr>
          <w:rFonts w:cs="宋体" w:hint="eastAsia"/>
        </w:rPr>
        <w:t>数据来源：</w:t>
      </w:r>
      <w:r>
        <w:rPr>
          <w:rFonts w:cs="宋体" w:hint="eastAsia"/>
        </w:rPr>
        <w:t>Wind</w:t>
      </w:r>
    </w:p>
    <w:p w:rsidR="00FE0E7F" w:rsidRDefault="00FE0E7F" w:rsidP="008B0962">
      <w:pPr>
        <w:pStyle w:val="1"/>
        <w:spacing w:beforeLines="50" w:afterLines="50" w:line="480" w:lineRule="auto"/>
        <w:ind w:firstLineChars="1013" w:firstLine="2136"/>
        <w:rPr>
          <w:rFonts w:ascii="楷体_GB2312" w:eastAsia="楷体_GB2312" w:hAnsi="宋体"/>
          <w:sz w:val="21"/>
          <w:szCs w:val="21"/>
        </w:rPr>
      </w:pPr>
      <w:bookmarkStart w:id="28" w:name="_Toc253644150"/>
      <w:bookmarkStart w:id="29" w:name="_Toc253644220"/>
      <w:bookmarkStart w:id="30" w:name="_Toc253644383"/>
      <w:bookmarkStart w:id="31" w:name="_Toc313737747"/>
      <w:bookmarkStart w:id="32" w:name="OLE_LINK3"/>
      <w:bookmarkStart w:id="33" w:name="OLE_LINK4"/>
      <w:r>
        <w:rPr>
          <w:rFonts w:ascii="楷体_GB2312" w:eastAsia="楷体_GB2312" w:hAnsi="宋体" w:cs="楷体_GB2312" w:hint="eastAsia"/>
          <w:sz w:val="21"/>
          <w:szCs w:val="21"/>
        </w:rPr>
        <w:t>三、</w:t>
      </w:r>
      <w:bookmarkEnd w:id="28"/>
      <w:bookmarkEnd w:id="29"/>
      <w:bookmarkEnd w:id="30"/>
      <w:r w:rsidR="00361846">
        <w:rPr>
          <w:rFonts w:ascii="楷体_GB2312" w:eastAsia="楷体_GB2312" w:hAnsi="宋体" w:cs="楷体_GB2312" w:hint="eastAsia"/>
          <w:sz w:val="21"/>
          <w:szCs w:val="21"/>
        </w:rPr>
        <w:t>我们的投资策略</w:t>
      </w:r>
      <w:bookmarkEnd w:id="31"/>
    </w:p>
    <w:p w:rsidR="00097DFD" w:rsidRDefault="00FE0E7F" w:rsidP="008B0962">
      <w:pPr>
        <w:pStyle w:val="1"/>
        <w:spacing w:beforeLines="50" w:afterLines="50" w:line="480" w:lineRule="auto"/>
        <w:ind w:left="2160"/>
        <w:rPr>
          <w:rFonts w:ascii="楷体_GB2312" w:eastAsia="楷体_GB2312" w:hAnsi="宋体"/>
          <w:sz w:val="21"/>
          <w:szCs w:val="21"/>
        </w:rPr>
      </w:pPr>
      <w:bookmarkStart w:id="34" w:name="_Toc313737748"/>
      <w:r w:rsidRPr="002C669D">
        <w:rPr>
          <w:rFonts w:ascii="楷体_GB2312" w:eastAsia="楷体_GB2312" w:hAnsi="宋体" w:cs="楷体_GB2312"/>
          <w:sz w:val="21"/>
          <w:szCs w:val="21"/>
        </w:rPr>
        <w:t>1</w:t>
      </w:r>
      <w:r w:rsidRPr="002C669D">
        <w:rPr>
          <w:rFonts w:ascii="楷体_GB2312" w:eastAsia="楷体_GB2312" w:hAnsi="宋体" w:cs="楷体_GB2312" w:hint="eastAsia"/>
          <w:sz w:val="21"/>
          <w:szCs w:val="21"/>
        </w:rPr>
        <w:t>、</w:t>
      </w:r>
      <w:r w:rsidR="00D60206">
        <w:rPr>
          <w:rFonts w:ascii="楷体_GB2312" w:eastAsia="楷体_GB2312" w:hAnsi="宋体" w:cs="楷体_GB2312" w:hint="eastAsia"/>
          <w:sz w:val="21"/>
          <w:szCs w:val="21"/>
        </w:rPr>
        <w:t>重点配置低估值行业</w:t>
      </w:r>
      <w:bookmarkEnd w:id="34"/>
    </w:p>
    <w:p w:rsidR="00FE0E7F" w:rsidRPr="0087312A" w:rsidRDefault="00D60206" w:rsidP="005B5A5A">
      <w:pPr>
        <w:numPr>
          <w:ilvl w:val="0"/>
          <w:numId w:val="3"/>
        </w:numPr>
        <w:tabs>
          <w:tab w:val="num" w:pos="720"/>
        </w:tabs>
        <w:autoSpaceDE w:val="0"/>
        <w:autoSpaceDN w:val="0"/>
        <w:adjustRightInd w:val="0"/>
        <w:spacing w:line="320" w:lineRule="exact"/>
        <w:ind w:left="2160"/>
        <w:jc w:val="left"/>
        <w:rPr>
          <w:rFonts w:ascii="楷体_GB2312" w:eastAsia="楷体_GB2312"/>
          <w:kern w:val="0"/>
        </w:rPr>
      </w:pPr>
      <w:r>
        <w:rPr>
          <w:rFonts w:ascii="楷体_GB2312" w:eastAsia="楷体_GB2312" w:cs="楷体_GB2312" w:hint="eastAsia"/>
          <w:kern w:val="0"/>
        </w:rPr>
        <w:t>目前</w:t>
      </w:r>
      <w:r w:rsidR="00905DE5">
        <w:rPr>
          <w:rFonts w:ascii="楷体_GB2312" w:eastAsia="楷体_GB2312" w:cs="楷体_GB2312" w:hint="eastAsia"/>
          <w:kern w:val="0"/>
        </w:rPr>
        <w:t>确定性的经济增长趋势，和不确定的流动性趋势下，我们应该首先保持稳定的资产配置，在1季度仍可保持较高的资产配置，2-3月份逐步下调股票仓位，同时逐步提高长期固定收益的配置比例。从明年全年来看，我们认为明年全市场估值水平可能接近2006年的PB水平达到1.5倍PB附近，PE水平根据ROE12%左右的推算我们预计指数估值水平在目前11倍PE下降到9倍左右，市场仍有20%左右的下行空间，但市场风险应该主要在明年下半年。</w:t>
      </w:r>
    </w:p>
    <w:p w:rsidR="0087312A" w:rsidRPr="008356C3" w:rsidRDefault="0087312A" w:rsidP="0087312A">
      <w:pPr>
        <w:autoSpaceDE w:val="0"/>
        <w:autoSpaceDN w:val="0"/>
        <w:adjustRightInd w:val="0"/>
        <w:spacing w:line="320" w:lineRule="exact"/>
        <w:ind w:left="2160"/>
        <w:jc w:val="left"/>
        <w:rPr>
          <w:rFonts w:ascii="楷体_GB2312" w:eastAsia="楷体_GB2312"/>
          <w:kern w:val="0"/>
        </w:rPr>
      </w:pPr>
    </w:p>
    <w:tbl>
      <w:tblPr>
        <w:tblW w:w="10064" w:type="dxa"/>
        <w:tblInd w:w="426" w:type="dxa"/>
        <w:tblLayout w:type="fixed"/>
        <w:tblCellMar>
          <w:left w:w="0" w:type="dxa"/>
          <w:right w:w="0" w:type="dxa"/>
        </w:tblCellMar>
        <w:tblLook w:val="0000"/>
      </w:tblPr>
      <w:tblGrid>
        <w:gridCol w:w="4536"/>
        <w:gridCol w:w="141"/>
        <w:gridCol w:w="5387"/>
      </w:tblGrid>
      <w:tr w:rsidR="00FE0E7F" w:rsidTr="00D60206">
        <w:trPr>
          <w:cantSplit/>
          <w:trHeight w:val="213"/>
        </w:trPr>
        <w:tc>
          <w:tcPr>
            <w:tcW w:w="4536" w:type="dxa"/>
          </w:tcPr>
          <w:p w:rsidR="00FE0E7F" w:rsidRDefault="00FE0E7F" w:rsidP="00905DE5">
            <w:pPr>
              <w:pStyle w:val="TitleLargeTable"/>
              <w:spacing w:after="0"/>
            </w:pPr>
            <w:r>
              <w:rPr>
                <w:rFonts w:cs="宋体" w:hint="eastAsia"/>
              </w:rPr>
              <w:t>图</w:t>
            </w:r>
            <w:r>
              <w:t xml:space="preserve"> 1</w:t>
            </w:r>
            <w:r w:rsidR="00905DE5">
              <w:rPr>
                <w:rFonts w:hint="eastAsia"/>
              </w:rPr>
              <w:t>4</w:t>
            </w:r>
          </w:p>
        </w:tc>
        <w:tc>
          <w:tcPr>
            <w:tcW w:w="141" w:type="dxa"/>
          </w:tcPr>
          <w:p w:rsidR="00FE0E7F" w:rsidRDefault="00FC2115" w:rsidP="001F6679">
            <w:pPr>
              <w:spacing w:line="200" w:lineRule="atLeast"/>
              <w:jc w:val="center"/>
            </w:pPr>
            <w:r>
              <w:rPr>
                <w:rFonts w:hint="eastAsia"/>
              </w:rPr>
              <w:t xml:space="preserve">   </w:t>
            </w:r>
          </w:p>
        </w:tc>
        <w:tc>
          <w:tcPr>
            <w:tcW w:w="5387" w:type="dxa"/>
          </w:tcPr>
          <w:p w:rsidR="00FE0E7F" w:rsidRDefault="00FE0E7F" w:rsidP="00905DE5">
            <w:pPr>
              <w:pStyle w:val="TitleLargeTable"/>
              <w:spacing w:after="0"/>
            </w:pPr>
            <w:r>
              <w:rPr>
                <w:rFonts w:cs="宋体" w:hint="eastAsia"/>
              </w:rPr>
              <w:t>图</w:t>
            </w:r>
            <w:r>
              <w:t>1</w:t>
            </w:r>
            <w:r w:rsidR="00905DE5">
              <w:rPr>
                <w:rFonts w:hint="eastAsia"/>
              </w:rPr>
              <w:t>5</w:t>
            </w:r>
          </w:p>
        </w:tc>
      </w:tr>
      <w:tr w:rsidR="00FE0E7F" w:rsidTr="00D60206">
        <w:trPr>
          <w:cantSplit/>
          <w:trHeight w:val="155"/>
        </w:trPr>
        <w:tc>
          <w:tcPr>
            <w:tcW w:w="4536" w:type="dxa"/>
          </w:tcPr>
          <w:p w:rsidR="00FE0E7F" w:rsidRPr="006354BD" w:rsidRDefault="00D60206" w:rsidP="001F6679">
            <w:pPr>
              <w:pStyle w:val="SubTitleLargeTable"/>
              <w:pBdr>
                <w:bottom w:val="single" w:sz="6" w:space="1" w:color="C0C0C0"/>
              </w:pBdr>
              <w:shd w:val="pct5" w:color="auto" w:fill="FFFFFF"/>
              <w:rPr>
                <w:rFonts w:ascii="宋体" w:cs="Times New Roman"/>
              </w:rPr>
            </w:pPr>
            <w:r>
              <w:rPr>
                <w:rFonts w:ascii="宋体" w:hAnsi="宋体" w:cs="宋体" w:hint="eastAsia"/>
              </w:rPr>
              <w:t>全部A股估值水平</w:t>
            </w:r>
          </w:p>
        </w:tc>
        <w:tc>
          <w:tcPr>
            <w:tcW w:w="141" w:type="dxa"/>
          </w:tcPr>
          <w:p w:rsidR="00FE0E7F" w:rsidRPr="000C3FB8" w:rsidRDefault="00FC2115" w:rsidP="001F6679">
            <w:pPr>
              <w:spacing w:line="200" w:lineRule="atLeast"/>
              <w:jc w:val="center"/>
              <w:rPr>
                <w:rFonts w:ascii="楷体_GB2312" w:eastAsia="楷体_GB2312"/>
              </w:rPr>
            </w:pPr>
            <w:r>
              <w:rPr>
                <w:rFonts w:ascii="楷体_GB2312" w:eastAsia="楷体_GB2312" w:hint="eastAsia"/>
              </w:rPr>
              <w:t xml:space="preserve">     </w:t>
            </w:r>
          </w:p>
        </w:tc>
        <w:tc>
          <w:tcPr>
            <w:tcW w:w="5387" w:type="dxa"/>
          </w:tcPr>
          <w:p w:rsidR="00FE0E7F" w:rsidRPr="006354BD" w:rsidRDefault="00FC2115" w:rsidP="001F6679">
            <w:pPr>
              <w:pStyle w:val="SubTitleLargeTable"/>
              <w:pBdr>
                <w:bottom w:val="single" w:sz="6" w:space="1" w:color="C0C0C0"/>
              </w:pBdr>
              <w:shd w:val="pct5" w:color="auto" w:fill="FFFFFF"/>
              <w:rPr>
                <w:rFonts w:ascii="宋体" w:cs="Times New Roman"/>
              </w:rPr>
            </w:pPr>
            <w:r>
              <w:rPr>
                <w:rFonts w:ascii="宋体" w:hAnsi="宋体" w:cs="宋体" w:hint="eastAsia"/>
              </w:rPr>
              <w:t xml:space="preserve"> </w:t>
            </w:r>
            <w:r w:rsidR="00B431AE">
              <w:rPr>
                <w:rFonts w:ascii="宋体" w:hAnsi="宋体" w:cs="宋体" w:hint="eastAsia"/>
              </w:rPr>
              <w:t>申万行业估值水平分部</w:t>
            </w:r>
          </w:p>
        </w:tc>
      </w:tr>
      <w:tr w:rsidR="00FE0E7F" w:rsidRPr="006130CC" w:rsidTr="00D60206">
        <w:trPr>
          <w:cantSplit/>
          <w:trHeight w:val="2266"/>
        </w:trPr>
        <w:tc>
          <w:tcPr>
            <w:tcW w:w="4536" w:type="dxa"/>
            <w:tcBorders>
              <w:bottom w:val="single" w:sz="6" w:space="0" w:color="808080"/>
            </w:tcBorders>
          </w:tcPr>
          <w:p w:rsidR="00FE0E7F" w:rsidRPr="009F0D17" w:rsidRDefault="00D60206" w:rsidP="001F6679">
            <w:pPr>
              <w:spacing w:line="200" w:lineRule="atLeast"/>
              <w:jc w:val="center"/>
            </w:pPr>
            <w:r w:rsidRPr="00D60206">
              <w:rPr>
                <w:noProof/>
              </w:rPr>
              <w:drawing>
                <wp:inline distT="0" distB="0" distL="0" distR="0">
                  <wp:extent cx="2730923" cy="2065867"/>
                  <wp:effectExtent l="19050" t="0" r="12277" b="0"/>
                  <wp:docPr id="5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141" w:type="dxa"/>
          </w:tcPr>
          <w:p w:rsidR="00FE0E7F" w:rsidRDefault="00FC2115" w:rsidP="001F6679">
            <w:pPr>
              <w:spacing w:line="200" w:lineRule="atLeast"/>
              <w:jc w:val="center"/>
            </w:pPr>
            <w:r>
              <w:rPr>
                <w:rFonts w:hint="eastAsia"/>
              </w:rPr>
              <w:t xml:space="preserve">        </w:t>
            </w:r>
          </w:p>
        </w:tc>
        <w:tc>
          <w:tcPr>
            <w:tcW w:w="5387" w:type="dxa"/>
            <w:tcBorders>
              <w:bottom w:val="single" w:sz="6" w:space="0" w:color="808080"/>
            </w:tcBorders>
          </w:tcPr>
          <w:p w:rsidR="00FE0E7F" w:rsidRPr="006130CC" w:rsidRDefault="00D60206" w:rsidP="001F6679">
            <w:pPr>
              <w:spacing w:line="200" w:lineRule="atLeast"/>
              <w:jc w:val="center"/>
              <w:rPr>
                <w:rFonts w:ascii="楷体_GB2312" w:eastAsia="楷体_GB2312" w:cs="楷体_GB2312"/>
                <w:kern w:val="0"/>
              </w:rPr>
            </w:pPr>
            <w:r w:rsidRPr="00D60206">
              <w:rPr>
                <w:rFonts w:ascii="楷体_GB2312" w:eastAsia="楷体_GB2312" w:cs="楷体_GB2312"/>
                <w:noProof/>
                <w:kern w:val="0"/>
              </w:rPr>
              <w:drawing>
                <wp:inline distT="0" distB="0" distL="0" distR="0">
                  <wp:extent cx="3443817" cy="2040467"/>
                  <wp:effectExtent l="19050" t="0" r="23283" b="0"/>
                  <wp:docPr id="5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FE0E7F" w:rsidRDefault="006130CC" w:rsidP="001A2DBE">
      <w:pPr>
        <w:pStyle w:val="FootnoteNoline"/>
        <w:spacing w:before="0" w:after="0"/>
        <w:ind w:left="0" w:rightChars="-85" w:right="-178"/>
        <w:rPr>
          <w:rFonts w:cs="Times New Roman"/>
        </w:rPr>
      </w:pPr>
      <w:r>
        <w:rPr>
          <w:rFonts w:cs="宋体" w:hint="eastAsia"/>
        </w:rPr>
        <w:t xml:space="preserve">  </w:t>
      </w:r>
      <w:r w:rsidR="00FE0E7F">
        <w:rPr>
          <w:rFonts w:cs="宋体" w:hint="eastAsia"/>
        </w:rPr>
        <w:t>数据来源：</w:t>
      </w:r>
      <w:r w:rsidR="00D60206">
        <w:rPr>
          <w:rFonts w:cs="宋体" w:hint="eastAsia"/>
        </w:rPr>
        <w:t>Wind</w:t>
      </w:r>
    </w:p>
    <w:p w:rsidR="0087312A" w:rsidRDefault="0087312A" w:rsidP="0087312A">
      <w:pPr>
        <w:pStyle w:val="SubTitleLargeTable"/>
        <w:pBdr>
          <w:top w:val="single" w:sz="8" w:space="0" w:color="FF0000"/>
        </w:pBdr>
        <w:ind w:rightChars="-85" w:right="-178" w:firstLineChars="1542" w:firstLine="2786"/>
        <w:rPr>
          <w:rFonts w:cs="Times New Roman"/>
        </w:rPr>
      </w:pPr>
    </w:p>
    <w:p w:rsidR="00FE0E7F" w:rsidRPr="002C669D" w:rsidRDefault="00FE0E7F" w:rsidP="008B0962">
      <w:pPr>
        <w:pStyle w:val="1"/>
        <w:spacing w:beforeLines="50" w:afterLines="50" w:line="480" w:lineRule="auto"/>
        <w:ind w:left="2160"/>
        <w:rPr>
          <w:rFonts w:ascii="楷体_GB2312" w:eastAsia="楷体_GB2312" w:hAnsi="宋体"/>
          <w:sz w:val="21"/>
          <w:szCs w:val="21"/>
        </w:rPr>
      </w:pPr>
      <w:bookmarkStart w:id="35" w:name="_Toc313737749"/>
      <w:r w:rsidRPr="002C669D">
        <w:rPr>
          <w:rFonts w:ascii="楷体_GB2312" w:eastAsia="楷体_GB2312" w:hAnsi="宋体" w:cs="楷体_GB2312"/>
          <w:sz w:val="21"/>
          <w:szCs w:val="21"/>
        </w:rPr>
        <w:t>2</w:t>
      </w:r>
      <w:r w:rsidRPr="002C669D">
        <w:rPr>
          <w:rFonts w:ascii="楷体_GB2312" w:eastAsia="楷体_GB2312" w:hAnsi="宋体" w:cs="楷体_GB2312" w:hint="eastAsia"/>
          <w:sz w:val="21"/>
          <w:szCs w:val="21"/>
        </w:rPr>
        <w:t>、</w:t>
      </w:r>
      <w:r w:rsidR="00905DE5">
        <w:rPr>
          <w:rFonts w:ascii="楷体_GB2312" w:eastAsia="楷体_GB2312" w:hAnsi="宋体" w:cs="楷体_GB2312" w:hint="eastAsia"/>
          <w:sz w:val="21"/>
          <w:szCs w:val="21"/>
        </w:rPr>
        <w:t>行业配置思路</w:t>
      </w:r>
      <w:bookmarkEnd w:id="35"/>
    </w:p>
    <w:p w:rsidR="00FE0E7F" w:rsidRDefault="009156F9" w:rsidP="009156F9">
      <w:pPr>
        <w:numPr>
          <w:ilvl w:val="0"/>
          <w:numId w:val="3"/>
        </w:numPr>
        <w:tabs>
          <w:tab w:val="num" w:pos="720"/>
        </w:tabs>
        <w:autoSpaceDE w:val="0"/>
        <w:autoSpaceDN w:val="0"/>
        <w:adjustRightInd w:val="0"/>
        <w:spacing w:line="320" w:lineRule="exact"/>
        <w:ind w:left="2154"/>
        <w:jc w:val="left"/>
        <w:rPr>
          <w:rFonts w:ascii="楷体_GB2312" w:eastAsia="楷体_GB2312" w:cs="楷体_GB2312"/>
          <w:kern w:val="0"/>
        </w:rPr>
      </w:pPr>
      <w:r>
        <w:rPr>
          <w:rFonts w:ascii="楷体_GB2312" w:eastAsia="楷体_GB2312" w:cs="楷体_GB2312" w:hint="eastAsia"/>
          <w:kern w:val="0"/>
        </w:rPr>
        <w:t xml:space="preserve"> </w:t>
      </w:r>
      <w:r w:rsidR="00905DE5">
        <w:rPr>
          <w:rFonts w:ascii="楷体_GB2312" w:eastAsia="楷体_GB2312" w:cs="楷体_GB2312" w:hint="eastAsia"/>
          <w:kern w:val="0"/>
        </w:rPr>
        <w:t>1季度行业配置仍建议重点配置高成长高估值的行业，流动性恢复对高成长高估值的行业最为有利，主要配置的行业包括传媒，电子，电力设备，军工，医药，消费，餐饮旅游等</w:t>
      </w:r>
      <w:r w:rsidR="00FE0E7F">
        <w:rPr>
          <w:rFonts w:ascii="楷体_GB2312" w:eastAsia="楷体_GB2312" w:cs="楷体_GB2312" w:hint="eastAsia"/>
          <w:kern w:val="0"/>
        </w:rPr>
        <w:t>。</w:t>
      </w:r>
      <w:r w:rsidR="00905DE5">
        <w:rPr>
          <w:rFonts w:ascii="楷体_GB2312" w:eastAsia="楷体_GB2312" w:cs="楷体_GB2312" w:hint="eastAsia"/>
          <w:kern w:val="0"/>
        </w:rPr>
        <w:t>随着流动性的变化，我们建议在1季度后将配置重心逐步转移到低估值的非强周期行业中，重点配置电力，造纸，电子元器件，银行和地产行业。全年规避强周期行业。</w:t>
      </w:r>
    </w:p>
    <w:p w:rsidR="003B467F" w:rsidRDefault="003B467F" w:rsidP="003B467F">
      <w:pPr>
        <w:autoSpaceDE w:val="0"/>
        <w:autoSpaceDN w:val="0"/>
        <w:adjustRightInd w:val="0"/>
        <w:spacing w:line="320" w:lineRule="exact"/>
        <w:ind w:left="2154"/>
        <w:jc w:val="left"/>
        <w:rPr>
          <w:rFonts w:ascii="楷体_GB2312" w:eastAsia="楷体_GB2312" w:cs="楷体_GB2312"/>
          <w:kern w:val="0"/>
        </w:rPr>
      </w:pPr>
    </w:p>
    <w:p w:rsidR="003B467F" w:rsidRPr="002C669D" w:rsidRDefault="003B467F" w:rsidP="008B0962">
      <w:pPr>
        <w:pStyle w:val="1"/>
        <w:spacing w:beforeLines="50" w:afterLines="50" w:line="480" w:lineRule="auto"/>
        <w:ind w:left="2160"/>
        <w:rPr>
          <w:rFonts w:ascii="楷体_GB2312" w:eastAsia="楷体_GB2312" w:hAnsi="宋体"/>
          <w:sz w:val="21"/>
          <w:szCs w:val="21"/>
        </w:rPr>
      </w:pPr>
      <w:bookmarkStart w:id="36" w:name="_Toc313737750"/>
      <w:r>
        <w:rPr>
          <w:rFonts w:ascii="楷体_GB2312" w:eastAsia="楷体_GB2312" w:hAnsi="宋体" w:cs="楷体_GB2312" w:hint="eastAsia"/>
          <w:sz w:val="21"/>
          <w:szCs w:val="21"/>
        </w:rPr>
        <w:t>3．</w:t>
      </w:r>
      <w:r w:rsidR="00915E66">
        <w:rPr>
          <w:rFonts w:ascii="楷体_GB2312" w:eastAsia="楷体_GB2312" w:hAnsi="宋体" w:cs="楷体_GB2312" w:hint="eastAsia"/>
          <w:sz w:val="21"/>
          <w:szCs w:val="21"/>
        </w:rPr>
        <w:t>绝对收益</w:t>
      </w:r>
      <w:r>
        <w:rPr>
          <w:rFonts w:ascii="楷体_GB2312" w:eastAsia="楷体_GB2312" w:hAnsi="宋体" w:cs="楷体_GB2312" w:hint="eastAsia"/>
          <w:sz w:val="21"/>
          <w:szCs w:val="21"/>
        </w:rPr>
        <w:t>投资思路</w:t>
      </w:r>
      <w:bookmarkEnd w:id="36"/>
    </w:p>
    <w:p w:rsidR="003B467F" w:rsidRDefault="003B467F" w:rsidP="003B467F">
      <w:pPr>
        <w:numPr>
          <w:ilvl w:val="0"/>
          <w:numId w:val="3"/>
        </w:numPr>
        <w:tabs>
          <w:tab w:val="num" w:pos="720"/>
        </w:tabs>
        <w:autoSpaceDE w:val="0"/>
        <w:autoSpaceDN w:val="0"/>
        <w:adjustRightInd w:val="0"/>
        <w:spacing w:line="320" w:lineRule="exact"/>
        <w:ind w:left="2154"/>
        <w:jc w:val="left"/>
        <w:rPr>
          <w:rFonts w:ascii="楷体_GB2312" w:eastAsia="楷体_GB2312" w:cs="楷体_GB2312"/>
          <w:kern w:val="0"/>
        </w:rPr>
      </w:pPr>
      <w:r>
        <w:rPr>
          <w:rFonts w:ascii="楷体_GB2312" w:eastAsia="楷体_GB2312" w:cs="楷体_GB2312" w:hint="eastAsia"/>
          <w:kern w:val="0"/>
        </w:rPr>
        <w:t>明年投资的方向主要</w:t>
      </w:r>
      <w:r w:rsidR="00D77F7E">
        <w:rPr>
          <w:rFonts w:ascii="楷体_GB2312" w:eastAsia="楷体_GB2312" w:cs="楷体_GB2312" w:hint="eastAsia"/>
          <w:kern w:val="0"/>
        </w:rPr>
        <w:t>在于</w:t>
      </w:r>
      <w:r>
        <w:rPr>
          <w:rFonts w:ascii="楷体_GB2312" w:eastAsia="楷体_GB2312" w:cs="楷体_GB2312" w:hint="eastAsia"/>
          <w:kern w:val="0"/>
        </w:rPr>
        <w:t>业绩增长的预期，而在经济下行阶段业绩增长预期来自于需求稳定也就是业绩抗周期性和成本的明显下降，考虑到明年全球经济的适度增长，主要的制造业国家和资源国家面临经济下行趋势，明年大宗商品价格会出现显著下降，将对于那些具有行业垄断能力和议价能力的企业缓解成本压力，从目前的ROE水平看，</w:t>
      </w:r>
      <w:r w:rsidR="00915E66" w:rsidRPr="00915E66">
        <w:rPr>
          <w:rFonts w:ascii="楷体_GB2312" w:eastAsia="楷体_GB2312" w:cs="楷体_GB2312" w:hint="eastAsia"/>
          <w:b/>
          <w:kern w:val="0"/>
        </w:rPr>
        <w:t>石油开采，</w:t>
      </w:r>
      <w:r w:rsidRPr="00915E66">
        <w:rPr>
          <w:rFonts w:ascii="楷体_GB2312" w:eastAsia="楷体_GB2312" w:cs="楷体_GB2312" w:hint="eastAsia"/>
          <w:b/>
          <w:kern w:val="0"/>
        </w:rPr>
        <w:t>电力</w:t>
      </w:r>
      <w:r>
        <w:rPr>
          <w:rFonts w:ascii="楷体_GB2312" w:eastAsia="楷体_GB2312" w:cs="楷体_GB2312" w:hint="eastAsia"/>
          <w:kern w:val="0"/>
        </w:rPr>
        <w:t>，钢铁，航运，</w:t>
      </w:r>
      <w:r w:rsidRPr="00915E66">
        <w:rPr>
          <w:rFonts w:ascii="楷体_GB2312" w:eastAsia="楷体_GB2312" w:cs="楷体_GB2312" w:hint="eastAsia"/>
          <w:b/>
          <w:kern w:val="0"/>
        </w:rPr>
        <w:t>造纸，</w:t>
      </w:r>
      <w:r w:rsidR="00915E66" w:rsidRPr="00915E66">
        <w:rPr>
          <w:rFonts w:ascii="楷体_GB2312" w:eastAsia="楷体_GB2312" w:cs="楷体_GB2312" w:hint="eastAsia"/>
          <w:b/>
          <w:kern w:val="0"/>
        </w:rPr>
        <w:t>民爆，</w:t>
      </w:r>
      <w:r w:rsidRPr="00915E66">
        <w:rPr>
          <w:rFonts w:ascii="楷体_GB2312" w:eastAsia="楷体_GB2312" w:cs="楷体_GB2312" w:hint="eastAsia"/>
          <w:b/>
          <w:kern w:val="0"/>
        </w:rPr>
        <w:t>电气设备</w:t>
      </w:r>
      <w:r w:rsidR="00915E66">
        <w:rPr>
          <w:rFonts w:ascii="楷体_GB2312" w:eastAsia="楷体_GB2312" w:cs="楷体_GB2312" w:hint="eastAsia"/>
          <w:kern w:val="0"/>
        </w:rPr>
        <w:t>等行业ROE水平均处于较低水平或底部区域，除了强周期的钢铁和航运行业外，其他行业均均有可能出现成本下降需求上升的空间。</w:t>
      </w:r>
    </w:p>
    <w:p w:rsidR="00915E66" w:rsidRDefault="00915E66" w:rsidP="003B467F">
      <w:pPr>
        <w:numPr>
          <w:ilvl w:val="0"/>
          <w:numId w:val="3"/>
        </w:numPr>
        <w:tabs>
          <w:tab w:val="num" w:pos="720"/>
        </w:tabs>
        <w:autoSpaceDE w:val="0"/>
        <w:autoSpaceDN w:val="0"/>
        <w:adjustRightInd w:val="0"/>
        <w:spacing w:line="320" w:lineRule="exact"/>
        <w:ind w:left="2154"/>
        <w:jc w:val="left"/>
        <w:rPr>
          <w:rFonts w:ascii="楷体_GB2312" w:eastAsia="楷体_GB2312" w:cs="楷体_GB2312"/>
          <w:kern w:val="0"/>
        </w:rPr>
      </w:pPr>
      <w:r>
        <w:rPr>
          <w:rFonts w:ascii="楷体_GB2312" w:eastAsia="楷体_GB2312" w:cs="楷体_GB2312" w:hint="eastAsia"/>
          <w:kern w:val="0"/>
        </w:rPr>
        <w:t>从成长性来看，受益转型的消费类行业将具备长期的成长性。比如</w:t>
      </w:r>
      <w:r w:rsidRPr="00915E66">
        <w:rPr>
          <w:rFonts w:ascii="楷体_GB2312" w:eastAsia="楷体_GB2312" w:cs="楷体_GB2312" w:hint="eastAsia"/>
          <w:b/>
          <w:kern w:val="0"/>
        </w:rPr>
        <w:t>医药，农业，食品饮料</w:t>
      </w:r>
      <w:r>
        <w:rPr>
          <w:rFonts w:ascii="楷体_GB2312" w:eastAsia="楷体_GB2312" w:cs="楷体_GB2312" w:hint="eastAsia"/>
          <w:kern w:val="0"/>
        </w:rPr>
        <w:t>等行业都是需求稳定增长，同时成本较为固定的行业，从长期来看，这些行业的配置价值非常重要，但短期来看考虑到流动性变化依然存在风险，在12年我们将看到很好的估值水平回落的机会，将带来买入持有的机会。</w:t>
      </w:r>
    </w:p>
    <w:p w:rsidR="00915E66" w:rsidRDefault="00915E66" w:rsidP="003B467F">
      <w:pPr>
        <w:numPr>
          <w:ilvl w:val="0"/>
          <w:numId w:val="3"/>
        </w:numPr>
        <w:tabs>
          <w:tab w:val="num" w:pos="720"/>
        </w:tabs>
        <w:autoSpaceDE w:val="0"/>
        <w:autoSpaceDN w:val="0"/>
        <w:adjustRightInd w:val="0"/>
        <w:spacing w:line="320" w:lineRule="exact"/>
        <w:ind w:left="2154"/>
        <w:jc w:val="left"/>
        <w:rPr>
          <w:rFonts w:ascii="楷体_GB2312" w:eastAsia="楷体_GB2312" w:cs="楷体_GB2312"/>
          <w:kern w:val="0"/>
        </w:rPr>
      </w:pPr>
      <w:r>
        <w:rPr>
          <w:rFonts w:ascii="楷体_GB2312" w:eastAsia="楷体_GB2312" w:cs="楷体_GB2312" w:hint="eastAsia"/>
          <w:kern w:val="0"/>
        </w:rPr>
        <w:t>另外值得关注的行业还包括存在市场化空间的行业，尤其是</w:t>
      </w:r>
      <w:r w:rsidRPr="00C77576">
        <w:rPr>
          <w:rFonts w:ascii="楷体_GB2312" w:eastAsia="楷体_GB2312" w:cs="楷体_GB2312" w:hint="eastAsia"/>
          <w:b/>
          <w:kern w:val="0"/>
        </w:rPr>
        <w:t>传媒，铁路，医疗服务</w:t>
      </w:r>
      <w:proofErr w:type="gramStart"/>
      <w:r>
        <w:rPr>
          <w:rFonts w:ascii="楷体_GB2312" w:eastAsia="楷体_GB2312" w:cs="楷体_GB2312" w:hint="eastAsia"/>
          <w:kern w:val="0"/>
        </w:rPr>
        <w:t>等之前</w:t>
      </w:r>
      <w:proofErr w:type="gramEnd"/>
      <w:r>
        <w:rPr>
          <w:rFonts w:ascii="楷体_GB2312" w:eastAsia="楷体_GB2312" w:cs="楷体_GB2312" w:hint="eastAsia"/>
          <w:kern w:val="0"/>
        </w:rPr>
        <w:t>管制较为严格的行业，随着市场化的深入，行业将进入高速增长阶段</w:t>
      </w:r>
      <w:r w:rsidR="00D77F7E">
        <w:rPr>
          <w:rFonts w:ascii="楷体_GB2312" w:eastAsia="楷体_GB2312" w:cs="楷体_GB2312" w:hint="eastAsia"/>
          <w:kern w:val="0"/>
        </w:rPr>
        <w:t>，</w:t>
      </w:r>
      <w:r>
        <w:rPr>
          <w:rFonts w:ascii="楷体_GB2312" w:eastAsia="楷体_GB2312" w:cs="楷体_GB2312" w:hint="eastAsia"/>
          <w:kern w:val="0"/>
        </w:rPr>
        <w:t>值得长期关注</w:t>
      </w:r>
      <w:bookmarkEnd w:id="0"/>
      <w:bookmarkEnd w:id="1"/>
      <w:bookmarkEnd w:id="2"/>
      <w:bookmarkEnd w:id="32"/>
      <w:bookmarkEnd w:id="33"/>
      <w:r w:rsidR="00D77F7E">
        <w:rPr>
          <w:rFonts w:ascii="楷体_GB2312" w:eastAsia="楷体_GB2312" w:cs="楷体_GB2312" w:hint="eastAsia"/>
          <w:kern w:val="0"/>
        </w:rPr>
        <w:t>。</w:t>
      </w:r>
    </w:p>
    <w:p w:rsidR="0087312A" w:rsidRPr="002C669D" w:rsidRDefault="0087312A" w:rsidP="008B0962">
      <w:pPr>
        <w:pStyle w:val="1"/>
        <w:spacing w:beforeLines="50" w:afterLines="50" w:line="480" w:lineRule="auto"/>
        <w:ind w:left="2160"/>
        <w:rPr>
          <w:rFonts w:ascii="楷体_GB2312" w:eastAsia="楷体_GB2312" w:hAnsi="宋体"/>
          <w:sz w:val="21"/>
          <w:szCs w:val="21"/>
        </w:rPr>
      </w:pPr>
      <w:bookmarkStart w:id="37" w:name="_Toc313737751"/>
      <w:r>
        <w:rPr>
          <w:rFonts w:ascii="楷体_GB2312" w:eastAsia="楷体_GB2312" w:hAnsi="宋体" w:cs="楷体_GB2312" w:hint="eastAsia"/>
          <w:sz w:val="21"/>
          <w:szCs w:val="21"/>
        </w:rPr>
        <w:t>4．</w:t>
      </w:r>
      <w:r w:rsidRPr="0087312A">
        <w:rPr>
          <w:rFonts w:ascii="楷体_GB2312" w:eastAsia="楷体_GB2312" w:hAnsi="宋体" w:cs="楷体_GB2312" w:hint="eastAsia"/>
          <w:sz w:val="21"/>
          <w:szCs w:val="21"/>
        </w:rPr>
        <w:t>行业策略</w:t>
      </w:r>
      <w:bookmarkEnd w:id="37"/>
    </w:p>
    <w:p w:rsidR="0087312A" w:rsidRDefault="0087312A" w:rsidP="0087312A">
      <w:pPr>
        <w:autoSpaceDE w:val="0"/>
        <w:autoSpaceDN w:val="0"/>
        <w:adjustRightInd w:val="0"/>
        <w:spacing w:line="320" w:lineRule="exact"/>
        <w:ind w:left="2154"/>
        <w:jc w:val="left"/>
        <w:rPr>
          <w:rFonts w:ascii="楷体_GB2312" w:eastAsia="楷体_GB2312" w:cs="楷体_GB2312"/>
          <w:kern w:val="0"/>
        </w:rPr>
      </w:pPr>
    </w:p>
    <w:p w:rsidR="0087312A" w:rsidRDefault="0087312A" w:rsidP="0087312A">
      <w:pPr>
        <w:pStyle w:val="ac"/>
        <w:numPr>
          <w:ilvl w:val="0"/>
          <w:numId w:val="3"/>
        </w:numPr>
        <w:autoSpaceDE w:val="0"/>
        <w:autoSpaceDN w:val="0"/>
        <w:adjustRightInd w:val="0"/>
        <w:spacing w:line="360" w:lineRule="exact"/>
        <w:ind w:firstLineChars="0"/>
        <w:rPr>
          <w:rFonts w:ascii="楷体_GB2312" w:eastAsia="楷体_GB2312" w:cs="楷体_GB2312"/>
          <w:kern w:val="0"/>
        </w:rPr>
      </w:pPr>
      <w:r>
        <w:rPr>
          <w:rFonts w:ascii="楷体_GB2312" w:eastAsia="楷体_GB2312" w:cs="楷体_GB2312" w:hint="eastAsia"/>
          <w:kern w:val="0"/>
        </w:rPr>
        <w:t>我们对主要的上中下游行业中的重点行业进行了梳理，并对各个行业中看好的方向进行了详细的说明。基本金属方面我们认为弹性在下降，而小金属存在更多的机会，农业方面我们长期看好集约化对农业行业的改变；化工方面，我们更加看好新材料的投资机会，主要包括外墙保温材料，脱硫剂以及可降解材料，资源类我们主要看好钾和磷，轻工行业方面主要看好包装行业；机械行业我们长期看好能源装备子行业；医药行业尽管长期看好，但短期医药行业整体增速面临放缓，所以在医药行业中我们看好，消费化的中药，特色原料药，和各子行业的龙头企业；食品饮料行业我们长期看好建议持续超配。餐饮旅游增长稳定但目前估值过高，而服装行业面临长期去库存压力。</w:t>
      </w:r>
    </w:p>
    <w:p w:rsidR="0087312A" w:rsidRPr="00C048BB" w:rsidRDefault="0087312A" w:rsidP="0087312A">
      <w:pPr>
        <w:pStyle w:val="ac"/>
        <w:rPr>
          <w:rFonts w:ascii="楷体_GB2312" w:eastAsia="楷体_GB2312" w:cs="楷体_GB2312"/>
          <w:kern w:val="0"/>
        </w:rPr>
      </w:pPr>
    </w:p>
    <w:p w:rsidR="00C205F5" w:rsidRDefault="0087312A" w:rsidP="0087312A">
      <w:pPr>
        <w:pStyle w:val="ac"/>
        <w:numPr>
          <w:ilvl w:val="0"/>
          <w:numId w:val="3"/>
        </w:numPr>
        <w:autoSpaceDE w:val="0"/>
        <w:autoSpaceDN w:val="0"/>
        <w:adjustRightInd w:val="0"/>
        <w:spacing w:line="360" w:lineRule="exact"/>
        <w:ind w:firstLineChars="0"/>
        <w:rPr>
          <w:rFonts w:ascii="楷体_GB2312" w:eastAsia="楷体_GB2312" w:cs="楷体_GB2312"/>
          <w:kern w:val="0"/>
        </w:rPr>
      </w:pPr>
      <w:r w:rsidRPr="0087312A">
        <w:rPr>
          <w:rFonts w:ascii="楷体_GB2312" w:eastAsia="楷体_GB2312" w:cs="楷体_GB2312" w:hint="eastAsia"/>
          <w:kern w:val="0"/>
        </w:rPr>
        <w:t>汽车行业我们认为未来投资机会将多出现在商用车排放升级、城市化带来的公交市场增长，以及不断成熟的售后市场，同时我们对新能源汽车行业产业方向与产业化进程密切关注；通信行业方面，我们认为2012年整体行业的机会不大，我们更多关注结构性的机会。传媒行业主要关注政策扶持的影视剧行业，IPTV等新媒体行业。环保行业主要关注</w:t>
      </w:r>
      <w:r w:rsidRPr="0087312A">
        <w:rPr>
          <w:rFonts w:ascii="楷体_GB2312" w:eastAsia="楷体_GB2312" w:cs="楷体_GB2312" w:hint="eastAsia"/>
          <w:kern w:val="0"/>
        </w:rPr>
        <w:lastRenderedPageBreak/>
        <w:t>大气监测，固废处理以及水处理等具有技术优势和异地扩张能力的龙头企业；电力设备行业主要推荐只能电网，和电网二次设备；新能源行业更加关注核电行业的长期潜力</w:t>
      </w:r>
    </w:p>
    <w:p w:rsidR="00C205F5" w:rsidRDefault="00C205F5" w:rsidP="00C205F5">
      <w:pPr>
        <w:autoSpaceDE w:val="0"/>
        <w:autoSpaceDN w:val="0"/>
        <w:adjustRightInd w:val="0"/>
        <w:spacing w:line="320" w:lineRule="exact"/>
        <w:jc w:val="left"/>
        <w:rPr>
          <w:rFonts w:ascii="楷体_GB2312" w:eastAsia="楷体_GB2312" w:cs="楷体_GB2312"/>
          <w:kern w:val="0"/>
        </w:rPr>
      </w:pPr>
    </w:p>
    <w:p w:rsidR="00C32B55" w:rsidRDefault="00C32B55" w:rsidP="00C205F5">
      <w:pPr>
        <w:autoSpaceDE w:val="0"/>
        <w:autoSpaceDN w:val="0"/>
        <w:adjustRightInd w:val="0"/>
        <w:spacing w:line="320" w:lineRule="exact"/>
        <w:jc w:val="left"/>
        <w:rPr>
          <w:rFonts w:ascii="楷体_GB2312" w:eastAsia="楷体_GB2312" w:cs="楷体_GB2312"/>
          <w:kern w:val="0"/>
        </w:rPr>
      </w:pPr>
    </w:p>
    <w:p w:rsidR="00097DFD" w:rsidRDefault="00C205F5" w:rsidP="008B0962">
      <w:pPr>
        <w:pStyle w:val="1"/>
        <w:spacing w:beforeLines="50" w:afterLines="50" w:line="480" w:lineRule="auto"/>
        <w:ind w:left="2160"/>
        <w:rPr>
          <w:rFonts w:ascii="楷体_GB2312" w:eastAsia="楷体_GB2312" w:hAnsi="宋体"/>
          <w:sz w:val="21"/>
          <w:szCs w:val="21"/>
        </w:rPr>
      </w:pPr>
      <w:bookmarkStart w:id="38" w:name="_Toc313737752"/>
      <w:r>
        <w:rPr>
          <w:rFonts w:ascii="楷体_GB2312" w:eastAsia="楷体_GB2312" w:hAnsi="宋体" w:cs="楷体_GB2312" w:hint="eastAsia"/>
          <w:sz w:val="21"/>
          <w:szCs w:val="21"/>
        </w:rPr>
        <w:t>四、</w:t>
      </w:r>
      <w:r w:rsidR="00DB0286">
        <w:rPr>
          <w:rFonts w:ascii="楷体_GB2312" w:eastAsia="楷体_GB2312" w:hAnsi="宋体" w:cs="楷体_GB2312" w:hint="eastAsia"/>
          <w:sz w:val="21"/>
          <w:szCs w:val="21"/>
        </w:rPr>
        <w:t>行业策略观点</w:t>
      </w:r>
      <w:bookmarkEnd w:id="38"/>
    </w:p>
    <w:p w:rsidR="00097DFD" w:rsidRDefault="00B536F5" w:rsidP="008B0962">
      <w:pPr>
        <w:pStyle w:val="ac"/>
        <w:numPr>
          <w:ilvl w:val="0"/>
          <w:numId w:val="4"/>
        </w:numPr>
        <w:autoSpaceDE w:val="0"/>
        <w:autoSpaceDN w:val="0"/>
        <w:adjustRightInd w:val="0"/>
        <w:spacing w:afterLines="50"/>
        <w:ind w:left="2705" w:firstLineChars="0"/>
        <w:jc w:val="left"/>
        <w:rPr>
          <w:rFonts w:ascii="楷体_GB2312" w:eastAsia="楷体_GB2312" w:hAnsi="宋体" w:cs="楷体_GB2312"/>
          <w:b/>
          <w:bCs/>
          <w:kern w:val="44"/>
        </w:rPr>
      </w:pPr>
      <w:r w:rsidRPr="008109F7">
        <w:rPr>
          <w:rFonts w:ascii="楷体_GB2312" w:eastAsia="楷体_GB2312" w:hAnsi="宋体" w:cs="楷体_GB2312" w:hint="eastAsia"/>
          <w:b/>
          <w:bCs/>
          <w:kern w:val="44"/>
        </w:rPr>
        <w:t>煤炭行业：回归能源属性，等待复苏周期</w:t>
      </w:r>
    </w:p>
    <w:p w:rsidR="00097DFD" w:rsidRDefault="00097DFD" w:rsidP="008B0962">
      <w:pPr>
        <w:pStyle w:val="ac"/>
        <w:autoSpaceDE w:val="0"/>
        <w:autoSpaceDN w:val="0"/>
        <w:adjustRightInd w:val="0"/>
        <w:spacing w:afterLines="50"/>
        <w:ind w:left="2880" w:firstLineChars="0" w:firstLine="0"/>
        <w:jc w:val="left"/>
        <w:rPr>
          <w:rFonts w:ascii="楷体_GB2312" w:eastAsia="楷体_GB2312" w:hAnsi="宋体"/>
          <w:b/>
        </w:rPr>
      </w:pPr>
    </w:p>
    <w:p w:rsidR="00097DFD" w:rsidRDefault="00B536F5" w:rsidP="008B0962">
      <w:pPr>
        <w:autoSpaceDE w:val="0"/>
        <w:autoSpaceDN w:val="0"/>
        <w:adjustRightInd w:val="0"/>
        <w:spacing w:afterLines="50"/>
        <w:ind w:left="2155"/>
        <w:jc w:val="left"/>
        <w:rPr>
          <w:rFonts w:ascii="楷体_GB2312" w:eastAsia="楷体_GB2312" w:hAnsi="宋体"/>
        </w:rPr>
      </w:pPr>
      <w:r w:rsidRPr="00D53771">
        <w:rPr>
          <w:rFonts w:ascii="楷体_GB2312" w:eastAsia="楷体_GB2312" w:hAnsi="宋体" w:hint="eastAsia"/>
        </w:rPr>
        <w:t>煤炭行业走过了黄金十年，回顾这个大周期，促使行业景气持续走高有三个因素：固定资产投资持续高增长、煤炭价格市场化和资源整合。站在现在经济增速趋向平稳、产业升级逐步推进的时点，我们认为固定资产投资到钢铁到炼焦煤的需求传导路径比重将会降低，煤炭作为基础能源的价值将会成为中长期的市场主题。长期来看煤炭股的估值中枢会下移，短期受制于产地和消费地的不均衡分布，煤炭价格的景气程度将得到一定程度的维持。我们认为2012年是国内外宏观经济不确定性较高，动力煤的下游需求平稳，炼焦煤的下游需求取决于固定资产投资的放缓速度，无烟煤的下游需求介于动力煤和炼焦煤之间，适用于化肥行业的优质无烟煤有明显的稀缺性。基于此我们重点看好拥有丰富储备和优质资源的动力煤和无烟煤企业，同时看好发展后劲区域的炼焦煤企业。</w:t>
      </w:r>
    </w:p>
    <w:p w:rsidR="00097DFD" w:rsidRDefault="00B536F5" w:rsidP="008B0962">
      <w:pPr>
        <w:autoSpaceDE w:val="0"/>
        <w:autoSpaceDN w:val="0"/>
        <w:adjustRightInd w:val="0"/>
        <w:spacing w:afterLines="50"/>
        <w:ind w:left="2155"/>
        <w:jc w:val="left"/>
        <w:rPr>
          <w:rFonts w:ascii="楷体_GB2312" w:eastAsia="楷体_GB2312" w:hAnsi="宋体"/>
        </w:rPr>
      </w:pPr>
      <w:r w:rsidRPr="00D53771">
        <w:rPr>
          <w:rFonts w:ascii="楷体_GB2312" w:eastAsia="楷体_GB2312" w:hAnsi="宋体" w:hint="eastAsia"/>
        </w:rPr>
        <w:t>随着产业升级和新型产业的发展，长期来看煤炭行业获得超额收益能力越来越难，煤炭股的估值水平将是在传统行业中估值下行比较明显的行业。在煤炭板块整体估值水平下行过程中，我们认为代表低碳和节能减排的煤炭的清洁利用如煤电化和煤气化将成为未来的主要路径，也是在产业升级中我们依然看好的方向。</w:t>
      </w:r>
    </w:p>
    <w:p w:rsidR="00097DFD" w:rsidRDefault="00097DFD" w:rsidP="008B0962">
      <w:pPr>
        <w:autoSpaceDE w:val="0"/>
        <w:autoSpaceDN w:val="0"/>
        <w:adjustRightInd w:val="0"/>
        <w:spacing w:afterLines="50"/>
        <w:ind w:left="2155"/>
        <w:jc w:val="left"/>
        <w:rPr>
          <w:rFonts w:ascii="楷体_GB2312" w:eastAsia="楷体_GB2312" w:hAnsi="宋体"/>
        </w:rPr>
      </w:pPr>
    </w:p>
    <w:p w:rsidR="00097DFD" w:rsidRDefault="00B536F5" w:rsidP="008B0962">
      <w:pPr>
        <w:pStyle w:val="ac"/>
        <w:numPr>
          <w:ilvl w:val="0"/>
          <w:numId w:val="9"/>
        </w:numPr>
        <w:autoSpaceDE w:val="0"/>
        <w:autoSpaceDN w:val="0"/>
        <w:adjustRightInd w:val="0"/>
        <w:spacing w:afterLines="50"/>
        <w:ind w:firstLineChars="0"/>
        <w:jc w:val="left"/>
        <w:rPr>
          <w:rFonts w:ascii="楷体_GB2312" w:eastAsia="楷体_GB2312" w:hAnsi="宋体"/>
          <w:b/>
        </w:rPr>
      </w:pPr>
      <w:r w:rsidRPr="00D53771">
        <w:rPr>
          <w:rFonts w:ascii="楷体_GB2312" w:eastAsia="楷体_GB2312" w:hAnsi="宋体" w:hint="eastAsia"/>
          <w:b/>
        </w:rPr>
        <w:t>12年动力煤价格小幅看涨</w:t>
      </w:r>
      <w:r>
        <w:rPr>
          <w:rFonts w:ascii="楷体_GB2312" w:eastAsia="楷体_GB2312" w:hAnsi="宋体" w:hint="eastAsia"/>
          <w:b/>
        </w:rPr>
        <w:t>，疆煤东运将成为十二五的亮点</w:t>
      </w:r>
    </w:p>
    <w:p w:rsidR="00097DFD" w:rsidRDefault="00097DFD" w:rsidP="008B0962">
      <w:pPr>
        <w:pStyle w:val="ac"/>
        <w:autoSpaceDE w:val="0"/>
        <w:autoSpaceDN w:val="0"/>
        <w:adjustRightInd w:val="0"/>
        <w:spacing w:afterLines="50"/>
        <w:ind w:left="2575" w:firstLineChars="0" w:firstLine="0"/>
        <w:jc w:val="left"/>
        <w:rPr>
          <w:rFonts w:ascii="楷体_GB2312" w:eastAsia="楷体_GB2312" w:hAnsi="宋体"/>
          <w:b/>
        </w:rPr>
      </w:pPr>
    </w:p>
    <w:p w:rsidR="00097DFD" w:rsidRDefault="00B536F5" w:rsidP="008B0962">
      <w:pPr>
        <w:autoSpaceDE w:val="0"/>
        <w:autoSpaceDN w:val="0"/>
        <w:adjustRightInd w:val="0"/>
        <w:spacing w:afterLines="50"/>
        <w:ind w:left="2155"/>
        <w:jc w:val="left"/>
        <w:rPr>
          <w:rFonts w:ascii="楷体_GB2312" w:eastAsia="楷体_GB2312" w:hAnsi="宋体"/>
        </w:rPr>
      </w:pPr>
      <w:r w:rsidRPr="00D53771">
        <w:rPr>
          <w:rFonts w:ascii="楷体_GB2312" w:eastAsia="楷体_GB2312" w:hAnsi="宋体" w:hint="eastAsia"/>
        </w:rPr>
        <w:t>未来一段时期内，尽管占比下降，但是煤炭作为中国基础性能源的地位不会动摇。动力煤主产地和能源消耗密集区的不均衡分布使得长距离运输能力成为煤炭有效供给的制约。从铁路规划和建设进度来看，2012年的铁路运力增长有限，预计内蒙古和新疆的铁路运输能力显著改善的时间点将会推迟到十二五末期。尽管发改委出台限价令，港口煤价的下游需求的平稳增长和有效供给释放进度缓慢仍将使动力煤价格维持高位，不至于出现超预期的大幅下跌。以动力煤的生产区域划分，我们长期看好陕西、内蒙古和新疆的动力煤企业。</w:t>
      </w:r>
    </w:p>
    <w:p w:rsidR="00097DFD" w:rsidRDefault="00B536F5" w:rsidP="008B0962">
      <w:pPr>
        <w:autoSpaceDE w:val="0"/>
        <w:autoSpaceDN w:val="0"/>
        <w:adjustRightInd w:val="0"/>
        <w:spacing w:afterLines="50"/>
        <w:ind w:left="2155"/>
        <w:jc w:val="left"/>
        <w:rPr>
          <w:rFonts w:ascii="楷体_GB2312" w:eastAsia="楷体_GB2312" w:hAnsi="宋体"/>
        </w:rPr>
      </w:pPr>
      <w:r w:rsidRPr="00D53771">
        <w:rPr>
          <w:rFonts w:ascii="楷体_GB2312" w:eastAsia="楷体_GB2312" w:hAnsi="宋体" w:hint="eastAsia"/>
        </w:rPr>
        <w:t>陕北地区煤田赋存好、发热量高、开采难度小，适宜大型现代化矿井建设。过去制约陕西煤炭盈利能力的铁路运力问题将逐渐得到改善，东西向穿越陕北的太中银铁路和南北向穿越陕西省的包西铁路已经通车，由于带来的运力释放将在未来几年提高陕北煤炭的外运比例。随着部分高耗能产业向中西部转移，陕西周边地域的动力煤需求增速将高于全国平均水平。</w:t>
      </w:r>
    </w:p>
    <w:p w:rsidR="00097DFD" w:rsidRDefault="00B536F5" w:rsidP="008B0962">
      <w:pPr>
        <w:autoSpaceDE w:val="0"/>
        <w:autoSpaceDN w:val="0"/>
        <w:adjustRightInd w:val="0"/>
        <w:spacing w:afterLines="50"/>
        <w:ind w:left="2155"/>
        <w:jc w:val="left"/>
        <w:rPr>
          <w:rFonts w:ascii="楷体_GB2312" w:eastAsia="楷体_GB2312" w:hAnsi="宋体"/>
        </w:rPr>
      </w:pPr>
      <w:r w:rsidRPr="00D53771">
        <w:rPr>
          <w:rFonts w:ascii="楷体_GB2312" w:eastAsia="楷体_GB2312" w:hAnsi="宋体" w:hint="eastAsia"/>
        </w:rPr>
        <w:t>内蒙古蒙西和蒙东地区的煤炭同样受益于当地需求增长和铁路运力释放，盈利能力将逐步提高，尽管其铁路运力释放的进度比陕北要晚。随着内蒙古煤炭就地转化率要求的实行，可以预见大批工业项目陆续上马，电力需求将迅速提高。蒙西地区煤炭外运的瓶颈将在蒙西-湖</w:t>
      </w:r>
      <w:r w:rsidRPr="00D53771">
        <w:rPr>
          <w:rFonts w:ascii="楷体_GB2312" w:eastAsia="楷体_GB2312" w:hAnsi="宋体" w:hint="eastAsia"/>
        </w:rPr>
        <w:lastRenderedPageBreak/>
        <w:t>北铁路完成之后才能完全解决，因此我们更看重内蒙煤炭企业量的扩张，蒙西地区资源整合的进度也是关注的要点。蒙东地区的褐煤随着铁路港口配套的逐步完善，销售半径有所扩大。</w:t>
      </w:r>
    </w:p>
    <w:p w:rsidR="00097DFD" w:rsidRDefault="00B536F5" w:rsidP="008B0962">
      <w:pPr>
        <w:autoSpaceDE w:val="0"/>
        <w:autoSpaceDN w:val="0"/>
        <w:adjustRightInd w:val="0"/>
        <w:spacing w:afterLines="50"/>
        <w:ind w:left="2155"/>
        <w:jc w:val="left"/>
        <w:rPr>
          <w:rFonts w:ascii="楷体_GB2312" w:eastAsia="楷体_GB2312" w:hAnsi="宋体"/>
        </w:rPr>
      </w:pPr>
      <w:r w:rsidRPr="00D53771">
        <w:rPr>
          <w:rFonts w:ascii="楷体_GB2312" w:eastAsia="楷体_GB2312" w:hAnsi="宋体" w:hint="eastAsia"/>
        </w:rPr>
        <w:t>新疆丰富的煤炭资源将成为未来煤炭供应的重要影响力量；新疆煤炭主要分为四大基地，储量丰富。煤炭地层面积预计为30.7万平方公里，煤炭预测资源量2.19万亿吨。占全国40%，居全国之冠；已探明的储量约170多亿吨，在全国</w:t>
      </w:r>
      <w:r w:rsidR="00182882">
        <w:rPr>
          <w:rFonts w:ascii="楷体_GB2312" w:eastAsia="楷体_GB2312" w:hAnsi="宋体" w:hint="eastAsia"/>
        </w:rPr>
        <w:t>名列</w:t>
      </w:r>
      <w:r w:rsidRPr="00D53771">
        <w:rPr>
          <w:rFonts w:ascii="楷体_GB2312" w:eastAsia="楷体_GB2312" w:hAnsi="宋体" w:hint="eastAsia"/>
        </w:rPr>
        <w:t>第8位，在西北地区名列第2位。受国家对新疆地区的投资倾斜，短期内运力或将成为制约因素，但是“十二五”中后期来看随着“一主两翼”逐步建成通车，铁路运输将不会再成为制约疆煤外运的瓶颈，尤其是靠近消费区域的新疆哈密地区，相关公司所控制的煤炭资源将成为疆煤外运的主要受益者。</w:t>
      </w:r>
    </w:p>
    <w:p w:rsidR="00097DFD" w:rsidRDefault="00B536F5" w:rsidP="008B0962">
      <w:pPr>
        <w:autoSpaceDE w:val="0"/>
        <w:autoSpaceDN w:val="0"/>
        <w:adjustRightInd w:val="0"/>
        <w:spacing w:afterLines="50"/>
        <w:ind w:left="2155"/>
        <w:jc w:val="left"/>
        <w:rPr>
          <w:rFonts w:ascii="楷体_GB2312" w:eastAsia="楷体_GB2312" w:hAnsi="宋体"/>
        </w:rPr>
      </w:pPr>
      <w:r w:rsidRPr="00D53771">
        <w:rPr>
          <w:rFonts w:ascii="楷体_GB2312" w:eastAsia="楷体_GB2312" w:hAnsi="宋体" w:hint="eastAsia"/>
        </w:rPr>
        <w:t>新疆作为我国的后备煤炭资源基地一直因运力问题而被大众忽略其供给潜力，但是我们认为对于新疆的四大煤炭基地要进行区别分析。我们认为哈密地区的煤炭资源位于新疆最东部，是疆煤外运的窗口。尤其是随着“一主两翼”铁路的陆续开工，2014年运输问题将不再是制约疆煤外运的主要矛盾。而铁路运输并不是解决哈煤炭外运的唯一出路，哈密地区的煤炭资源有可能成为甘肃西部区域的“十二五”发展的能源基地。</w:t>
      </w:r>
    </w:p>
    <w:p w:rsidR="00097DFD" w:rsidRDefault="00097DFD" w:rsidP="008B0962">
      <w:pPr>
        <w:autoSpaceDE w:val="0"/>
        <w:autoSpaceDN w:val="0"/>
        <w:adjustRightInd w:val="0"/>
        <w:spacing w:afterLines="50"/>
        <w:ind w:left="2155"/>
        <w:jc w:val="left"/>
        <w:rPr>
          <w:rFonts w:ascii="楷体_GB2312" w:eastAsia="楷体_GB2312" w:hAnsi="宋体"/>
        </w:rPr>
      </w:pPr>
    </w:p>
    <w:p w:rsidR="00097DFD" w:rsidRDefault="00B536F5" w:rsidP="008B0962">
      <w:pPr>
        <w:pStyle w:val="ac"/>
        <w:numPr>
          <w:ilvl w:val="0"/>
          <w:numId w:val="9"/>
        </w:numPr>
        <w:autoSpaceDE w:val="0"/>
        <w:autoSpaceDN w:val="0"/>
        <w:adjustRightInd w:val="0"/>
        <w:spacing w:afterLines="50"/>
        <w:ind w:firstLineChars="0"/>
        <w:jc w:val="left"/>
        <w:rPr>
          <w:rFonts w:ascii="楷体_GB2312" w:eastAsia="楷体_GB2312" w:hAnsi="宋体"/>
          <w:b/>
        </w:rPr>
      </w:pPr>
      <w:r>
        <w:rPr>
          <w:rFonts w:ascii="楷体_GB2312" w:eastAsia="楷体_GB2312" w:hAnsi="宋体" w:hint="eastAsia"/>
          <w:b/>
        </w:rPr>
        <w:t>优质</w:t>
      </w:r>
      <w:r w:rsidRPr="00D53771">
        <w:rPr>
          <w:rFonts w:ascii="楷体_GB2312" w:eastAsia="楷体_GB2312" w:hAnsi="宋体" w:hint="eastAsia"/>
          <w:b/>
        </w:rPr>
        <w:t>无烟煤</w:t>
      </w:r>
      <w:r>
        <w:rPr>
          <w:rFonts w:ascii="楷体_GB2312" w:eastAsia="楷体_GB2312" w:hAnsi="宋体" w:hint="eastAsia"/>
          <w:b/>
        </w:rPr>
        <w:t>未来盈利能力值得看好</w:t>
      </w:r>
    </w:p>
    <w:p w:rsidR="00097DFD" w:rsidRDefault="00097DFD" w:rsidP="008B0962">
      <w:pPr>
        <w:pStyle w:val="ac"/>
        <w:autoSpaceDE w:val="0"/>
        <w:autoSpaceDN w:val="0"/>
        <w:adjustRightInd w:val="0"/>
        <w:spacing w:afterLines="50"/>
        <w:ind w:left="2575" w:firstLineChars="0" w:firstLine="0"/>
        <w:jc w:val="left"/>
        <w:rPr>
          <w:rFonts w:ascii="楷体_GB2312" w:eastAsia="楷体_GB2312" w:hAnsi="宋体"/>
          <w:b/>
        </w:rPr>
      </w:pPr>
    </w:p>
    <w:p w:rsidR="00097DFD" w:rsidRDefault="00B536F5" w:rsidP="008B0962">
      <w:pPr>
        <w:autoSpaceDE w:val="0"/>
        <w:autoSpaceDN w:val="0"/>
        <w:adjustRightInd w:val="0"/>
        <w:spacing w:afterLines="50"/>
        <w:ind w:left="2155"/>
        <w:jc w:val="left"/>
        <w:rPr>
          <w:rFonts w:ascii="楷体_GB2312" w:eastAsia="楷体_GB2312" w:hAnsi="宋体"/>
        </w:rPr>
      </w:pPr>
      <w:r w:rsidRPr="00D53771">
        <w:rPr>
          <w:rFonts w:ascii="楷体_GB2312" w:eastAsia="楷体_GB2312" w:hAnsi="宋体" w:hint="eastAsia"/>
        </w:rPr>
        <w:t>我国无烟煤资源量占到煤炭总资源量的比例低于10%，近年无烟煤产量增速远低于煤炭总产量增速，从煤种来看无烟煤最具有稀缺性。无烟煤中的喷吹煤主要用于冶金行业，价格走势和炼焦煤价格趋于一致，我们将其当做炼焦煤的替代品考虑；无烟煤的另一下游化肥行业涉及农业民生，将保持稳定增长，是值得长期看好的品种。</w:t>
      </w:r>
    </w:p>
    <w:p w:rsidR="00097DFD" w:rsidRDefault="00B536F5" w:rsidP="008B0962">
      <w:pPr>
        <w:autoSpaceDE w:val="0"/>
        <w:autoSpaceDN w:val="0"/>
        <w:adjustRightInd w:val="0"/>
        <w:spacing w:afterLines="50"/>
        <w:ind w:left="2155"/>
        <w:jc w:val="left"/>
        <w:rPr>
          <w:rFonts w:ascii="楷体_GB2312" w:eastAsia="楷体_GB2312" w:hAnsi="宋体"/>
        </w:rPr>
      </w:pPr>
      <w:r w:rsidRPr="00D53771">
        <w:rPr>
          <w:rFonts w:ascii="楷体_GB2312" w:eastAsia="楷体_GB2312" w:hAnsi="宋体" w:hint="eastAsia"/>
        </w:rPr>
        <w:t>无烟煤作为煤化程度最高的煤，在国内的分布较为集中，只有山西、河南、北京和宁夏部分地区储有，均属开采较为充分地区，未来新建矿井很少，难有规模以上的新增有效供给。除化肥行业需求外，无烟煤价格同样受天然气价格的影响，气头化肥和煤头化肥存在替代关系，我们认为随着国内天然气价格改革，天然气价格长期看好，从而对无烟煤价格形成支撑。产品中无烟块煤较多的企业未来盈利能力值得看好。</w:t>
      </w:r>
    </w:p>
    <w:p w:rsidR="00097DFD" w:rsidRDefault="00097DFD" w:rsidP="008B0962">
      <w:pPr>
        <w:autoSpaceDE w:val="0"/>
        <w:autoSpaceDN w:val="0"/>
        <w:adjustRightInd w:val="0"/>
        <w:spacing w:afterLines="50"/>
        <w:ind w:left="2155"/>
        <w:jc w:val="left"/>
        <w:rPr>
          <w:rFonts w:ascii="楷体_GB2312" w:eastAsia="楷体_GB2312" w:hAnsi="宋体"/>
        </w:rPr>
      </w:pPr>
    </w:p>
    <w:p w:rsidR="00097DFD" w:rsidRDefault="00B536F5" w:rsidP="008B0962">
      <w:pPr>
        <w:pStyle w:val="ac"/>
        <w:numPr>
          <w:ilvl w:val="0"/>
          <w:numId w:val="9"/>
        </w:numPr>
        <w:autoSpaceDE w:val="0"/>
        <w:autoSpaceDN w:val="0"/>
        <w:adjustRightInd w:val="0"/>
        <w:spacing w:afterLines="50"/>
        <w:ind w:firstLineChars="0"/>
        <w:jc w:val="left"/>
        <w:rPr>
          <w:rFonts w:ascii="楷体_GB2312" w:eastAsia="楷体_GB2312" w:hAnsi="宋体"/>
          <w:b/>
        </w:rPr>
      </w:pPr>
      <w:r w:rsidRPr="00D53771">
        <w:rPr>
          <w:rFonts w:ascii="楷体_GB2312" w:eastAsia="楷体_GB2312" w:hAnsi="宋体" w:hint="eastAsia"/>
          <w:b/>
        </w:rPr>
        <w:t>炼焦煤</w:t>
      </w:r>
      <w:r>
        <w:rPr>
          <w:rFonts w:ascii="楷体_GB2312" w:eastAsia="楷体_GB2312" w:hAnsi="宋体" w:hint="eastAsia"/>
          <w:b/>
        </w:rPr>
        <w:t>贵为稀缺性能源，受制于固定资产投资下滑</w:t>
      </w:r>
    </w:p>
    <w:p w:rsidR="00097DFD" w:rsidRDefault="00097DFD" w:rsidP="008B0962">
      <w:pPr>
        <w:pStyle w:val="ac"/>
        <w:autoSpaceDE w:val="0"/>
        <w:autoSpaceDN w:val="0"/>
        <w:adjustRightInd w:val="0"/>
        <w:spacing w:afterLines="50"/>
        <w:ind w:left="2575" w:firstLineChars="0" w:firstLine="0"/>
        <w:jc w:val="left"/>
        <w:rPr>
          <w:rFonts w:ascii="楷体_GB2312" w:eastAsia="楷体_GB2312" w:hAnsi="宋体"/>
          <w:b/>
        </w:rPr>
      </w:pPr>
    </w:p>
    <w:p w:rsidR="00097DFD" w:rsidRDefault="00B536F5" w:rsidP="008B0962">
      <w:pPr>
        <w:autoSpaceDE w:val="0"/>
        <w:autoSpaceDN w:val="0"/>
        <w:adjustRightInd w:val="0"/>
        <w:spacing w:afterLines="50"/>
        <w:ind w:left="2155"/>
        <w:jc w:val="left"/>
        <w:rPr>
          <w:rFonts w:ascii="楷体_GB2312" w:eastAsia="楷体_GB2312" w:hAnsi="宋体"/>
        </w:rPr>
      </w:pPr>
      <w:r w:rsidRPr="00D53771">
        <w:rPr>
          <w:rFonts w:ascii="楷体_GB2312" w:eastAsia="楷体_GB2312" w:hAnsi="宋体" w:hint="eastAsia"/>
        </w:rPr>
        <w:t>炼焦煤的价格走势取决于固定资产投资放缓的程度和国际经济探底情况。炼焦煤作为炼钢原材料，价格与钢铁行业的需求量有着强相关性，在产业升级和货币政策收紧的压力下，炼焦煤价格走向疲软，连带喷吹煤价格一起下行，我们将密切关注固定资产投资放缓的程度，如果货币政策出现转向，炼焦煤的盈利弹性优势将会体现。</w:t>
      </w:r>
    </w:p>
    <w:p w:rsidR="00097DFD" w:rsidRDefault="00B536F5" w:rsidP="008B0962">
      <w:pPr>
        <w:autoSpaceDE w:val="0"/>
        <w:autoSpaceDN w:val="0"/>
        <w:adjustRightInd w:val="0"/>
        <w:spacing w:afterLines="50"/>
        <w:ind w:left="2155"/>
        <w:jc w:val="left"/>
        <w:rPr>
          <w:rFonts w:ascii="楷体_GB2312" w:eastAsia="楷体_GB2312" w:hAnsi="宋体"/>
        </w:rPr>
      </w:pPr>
      <w:r w:rsidRPr="00D53771">
        <w:rPr>
          <w:rFonts w:ascii="楷体_GB2312" w:eastAsia="楷体_GB2312" w:hAnsi="宋体" w:hint="eastAsia"/>
        </w:rPr>
        <w:t>2011年下半年，需求下降使得国际炼焦煤价格出现明显回落，从而对国内焦煤价格形成一定的压制。因此2012年国际经济情况是另一个决定国内炼焦煤市场的关键因素。</w:t>
      </w:r>
    </w:p>
    <w:p w:rsidR="00097DFD" w:rsidRDefault="00B536F5" w:rsidP="008B0962">
      <w:pPr>
        <w:autoSpaceDE w:val="0"/>
        <w:autoSpaceDN w:val="0"/>
        <w:adjustRightInd w:val="0"/>
        <w:spacing w:afterLines="50"/>
        <w:ind w:left="2155"/>
        <w:jc w:val="left"/>
        <w:rPr>
          <w:rFonts w:ascii="楷体_GB2312" w:eastAsia="楷体_GB2312" w:hAnsi="宋体"/>
        </w:rPr>
      </w:pPr>
      <w:r w:rsidRPr="00D53771">
        <w:rPr>
          <w:rFonts w:ascii="楷体_GB2312" w:eastAsia="楷体_GB2312" w:hAnsi="宋体" w:hint="eastAsia"/>
        </w:rPr>
        <w:t>长期看，炼焦煤属于稀缺性不可再生资源，过去几年国内炼焦煤主产区的开采高峰导致炼焦煤资源特别是优质炼焦煤资源更加稀缺。炼焦煤企业的盈利弹性仍然存在，只是爆发期可能不是明年。</w:t>
      </w:r>
    </w:p>
    <w:p w:rsidR="00097DFD" w:rsidRDefault="00B536F5" w:rsidP="008B0962">
      <w:pPr>
        <w:pStyle w:val="1"/>
        <w:numPr>
          <w:ilvl w:val="0"/>
          <w:numId w:val="4"/>
        </w:numPr>
        <w:spacing w:beforeLines="50" w:afterLines="50" w:line="480" w:lineRule="auto"/>
        <w:ind w:left="2705"/>
        <w:rPr>
          <w:rFonts w:ascii="楷体_GB2312" w:eastAsia="楷体_GB2312" w:hAnsi="宋体"/>
          <w:sz w:val="21"/>
          <w:szCs w:val="21"/>
        </w:rPr>
      </w:pPr>
      <w:bookmarkStart w:id="39" w:name="_Toc313737753"/>
      <w:r w:rsidRPr="00EF2D1A">
        <w:rPr>
          <w:rFonts w:ascii="楷体_GB2312" w:eastAsia="楷体_GB2312" w:hAnsi="宋体" w:cs="楷体_GB2312" w:hint="eastAsia"/>
          <w:sz w:val="21"/>
          <w:szCs w:val="21"/>
        </w:rPr>
        <w:lastRenderedPageBreak/>
        <w:t>有色金属</w:t>
      </w:r>
      <w:r>
        <w:rPr>
          <w:rFonts w:ascii="楷体_GB2312" w:eastAsia="楷体_GB2312" w:hAnsi="宋体" w:cs="楷体_GB2312" w:hint="eastAsia"/>
          <w:sz w:val="21"/>
          <w:szCs w:val="21"/>
        </w:rPr>
        <w:t>行业</w:t>
      </w:r>
      <w:bookmarkEnd w:id="39"/>
      <w:r w:rsidR="009F1B79" w:rsidRPr="00EF2D1A">
        <w:rPr>
          <w:rFonts w:ascii="楷体_GB2312" w:eastAsia="楷体_GB2312" w:hAnsi="宋体"/>
          <w:sz w:val="21"/>
          <w:szCs w:val="21"/>
        </w:rPr>
        <w:t xml:space="preserve"> </w:t>
      </w:r>
    </w:p>
    <w:p w:rsidR="00097DFD" w:rsidRDefault="00B536F5" w:rsidP="008B0962">
      <w:pPr>
        <w:autoSpaceDE w:val="0"/>
        <w:autoSpaceDN w:val="0"/>
        <w:adjustRightInd w:val="0"/>
        <w:spacing w:afterLines="50" w:line="320" w:lineRule="exact"/>
        <w:ind w:left="2157"/>
        <w:jc w:val="left"/>
        <w:rPr>
          <w:rFonts w:ascii="楷体_GB2312" w:eastAsia="楷体_GB2312" w:cs="楷体_GB2312"/>
          <w:kern w:val="0"/>
        </w:rPr>
      </w:pPr>
      <w:r>
        <w:rPr>
          <w:rFonts w:ascii="楷体_GB2312" w:eastAsia="楷体_GB2312" w:cs="楷体_GB2312"/>
          <w:kern w:val="0"/>
        </w:rPr>
        <w:t>201</w:t>
      </w:r>
      <w:r>
        <w:rPr>
          <w:rFonts w:ascii="楷体_GB2312" w:eastAsia="楷体_GB2312" w:cs="楷体_GB2312" w:hint="eastAsia"/>
          <w:kern w:val="0"/>
        </w:rPr>
        <w:t>2年的世界经济复苏形势相比2011年仍不明朗。而2012年的中国经济或许面临更加艰难的复苏环境。目前工业金属价格目前从年初的高位回落，其金融风险得到一定程度的释放，而工业属性尚处于比较弱的状态。自美国2010年11月启动二轮量化宽松政策以来，全球货币性泛滥开始。我们判断在未来几年都将维持高通胀的环境。传统工业金属应用领域，</w:t>
      </w:r>
      <w:r w:rsidRPr="00EF2D1A">
        <w:rPr>
          <w:rFonts w:ascii="楷体_GB2312" w:eastAsia="楷体_GB2312" w:cs="楷体_GB2312" w:hint="eastAsia"/>
          <w:kern w:val="0"/>
        </w:rPr>
        <w:t>世界经济复苏处于缓慢的通道</w:t>
      </w:r>
      <w:r>
        <w:rPr>
          <w:rFonts w:ascii="楷体_GB2312" w:eastAsia="楷体_GB2312" w:cs="楷体_GB2312" w:hint="eastAsia"/>
          <w:kern w:val="0"/>
        </w:rPr>
        <w:t>，</w:t>
      </w:r>
      <w:r w:rsidRPr="00EF2D1A">
        <w:rPr>
          <w:rFonts w:ascii="楷体_GB2312" w:eastAsia="楷体_GB2312" w:cs="楷体_GB2312" w:hint="eastAsia"/>
          <w:kern w:val="0"/>
        </w:rPr>
        <w:t>国内</w:t>
      </w:r>
      <w:r>
        <w:rPr>
          <w:rFonts w:ascii="楷体_GB2312" w:eastAsia="楷体_GB2312" w:cs="楷体_GB2312"/>
          <w:kern w:val="0"/>
        </w:rPr>
        <w:t>201</w:t>
      </w:r>
      <w:r>
        <w:rPr>
          <w:rFonts w:ascii="楷体_GB2312" w:eastAsia="楷体_GB2312" w:cs="楷体_GB2312" w:hint="eastAsia"/>
          <w:kern w:val="0"/>
        </w:rPr>
        <w:t>2</w:t>
      </w:r>
      <w:r w:rsidRPr="00EF2D1A">
        <w:rPr>
          <w:rFonts w:ascii="楷体_GB2312" w:eastAsia="楷体_GB2312" w:cs="楷体_GB2312" w:hint="eastAsia"/>
          <w:kern w:val="0"/>
        </w:rPr>
        <w:t>年固定资产投资增速</w:t>
      </w:r>
      <w:r>
        <w:rPr>
          <w:rFonts w:ascii="楷体_GB2312" w:eastAsia="楷体_GB2312" w:cs="楷体_GB2312" w:hint="eastAsia"/>
          <w:kern w:val="0"/>
        </w:rPr>
        <w:t>可能存在显著下滑的风险。</w:t>
      </w:r>
    </w:p>
    <w:p w:rsidR="00097DFD" w:rsidRDefault="00B536F5" w:rsidP="008B0962">
      <w:pPr>
        <w:autoSpaceDE w:val="0"/>
        <w:autoSpaceDN w:val="0"/>
        <w:adjustRightInd w:val="0"/>
        <w:spacing w:afterLines="50" w:line="320" w:lineRule="exact"/>
        <w:ind w:left="2157"/>
        <w:jc w:val="left"/>
        <w:rPr>
          <w:rFonts w:ascii="楷体_GB2312" w:eastAsia="楷体_GB2312" w:cs="楷体_GB2312"/>
          <w:kern w:val="0"/>
        </w:rPr>
      </w:pPr>
      <w:r>
        <w:rPr>
          <w:rFonts w:ascii="楷体_GB2312" w:eastAsia="楷体_GB2312" w:cs="楷体_GB2312" w:hint="eastAsia"/>
          <w:kern w:val="0"/>
        </w:rPr>
        <w:t>更长远的看，我们认为</w:t>
      </w:r>
      <w:r w:rsidRPr="00571634">
        <w:rPr>
          <w:rFonts w:ascii="楷体_GB2312" w:eastAsia="楷体_GB2312" w:cs="楷体_GB2312" w:hint="eastAsia"/>
          <w:kern w:val="0"/>
        </w:rPr>
        <w:t>中国已走过基建和房地产投资的高峰期，经济迎来转型和产业升级的拐点，固定资产投资增速的下滑将会是常态。</w:t>
      </w:r>
      <w:r>
        <w:rPr>
          <w:rFonts w:ascii="楷体_GB2312" w:eastAsia="楷体_GB2312" w:cs="楷体_GB2312" w:hint="eastAsia"/>
          <w:kern w:val="0"/>
        </w:rPr>
        <w:t>基本金属消费与固定资产投资增速密切相关。</w:t>
      </w:r>
      <w:r w:rsidRPr="00571634">
        <w:rPr>
          <w:rFonts w:ascii="楷体_GB2312" w:eastAsia="楷体_GB2312" w:cs="楷体_GB2312" w:hint="eastAsia"/>
          <w:kern w:val="0"/>
        </w:rPr>
        <w:t>我们</w:t>
      </w:r>
      <w:r>
        <w:rPr>
          <w:rFonts w:ascii="楷体_GB2312" w:eastAsia="楷体_GB2312" w:cs="楷体_GB2312" w:hint="eastAsia"/>
          <w:kern w:val="0"/>
        </w:rPr>
        <w:t>对基本金属价格的上行持谨慎的态度，其价格中枢很难再上一个平台。</w:t>
      </w:r>
      <w:r w:rsidRPr="00D15492">
        <w:rPr>
          <w:rFonts w:ascii="楷体_GB2312" w:eastAsia="楷体_GB2312" w:cs="楷体_GB2312" w:hint="eastAsia"/>
          <w:b/>
          <w:kern w:val="0"/>
        </w:rPr>
        <w:t>而整个有色行业基本金属的估值体系将全面下移，基本金属或仅存在波段性反弹的机会，并且其弹性将会越来越小。</w:t>
      </w:r>
    </w:p>
    <w:p w:rsidR="00097DFD" w:rsidRDefault="00B536F5" w:rsidP="008B0962">
      <w:pPr>
        <w:autoSpaceDE w:val="0"/>
        <w:autoSpaceDN w:val="0"/>
        <w:adjustRightInd w:val="0"/>
        <w:spacing w:afterLines="50" w:line="320" w:lineRule="exact"/>
        <w:ind w:left="2157"/>
        <w:jc w:val="left"/>
        <w:rPr>
          <w:rFonts w:ascii="楷体_GB2312" w:eastAsia="楷体_GB2312" w:cs="楷体_GB2312"/>
          <w:kern w:val="0"/>
        </w:rPr>
      </w:pPr>
      <w:r w:rsidRPr="00EF2D1A">
        <w:rPr>
          <w:rFonts w:ascii="楷体_GB2312" w:eastAsia="楷体_GB2312" w:cs="楷体_GB2312" w:hint="eastAsia"/>
          <w:kern w:val="0"/>
        </w:rPr>
        <w:t>与此同时，在产业升级和结构调整的</w:t>
      </w:r>
      <w:r>
        <w:rPr>
          <w:rFonts w:ascii="楷体_GB2312" w:eastAsia="楷体_GB2312" w:cs="楷体_GB2312" w:hint="eastAsia"/>
          <w:kern w:val="0"/>
        </w:rPr>
        <w:t>投资思路下，我们认为符合国家调控方向以及国家存在话语权的稀土和钨等行业，在其价格回归到合理水平后，其投资机会仍值得关注；</w:t>
      </w:r>
    </w:p>
    <w:p w:rsidR="00097DFD" w:rsidRDefault="00B536F5" w:rsidP="008B0962">
      <w:pPr>
        <w:autoSpaceDE w:val="0"/>
        <w:autoSpaceDN w:val="0"/>
        <w:adjustRightInd w:val="0"/>
        <w:spacing w:afterLines="50" w:line="320" w:lineRule="exact"/>
        <w:ind w:left="2157"/>
        <w:jc w:val="left"/>
        <w:rPr>
          <w:rFonts w:ascii="楷体_GB2312" w:eastAsia="楷体_GB2312"/>
          <w:kern w:val="0"/>
        </w:rPr>
      </w:pPr>
      <w:r w:rsidRPr="00EF2D1A">
        <w:rPr>
          <w:rFonts w:ascii="楷体_GB2312" w:eastAsia="楷体_GB2312" w:cs="楷体_GB2312" w:hint="eastAsia"/>
          <w:kern w:val="0"/>
        </w:rPr>
        <w:t>在产业升</w:t>
      </w:r>
      <w:r>
        <w:rPr>
          <w:rFonts w:ascii="楷体_GB2312" w:eastAsia="楷体_GB2312" w:cs="楷体_GB2312" w:hint="eastAsia"/>
          <w:kern w:val="0"/>
        </w:rPr>
        <w:t>级中符合国家节能减排、新能源应用领域的新材料中上游产业具备长期投资价值</w:t>
      </w:r>
      <w:r w:rsidRPr="00EF2D1A">
        <w:rPr>
          <w:rFonts w:ascii="楷体_GB2312" w:eastAsia="楷体_GB2312" w:cs="楷体_GB2312" w:hint="eastAsia"/>
          <w:kern w:val="0"/>
        </w:rPr>
        <w:t>；符合国家资</w:t>
      </w:r>
      <w:r>
        <w:rPr>
          <w:rFonts w:ascii="楷体_GB2312" w:eastAsia="楷体_GB2312" w:cs="楷体_GB2312" w:hint="eastAsia"/>
          <w:kern w:val="0"/>
        </w:rPr>
        <w:t>源节约、环保理念的再生金属资源的回收循环利用的行业将会逐步壮大</w:t>
      </w:r>
      <w:r w:rsidRPr="00EF2D1A">
        <w:rPr>
          <w:rFonts w:ascii="楷体_GB2312" w:eastAsia="楷体_GB2312" w:cs="楷体_GB2312" w:hint="eastAsia"/>
          <w:kern w:val="0"/>
        </w:rPr>
        <w:t>；</w:t>
      </w:r>
    </w:p>
    <w:p w:rsidR="00097DFD" w:rsidRDefault="00B536F5" w:rsidP="008B0962">
      <w:pPr>
        <w:autoSpaceDE w:val="0"/>
        <w:autoSpaceDN w:val="0"/>
        <w:adjustRightInd w:val="0"/>
        <w:spacing w:afterLines="50" w:line="320" w:lineRule="exact"/>
        <w:ind w:left="2157"/>
        <w:jc w:val="left"/>
        <w:rPr>
          <w:rFonts w:ascii="楷体_GB2312" w:eastAsia="楷体_GB2312"/>
          <w:kern w:val="0"/>
        </w:rPr>
      </w:pPr>
      <w:r w:rsidRPr="00EF2D1A">
        <w:rPr>
          <w:rFonts w:ascii="楷体_GB2312" w:eastAsia="楷体_GB2312" w:cs="楷体_GB2312" w:hint="eastAsia"/>
          <w:kern w:val="0"/>
        </w:rPr>
        <w:t>在军事、</w:t>
      </w:r>
      <w:r>
        <w:rPr>
          <w:rFonts w:ascii="楷体_GB2312" w:eastAsia="楷体_GB2312" w:cs="楷体_GB2312" w:hint="eastAsia"/>
          <w:kern w:val="0"/>
        </w:rPr>
        <w:t>核电</w:t>
      </w:r>
      <w:r w:rsidRPr="00EF2D1A">
        <w:rPr>
          <w:rFonts w:ascii="楷体_GB2312" w:eastAsia="楷体_GB2312" w:cs="楷体_GB2312" w:hint="eastAsia"/>
          <w:kern w:val="0"/>
        </w:rPr>
        <w:t>以</w:t>
      </w:r>
      <w:r>
        <w:rPr>
          <w:rFonts w:ascii="楷体_GB2312" w:eastAsia="楷体_GB2312" w:cs="楷体_GB2312" w:hint="eastAsia"/>
          <w:kern w:val="0"/>
        </w:rPr>
        <w:t>及储能领域有重大作为的小金属钛、锆以及钒等</w:t>
      </w:r>
      <w:r w:rsidRPr="00EF2D1A">
        <w:rPr>
          <w:rFonts w:ascii="楷体_GB2312" w:eastAsia="楷体_GB2312" w:cs="楷体_GB2312" w:hint="eastAsia"/>
          <w:kern w:val="0"/>
        </w:rPr>
        <w:t>仍然具备较强的投资价值；</w:t>
      </w:r>
      <w:r>
        <w:rPr>
          <w:rFonts w:ascii="楷体_GB2312" w:eastAsia="楷体_GB2312" w:cs="楷体_GB2312" w:hint="eastAsia"/>
          <w:kern w:val="0"/>
        </w:rPr>
        <w:t>其中钒价在历史底部位置我们长期看好钒在建筑节能和储能领域中的应用前景；</w:t>
      </w:r>
    </w:p>
    <w:p w:rsidR="00097DFD" w:rsidRDefault="00B536F5" w:rsidP="008B0962">
      <w:pPr>
        <w:autoSpaceDE w:val="0"/>
        <w:autoSpaceDN w:val="0"/>
        <w:adjustRightInd w:val="0"/>
        <w:spacing w:afterLines="50" w:line="320" w:lineRule="exact"/>
        <w:ind w:left="2157"/>
        <w:jc w:val="left"/>
        <w:rPr>
          <w:rFonts w:ascii="楷体_GB2312" w:eastAsia="楷体_GB2312" w:cs="楷体_GB2312"/>
          <w:kern w:val="0"/>
        </w:rPr>
      </w:pPr>
      <w:r w:rsidRPr="00EF2D1A">
        <w:rPr>
          <w:rFonts w:ascii="楷体_GB2312" w:eastAsia="楷体_GB2312" w:cs="楷体_GB2312" w:hint="eastAsia"/>
          <w:kern w:val="0"/>
        </w:rPr>
        <w:t>黄金作为</w:t>
      </w:r>
      <w:r>
        <w:rPr>
          <w:rFonts w:ascii="楷体_GB2312" w:eastAsia="楷体_GB2312" w:cs="楷体_GB2312" w:hint="eastAsia"/>
          <w:kern w:val="0"/>
        </w:rPr>
        <w:t>在</w:t>
      </w:r>
      <w:r w:rsidRPr="00EF2D1A">
        <w:rPr>
          <w:rFonts w:ascii="楷体_GB2312" w:eastAsia="楷体_GB2312" w:cs="楷体_GB2312" w:hint="eastAsia"/>
          <w:kern w:val="0"/>
        </w:rPr>
        <w:t>经济</w:t>
      </w:r>
      <w:r>
        <w:rPr>
          <w:rFonts w:ascii="楷体_GB2312" w:eastAsia="楷体_GB2312" w:cs="楷体_GB2312" w:hint="eastAsia"/>
          <w:kern w:val="0"/>
        </w:rPr>
        <w:t>复苏不稳定、</w:t>
      </w:r>
      <w:proofErr w:type="gramStart"/>
      <w:r>
        <w:rPr>
          <w:rFonts w:ascii="楷体_GB2312" w:eastAsia="楷体_GB2312" w:cs="楷体_GB2312" w:hint="eastAsia"/>
          <w:kern w:val="0"/>
        </w:rPr>
        <w:t>欧债危机</w:t>
      </w:r>
      <w:proofErr w:type="gramEnd"/>
      <w:r>
        <w:rPr>
          <w:rFonts w:ascii="楷体_GB2312" w:eastAsia="楷体_GB2312" w:cs="楷体_GB2312" w:hint="eastAsia"/>
          <w:kern w:val="0"/>
        </w:rPr>
        <w:t>持续得</w:t>
      </w:r>
      <w:r w:rsidR="00D05F04">
        <w:rPr>
          <w:rFonts w:ascii="楷体_GB2312" w:eastAsia="楷体_GB2312" w:cs="楷体_GB2312" w:hint="eastAsia"/>
          <w:kern w:val="0"/>
        </w:rPr>
        <w:t>不到</w:t>
      </w:r>
      <w:r>
        <w:rPr>
          <w:rFonts w:ascii="楷体_GB2312" w:eastAsia="楷体_GB2312" w:cs="楷体_GB2312" w:hint="eastAsia"/>
          <w:kern w:val="0"/>
        </w:rPr>
        <w:t>解决以及高通胀等因素叠加下的避险和保值功能依然可以维持，预计金价将在一定的位置震荡，黄金股的投资机会谨慎参与。</w:t>
      </w:r>
    </w:p>
    <w:p w:rsidR="00097DFD" w:rsidRDefault="00097DFD" w:rsidP="008B0962">
      <w:pPr>
        <w:autoSpaceDE w:val="0"/>
        <w:autoSpaceDN w:val="0"/>
        <w:adjustRightInd w:val="0"/>
        <w:spacing w:afterLines="50" w:line="320" w:lineRule="exact"/>
        <w:ind w:left="2157"/>
        <w:jc w:val="left"/>
        <w:rPr>
          <w:rFonts w:ascii="楷体_GB2312" w:eastAsia="楷体_GB2312"/>
          <w:kern w:val="0"/>
        </w:rPr>
      </w:pPr>
    </w:p>
    <w:p w:rsidR="00097DFD" w:rsidRDefault="00B536F5" w:rsidP="008B0962">
      <w:pPr>
        <w:numPr>
          <w:ilvl w:val="0"/>
          <w:numId w:val="6"/>
        </w:numPr>
        <w:autoSpaceDE w:val="0"/>
        <w:autoSpaceDN w:val="0"/>
        <w:adjustRightInd w:val="0"/>
        <w:spacing w:afterLines="50" w:line="320" w:lineRule="exact"/>
        <w:jc w:val="left"/>
        <w:rPr>
          <w:rFonts w:ascii="楷体_GB2312" w:eastAsia="楷体_GB2312"/>
          <w:b/>
          <w:bCs/>
          <w:kern w:val="0"/>
        </w:rPr>
      </w:pPr>
      <w:r>
        <w:rPr>
          <w:rFonts w:ascii="楷体_GB2312" w:eastAsia="楷体_GB2312" w:cs="楷体_GB2312" w:hint="eastAsia"/>
          <w:b/>
          <w:bCs/>
          <w:kern w:val="0"/>
        </w:rPr>
        <w:t>战略性金属等待价格回归合理位置后的投资机会</w:t>
      </w:r>
    </w:p>
    <w:p w:rsidR="00097DFD" w:rsidRDefault="00097DFD" w:rsidP="008B0962">
      <w:pPr>
        <w:autoSpaceDE w:val="0"/>
        <w:autoSpaceDN w:val="0"/>
        <w:adjustRightInd w:val="0"/>
        <w:spacing w:afterLines="50" w:line="320" w:lineRule="exact"/>
        <w:ind w:left="2577"/>
        <w:jc w:val="left"/>
        <w:rPr>
          <w:rFonts w:ascii="楷体_GB2312" w:eastAsia="楷体_GB2312"/>
          <w:b/>
          <w:bCs/>
          <w:kern w:val="0"/>
        </w:rPr>
      </w:pPr>
    </w:p>
    <w:p w:rsidR="00097DFD" w:rsidRDefault="00B536F5" w:rsidP="008B0962">
      <w:pPr>
        <w:autoSpaceDE w:val="0"/>
        <w:autoSpaceDN w:val="0"/>
        <w:adjustRightInd w:val="0"/>
        <w:spacing w:afterLines="50" w:line="320" w:lineRule="exact"/>
        <w:ind w:left="2157"/>
        <w:jc w:val="left"/>
        <w:rPr>
          <w:rFonts w:ascii="楷体_GB2312" w:eastAsia="楷体_GB2312"/>
          <w:kern w:val="0"/>
        </w:rPr>
      </w:pPr>
      <w:r w:rsidRPr="00EF2D1A">
        <w:rPr>
          <w:rFonts w:ascii="楷体_GB2312" w:eastAsia="楷体_GB2312" w:cs="楷体_GB2312" w:hint="eastAsia"/>
          <w:kern w:val="0"/>
        </w:rPr>
        <w:t>国家对具有中国优势的战略金属的重视度越来越高，从生产和出口的各个环节进行控制。同时行业内的资源整合也在逐步展开。我们认为，在未来国家政策的扶持下，资源整合有助进一步提升稀土以及稀缺金属钨、锑的定价权。因此战略性金属的价格仍有继续上涨的空间，价格上涨决定战略型金属具备持续投资性机会。</w:t>
      </w:r>
    </w:p>
    <w:p w:rsidR="00097DFD" w:rsidRDefault="00B536F5" w:rsidP="008B0962">
      <w:pPr>
        <w:autoSpaceDE w:val="0"/>
        <w:autoSpaceDN w:val="0"/>
        <w:adjustRightInd w:val="0"/>
        <w:spacing w:afterLines="50" w:line="320" w:lineRule="exact"/>
        <w:ind w:left="2157"/>
        <w:jc w:val="left"/>
        <w:rPr>
          <w:rFonts w:ascii="楷体_GB2312" w:eastAsia="楷体_GB2312" w:cs="楷体_GB2312"/>
          <w:kern w:val="0"/>
        </w:rPr>
      </w:pPr>
      <w:r w:rsidRPr="00EF2D1A">
        <w:rPr>
          <w:rFonts w:ascii="楷体_GB2312" w:eastAsia="楷体_GB2312" w:cs="楷体_GB2312" w:hint="eastAsia"/>
          <w:kern w:val="0"/>
        </w:rPr>
        <w:t>国家对战略性资源的保护意识正在不断增强，通过开采总量的控制、采矿权的停发、出口配额的限制及国家收储等一系列产业政策，从生产销售的各个环节对资源进行保护。</w:t>
      </w:r>
    </w:p>
    <w:p w:rsidR="00097DFD" w:rsidRDefault="00B536F5" w:rsidP="008B0962">
      <w:pPr>
        <w:autoSpaceDE w:val="0"/>
        <w:autoSpaceDN w:val="0"/>
        <w:adjustRightInd w:val="0"/>
        <w:spacing w:afterLines="50"/>
        <w:ind w:left="2155"/>
        <w:jc w:val="left"/>
        <w:rPr>
          <w:rFonts w:ascii="楷体_GB2312" w:eastAsia="楷体_GB2312" w:cs="楷体_GB2312"/>
          <w:kern w:val="0"/>
        </w:rPr>
      </w:pPr>
      <w:r>
        <w:rPr>
          <w:rFonts w:ascii="楷体_GB2312" w:eastAsia="楷体_GB2312" w:cs="楷体_GB2312" w:hint="eastAsia"/>
          <w:kern w:val="0"/>
        </w:rPr>
        <w:t>2011年上半年稀土价格从今年2月份一路飙涨，不同元素涨幅达到5-10倍以上。稀土精矿到稀土氧化物以及金属各个环节的参与者都在囤货，甚至下游钕铁硼厂商因高价稀土影响到钕铁硼的下游需求而停止生产，囤积钕铁硼的原料金属镨钕等行为存在。在这种情况下稀土价格一路暴涨，稀土资源企业的业绩不断超预期。但我们</w:t>
      </w:r>
      <w:r w:rsidR="00D05F04">
        <w:rPr>
          <w:rFonts w:ascii="楷体_GB2312" w:eastAsia="楷体_GB2312" w:cs="楷体_GB2312" w:hint="eastAsia"/>
          <w:kern w:val="0"/>
        </w:rPr>
        <w:t>同时</w:t>
      </w:r>
      <w:r>
        <w:rPr>
          <w:rFonts w:ascii="楷体_GB2312" w:eastAsia="楷体_GB2312" w:cs="楷体_GB2312" w:hint="eastAsia"/>
          <w:kern w:val="0"/>
        </w:rPr>
        <w:t>发现一个现象就是稀土价格的上涨已经影响到了相关下游企业的生产经营。这将会在一定程度上抑制稀土的应用。因此在</w:t>
      </w:r>
      <w:r w:rsidR="00D05F04">
        <w:rPr>
          <w:rFonts w:ascii="楷体_GB2312" w:eastAsia="楷体_GB2312" w:cs="楷体_GB2312" w:hint="eastAsia"/>
          <w:kern w:val="0"/>
        </w:rPr>
        <w:t>今年</w:t>
      </w:r>
      <w:r>
        <w:rPr>
          <w:rFonts w:ascii="楷体_GB2312" w:eastAsia="楷体_GB2312" w:cs="楷体_GB2312" w:hint="eastAsia"/>
          <w:kern w:val="0"/>
        </w:rPr>
        <w:t>7、8月份稀土价格达到顶峰之后开始回落。伴随着稀土价格的回落，稀土产业链的股票也进行了合理的回调。这表明稀土价格连续暴涨是不合理的，任何一个上游行业如果危及到了下游企业的生存则上游行业自身必然也会受到影响。</w:t>
      </w:r>
    </w:p>
    <w:p w:rsidR="00097DFD" w:rsidRDefault="00B536F5" w:rsidP="008B0962">
      <w:pPr>
        <w:autoSpaceDE w:val="0"/>
        <w:autoSpaceDN w:val="0"/>
        <w:adjustRightInd w:val="0"/>
        <w:spacing w:afterLines="50"/>
        <w:ind w:left="2155"/>
        <w:jc w:val="left"/>
        <w:rPr>
          <w:rFonts w:ascii="楷体_GB2312" w:eastAsia="楷体_GB2312"/>
          <w:kern w:val="0"/>
        </w:rPr>
      </w:pPr>
      <w:r w:rsidRPr="002314CD">
        <w:rPr>
          <w:rFonts w:ascii="楷体_GB2312" w:eastAsia="楷体_GB2312"/>
          <w:noProof/>
          <w:kern w:val="0"/>
        </w:rPr>
        <w:lastRenderedPageBreak/>
        <w:drawing>
          <wp:inline distT="0" distB="0" distL="0" distR="0">
            <wp:extent cx="4011083" cy="2065867"/>
            <wp:effectExtent l="19050" t="0" r="27517" b="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97DFD" w:rsidRDefault="00B536F5" w:rsidP="008B0962">
      <w:pPr>
        <w:autoSpaceDE w:val="0"/>
        <w:autoSpaceDN w:val="0"/>
        <w:adjustRightInd w:val="0"/>
        <w:spacing w:afterLines="50"/>
        <w:ind w:left="2155"/>
        <w:jc w:val="left"/>
        <w:rPr>
          <w:rFonts w:ascii="楷体_GB2312" w:eastAsia="楷体_GB2312"/>
          <w:kern w:val="0"/>
        </w:rPr>
      </w:pPr>
      <w:r>
        <w:rPr>
          <w:rFonts w:ascii="楷体_GB2312" w:eastAsia="楷体_GB2312" w:hint="eastAsia"/>
          <w:kern w:val="0"/>
        </w:rPr>
        <w:t>资料来源：亚洲金属网</w:t>
      </w:r>
    </w:p>
    <w:p w:rsidR="00097DFD" w:rsidRDefault="00B536F5" w:rsidP="008B0962">
      <w:pPr>
        <w:autoSpaceDE w:val="0"/>
        <w:autoSpaceDN w:val="0"/>
        <w:adjustRightInd w:val="0"/>
        <w:spacing w:afterLines="50" w:line="320" w:lineRule="exact"/>
        <w:ind w:left="2157"/>
        <w:jc w:val="left"/>
        <w:rPr>
          <w:rFonts w:ascii="楷体_GB2312" w:eastAsia="楷体_GB2312" w:cs="楷体_GB2312"/>
          <w:kern w:val="0"/>
        </w:rPr>
      </w:pPr>
      <w:r>
        <w:rPr>
          <w:rFonts w:ascii="楷体_GB2312" w:eastAsia="楷体_GB2312" w:hint="eastAsia"/>
          <w:kern w:val="0"/>
        </w:rPr>
        <w:t>但同时我们</w:t>
      </w:r>
      <w:r>
        <w:rPr>
          <w:rFonts w:ascii="楷体_GB2312" w:eastAsia="楷体_GB2312" w:cs="楷体_GB2312" w:hint="eastAsia"/>
          <w:kern w:val="0"/>
        </w:rPr>
        <w:t>必须承认未来廉价使用稀土的时代已经一去不复返了。</w:t>
      </w:r>
      <w:r w:rsidRPr="000C244E">
        <w:rPr>
          <w:rFonts w:ascii="楷体_GB2312" w:eastAsia="楷体_GB2312" w:cs="楷体_GB2312" w:hint="eastAsia"/>
          <w:kern w:val="0"/>
        </w:rPr>
        <w:t>从国外市场来看，尽管目前包括澳大利亚、加拿大等国都开始纷纷启动稀土开采项目，但是从目前而言仍需至少两年时间，无论从行业规模还是成熟度来看，中国稀土企业仍将掌握稀土定价主导权。</w:t>
      </w:r>
    </w:p>
    <w:p w:rsidR="00097DFD" w:rsidRDefault="00B536F5" w:rsidP="008B0962">
      <w:pPr>
        <w:autoSpaceDE w:val="0"/>
        <w:autoSpaceDN w:val="0"/>
        <w:adjustRightInd w:val="0"/>
        <w:spacing w:afterLines="50" w:line="320" w:lineRule="exact"/>
        <w:ind w:left="2157"/>
        <w:jc w:val="left"/>
        <w:rPr>
          <w:rFonts w:ascii="楷体_GB2312" w:eastAsia="楷体_GB2312" w:cs="楷体_GB2312"/>
          <w:kern w:val="0"/>
        </w:rPr>
      </w:pPr>
      <w:r w:rsidRPr="000C244E">
        <w:rPr>
          <w:rFonts w:ascii="楷体_GB2312" w:eastAsia="楷体_GB2312" w:cs="楷体_GB2312" w:hint="eastAsia"/>
          <w:kern w:val="0"/>
        </w:rPr>
        <w:t>另一方面，即使全球稀土供应多元化的格局建立后，由于海外近几年介入稀土生产领域的资本也都是在高位进入，自然也不希望稀土价格出现大幅度下跌。</w:t>
      </w:r>
      <w:r>
        <w:rPr>
          <w:rFonts w:ascii="楷体_GB2312" w:eastAsia="楷体_GB2312" w:cs="楷体_GB2312" w:hint="eastAsia"/>
          <w:kern w:val="0"/>
        </w:rPr>
        <w:t>因此未来稀土价格一定会回落到一定的合理位置。我们仍然看重稀土作为国家战略性品种的投资机会。</w:t>
      </w:r>
    </w:p>
    <w:p w:rsidR="00097DFD" w:rsidRDefault="00097DFD" w:rsidP="008B0962">
      <w:pPr>
        <w:autoSpaceDE w:val="0"/>
        <w:autoSpaceDN w:val="0"/>
        <w:adjustRightInd w:val="0"/>
        <w:spacing w:afterLines="50" w:line="320" w:lineRule="exact"/>
        <w:ind w:left="2157"/>
        <w:jc w:val="left"/>
        <w:rPr>
          <w:rFonts w:ascii="楷体_GB2312" w:eastAsia="楷体_GB2312"/>
          <w:kern w:val="0"/>
        </w:rPr>
      </w:pPr>
    </w:p>
    <w:p w:rsidR="00097DFD" w:rsidRDefault="00B536F5" w:rsidP="008B0962">
      <w:pPr>
        <w:numPr>
          <w:ilvl w:val="0"/>
          <w:numId w:val="6"/>
        </w:numPr>
        <w:autoSpaceDE w:val="0"/>
        <w:autoSpaceDN w:val="0"/>
        <w:adjustRightInd w:val="0"/>
        <w:spacing w:afterLines="50" w:line="320" w:lineRule="exact"/>
        <w:jc w:val="left"/>
        <w:rPr>
          <w:rFonts w:ascii="楷体_GB2312" w:eastAsia="楷体_GB2312" w:cs="楷体_GB2312"/>
          <w:b/>
          <w:bCs/>
          <w:kern w:val="0"/>
        </w:rPr>
      </w:pPr>
      <w:r w:rsidRPr="00EF2D1A">
        <w:rPr>
          <w:rFonts w:ascii="楷体_GB2312" w:eastAsia="楷体_GB2312" w:cs="楷体_GB2312" w:hint="eastAsia"/>
          <w:b/>
          <w:bCs/>
          <w:kern w:val="0"/>
        </w:rPr>
        <w:t>新能源革命带来的机遇</w:t>
      </w:r>
      <w:r>
        <w:rPr>
          <w:rFonts w:ascii="楷体_GB2312" w:eastAsia="楷体_GB2312" w:cs="楷体_GB2312" w:hint="eastAsia"/>
          <w:b/>
          <w:bCs/>
          <w:kern w:val="0"/>
        </w:rPr>
        <w:t>还需等待</w:t>
      </w:r>
    </w:p>
    <w:p w:rsidR="00097DFD" w:rsidRDefault="00097DFD" w:rsidP="008B0962">
      <w:pPr>
        <w:autoSpaceDE w:val="0"/>
        <w:autoSpaceDN w:val="0"/>
        <w:adjustRightInd w:val="0"/>
        <w:spacing w:afterLines="50" w:line="320" w:lineRule="exact"/>
        <w:ind w:left="2157"/>
        <w:jc w:val="left"/>
        <w:rPr>
          <w:rFonts w:ascii="楷体_GB2312" w:eastAsia="楷体_GB2312"/>
          <w:b/>
          <w:bCs/>
          <w:kern w:val="0"/>
        </w:rPr>
      </w:pPr>
    </w:p>
    <w:p w:rsidR="00097DFD" w:rsidRDefault="00B536F5" w:rsidP="008B0962">
      <w:pPr>
        <w:autoSpaceDE w:val="0"/>
        <w:autoSpaceDN w:val="0"/>
        <w:adjustRightInd w:val="0"/>
        <w:spacing w:afterLines="50" w:line="320" w:lineRule="exact"/>
        <w:ind w:left="2157"/>
        <w:jc w:val="left"/>
        <w:rPr>
          <w:rFonts w:ascii="楷体_GB2312" w:eastAsia="楷体_GB2312"/>
          <w:kern w:val="0"/>
        </w:rPr>
      </w:pPr>
      <w:r w:rsidRPr="00EF2D1A">
        <w:rPr>
          <w:rFonts w:ascii="楷体_GB2312" w:eastAsia="楷体_GB2312" w:cs="楷体_GB2312" w:hint="eastAsia"/>
          <w:kern w:val="0"/>
        </w:rPr>
        <w:t>战略性新兴产业成为我国重要的经济结构方向，国家政策扶持力度不断加大。作为稀缺资源的碳酸锂将受益于电动</w:t>
      </w:r>
      <w:r>
        <w:rPr>
          <w:rFonts w:ascii="楷体_GB2312" w:eastAsia="楷体_GB2312" w:cs="楷体_GB2312" w:hint="eastAsia"/>
          <w:kern w:val="0"/>
        </w:rPr>
        <w:t>汽车用锂电池行业的发展；而锗亦将受益于太阳能电池行业的广阔前景；同时钒将在储能电池和建筑节能用钒钢领域大有作为；</w:t>
      </w:r>
      <w:r w:rsidRPr="00EF2D1A">
        <w:rPr>
          <w:rFonts w:ascii="楷体_GB2312" w:eastAsia="楷体_GB2312" w:cs="楷体_GB2312" w:hint="eastAsia"/>
          <w:kern w:val="0"/>
        </w:rPr>
        <w:t>而钛则受益于国产大飞机、航空母舰和核潜艇等领域的发展；锆将在核电领域逐步取得自己的一席之地。</w:t>
      </w:r>
    </w:p>
    <w:p w:rsidR="00097DFD" w:rsidRDefault="00B536F5" w:rsidP="008B0962">
      <w:pPr>
        <w:autoSpaceDE w:val="0"/>
        <w:autoSpaceDN w:val="0"/>
        <w:adjustRightInd w:val="0"/>
        <w:spacing w:afterLines="50" w:line="320" w:lineRule="exact"/>
        <w:ind w:left="2157"/>
        <w:jc w:val="left"/>
        <w:rPr>
          <w:rFonts w:ascii="楷体_GB2312" w:eastAsia="楷体_GB2312"/>
          <w:kern w:val="0"/>
        </w:rPr>
      </w:pPr>
      <w:r w:rsidRPr="00EF2D1A">
        <w:rPr>
          <w:rFonts w:ascii="楷体_GB2312" w:eastAsia="楷体_GB2312" w:cs="楷体_GB2312" w:hint="eastAsia"/>
          <w:kern w:val="0"/>
        </w:rPr>
        <w:t>我们认为，对新能源乘用车产业链整体而言，</w:t>
      </w:r>
      <w:r w:rsidRPr="00EF2D1A">
        <w:rPr>
          <w:rFonts w:ascii="楷体_GB2312" w:eastAsia="楷体_GB2312" w:cs="楷体_GB2312"/>
          <w:kern w:val="0"/>
        </w:rPr>
        <w:t>3-5</w:t>
      </w:r>
      <w:r w:rsidRPr="00EF2D1A">
        <w:rPr>
          <w:rFonts w:ascii="楷体_GB2312" w:eastAsia="楷体_GB2312" w:cs="楷体_GB2312" w:hint="eastAsia"/>
          <w:kern w:val="0"/>
        </w:rPr>
        <w:t>年内，仍将是研发、路试、积累实证数据的阶段，而《汽车产业和调整规划》提出的</w:t>
      </w:r>
      <w:r w:rsidRPr="00EF2D1A">
        <w:rPr>
          <w:rFonts w:ascii="楷体_GB2312" w:eastAsia="楷体_GB2312" w:cs="楷体_GB2312"/>
          <w:kern w:val="0"/>
        </w:rPr>
        <w:t>2012</w:t>
      </w:r>
      <w:r w:rsidRPr="00EF2D1A">
        <w:rPr>
          <w:rFonts w:ascii="楷体_GB2312" w:eastAsia="楷体_GB2312" w:cs="楷体_GB2312" w:hint="eastAsia"/>
          <w:kern w:val="0"/>
        </w:rPr>
        <w:t>年新能源汽车市场份额达到</w:t>
      </w:r>
      <w:r w:rsidRPr="00EF2D1A">
        <w:rPr>
          <w:rFonts w:ascii="楷体_GB2312" w:eastAsia="楷体_GB2312" w:cs="楷体_GB2312"/>
          <w:kern w:val="0"/>
        </w:rPr>
        <w:t>5%</w:t>
      </w:r>
      <w:r w:rsidRPr="00EF2D1A">
        <w:rPr>
          <w:rFonts w:ascii="楷体_GB2312" w:eastAsia="楷体_GB2312" w:cs="楷体_GB2312" w:hint="eastAsia"/>
          <w:kern w:val="0"/>
        </w:rPr>
        <w:t>的目标实现压力很大（预计超过</w:t>
      </w:r>
      <w:r w:rsidRPr="00EF2D1A">
        <w:rPr>
          <w:rFonts w:ascii="楷体_GB2312" w:eastAsia="楷体_GB2312" w:cs="楷体_GB2312"/>
          <w:kern w:val="0"/>
        </w:rPr>
        <w:t>90</w:t>
      </w:r>
      <w:r w:rsidRPr="00EF2D1A">
        <w:rPr>
          <w:rFonts w:ascii="楷体_GB2312" w:eastAsia="楷体_GB2312" w:cs="楷体_GB2312" w:hint="eastAsia"/>
          <w:kern w:val="0"/>
        </w:rPr>
        <w:t>万辆）。电动汽车的产业化还需要解决几个关键问题：续航能力、基础</w:t>
      </w:r>
      <w:r>
        <w:rPr>
          <w:rFonts w:ascii="楷体_GB2312" w:eastAsia="楷体_GB2312" w:cs="楷体_GB2312" w:hint="eastAsia"/>
          <w:kern w:val="0"/>
        </w:rPr>
        <w:t>设施建设、汽车动力电池的耐用度，这需要时间。但无论是从能源安全，</w:t>
      </w:r>
      <w:r w:rsidRPr="00EF2D1A">
        <w:rPr>
          <w:rFonts w:ascii="楷体_GB2312" w:eastAsia="楷体_GB2312" w:cs="楷体_GB2312" w:hint="eastAsia"/>
          <w:kern w:val="0"/>
        </w:rPr>
        <w:t>还是从环境保护层面考虑，国家推动新能源汽车发展的动力和力度均毋庸质疑。发展电动汽车的关键环节在于：电动马达、电力转向器和电池。这几部分目前国内企业与国外相比仍有差距，目前涉足的企业众多，并预期会有更多的公司参与，但要判断谁最终能胜出相当困难。</w:t>
      </w:r>
    </w:p>
    <w:p w:rsidR="00097DFD" w:rsidRDefault="00B536F5" w:rsidP="008B0962">
      <w:pPr>
        <w:autoSpaceDE w:val="0"/>
        <w:autoSpaceDN w:val="0"/>
        <w:adjustRightInd w:val="0"/>
        <w:spacing w:afterLines="50" w:line="320" w:lineRule="exact"/>
        <w:ind w:left="2157"/>
        <w:jc w:val="left"/>
        <w:rPr>
          <w:rFonts w:ascii="楷体_GB2312" w:eastAsia="楷体_GB2312"/>
          <w:kern w:val="0"/>
        </w:rPr>
      </w:pPr>
      <w:r w:rsidRPr="00EF2D1A">
        <w:rPr>
          <w:rFonts w:ascii="楷体_GB2312" w:eastAsia="楷体_GB2312" w:cs="楷体_GB2312" w:hint="eastAsia"/>
          <w:kern w:val="0"/>
        </w:rPr>
        <w:t>碳酸锂在新能源汽车中的应用主要是作为锂电池正极材料（磷酸亚铁锂）的原料。在众多新能源汽车用电池中，锂电池是最被大家看好的一个，也是未来新能源电池的发展趋势。目前，全球主要的碳酸锂资源集中在智利、阿根廷、澳大利亚及中国等国家，而碳酸锂的生产集中在智利</w:t>
      </w:r>
      <w:r w:rsidRPr="00EF2D1A">
        <w:rPr>
          <w:rFonts w:ascii="楷体_GB2312" w:eastAsia="楷体_GB2312" w:cs="楷体_GB2312"/>
          <w:kern w:val="0"/>
        </w:rPr>
        <w:t>SQM</w:t>
      </w:r>
      <w:r w:rsidRPr="00EF2D1A">
        <w:rPr>
          <w:rFonts w:ascii="楷体_GB2312" w:eastAsia="楷体_GB2312" w:cs="楷体_GB2312" w:hint="eastAsia"/>
          <w:kern w:val="0"/>
        </w:rPr>
        <w:t>、</w:t>
      </w:r>
      <w:r w:rsidRPr="00EF2D1A">
        <w:rPr>
          <w:rFonts w:ascii="楷体_GB2312" w:eastAsia="楷体_GB2312" w:cs="楷体_GB2312"/>
          <w:kern w:val="0"/>
        </w:rPr>
        <w:t>FMC</w:t>
      </w:r>
      <w:r w:rsidRPr="00EF2D1A">
        <w:rPr>
          <w:rFonts w:ascii="楷体_GB2312" w:eastAsia="楷体_GB2312" w:cs="楷体_GB2312" w:hint="eastAsia"/>
          <w:kern w:val="0"/>
        </w:rPr>
        <w:t>及</w:t>
      </w:r>
      <w:r w:rsidRPr="00EF2D1A">
        <w:rPr>
          <w:rFonts w:ascii="楷体_GB2312" w:eastAsia="楷体_GB2312" w:cs="楷体_GB2312"/>
          <w:kern w:val="0"/>
        </w:rPr>
        <w:t>Chemetall</w:t>
      </w:r>
      <w:r w:rsidRPr="00EF2D1A">
        <w:rPr>
          <w:rFonts w:ascii="楷体_GB2312" w:eastAsia="楷体_GB2312" w:cs="楷体_GB2312" w:hint="eastAsia"/>
          <w:kern w:val="0"/>
        </w:rPr>
        <w:t>这三大公司手中，产量占了全球</w:t>
      </w:r>
      <w:r w:rsidRPr="00EF2D1A">
        <w:rPr>
          <w:rFonts w:ascii="楷体_GB2312" w:eastAsia="楷体_GB2312" w:cs="楷体_GB2312"/>
          <w:kern w:val="0"/>
        </w:rPr>
        <w:t>70%</w:t>
      </w:r>
      <w:r w:rsidRPr="00EF2D1A">
        <w:rPr>
          <w:rFonts w:ascii="楷体_GB2312" w:eastAsia="楷体_GB2312" w:cs="楷体_GB2312" w:hint="eastAsia"/>
          <w:kern w:val="0"/>
        </w:rPr>
        <w:t>以上，已形成了寡头垄断的局面。全球碳酸锂目前的产能在</w:t>
      </w:r>
      <w:r w:rsidRPr="00EF2D1A">
        <w:rPr>
          <w:rFonts w:ascii="楷体_GB2312" w:eastAsia="楷体_GB2312" w:cs="楷体_GB2312"/>
          <w:kern w:val="0"/>
        </w:rPr>
        <w:t>10</w:t>
      </w:r>
      <w:r w:rsidRPr="00EF2D1A">
        <w:rPr>
          <w:rFonts w:ascii="楷体_GB2312" w:eastAsia="楷体_GB2312" w:cs="楷体_GB2312" w:hint="eastAsia"/>
          <w:kern w:val="0"/>
        </w:rPr>
        <w:t>万吨左右。而根据</w:t>
      </w:r>
      <w:r w:rsidRPr="00EF2D1A">
        <w:rPr>
          <w:rFonts w:ascii="楷体_GB2312" w:eastAsia="楷体_GB2312" w:cs="楷体_GB2312"/>
          <w:kern w:val="0"/>
        </w:rPr>
        <w:t>2009</w:t>
      </w:r>
      <w:r w:rsidRPr="00EF2D1A">
        <w:rPr>
          <w:rFonts w:ascii="楷体_GB2312" w:eastAsia="楷体_GB2312" w:cs="楷体_GB2312" w:hint="eastAsia"/>
          <w:kern w:val="0"/>
        </w:rPr>
        <w:t>年在智利召开的锂行业会议上，全球前三大碳酸锂供应商共同预计未来</w:t>
      </w:r>
      <w:r w:rsidRPr="00EF2D1A">
        <w:rPr>
          <w:rFonts w:ascii="楷体_GB2312" w:eastAsia="楷体_GB2312" w:cs="楷体_GB2312"/>
          <w:kern w:val="0"/>
        </w:rPr>
        <w:t>10</w:t>
      </w:r>
      <w:r w:rsidRPr="00EF2D1A">
        <w:rPr>
          <w:rFonts w:ascii="楷体_GB2312" w:eastAsia="楷体_GB2312" w:cs="楷体_GB2312" w:hint="eastAsia"/>
          <w:kern w:val="0"/>
        </w:rPr>
        <w:t>年碳酸锂的需求量将增长</w:t>
      </w:r>
      <w:r w:rsidRPr="00EF2D1A">
        <w:rPr>
          <w:rFonts w:ascii="楷体_GB2312" w:eastAsia="楷体_GB2312" w:cs="楷体_GB2312"/>
          <w:kern w:val="0"/>
        </w:rPr>
        <w:t>2</w:t>
      </w:r>
      <w:r w:rsidRPr="00EF2D1A">
        <w:rPr>
          <w:rFonts w:ascii="楷体_GB2312" w:eastAsia="楷体_GB2312" w:cs="楷体_GB2312" w:hint="eastAsia"/>
          <w:kern w:val="0"/>
        </w:rPr>
        <w:t>倍至</w:t>
      </w:r>
      <w:r w:rsidRPr="00EF2D1A">
        <w:rPr>
          <w:rFonts w:ascii="楷体_GB2312" w:eastAsia="楷体_GB2312" w:cs="楷体_GB2312"/>
          <w:kern w:val="0"/>
        </w:rPr>
        <w:t>30</w:t>
      </w:r>
      <w:r w:rsidRPr="00EF2D1A">
        <w:rPr>
          <w:rFonts w:ascii="楷体_GB2312" w:eastAsia="楷体_GB2312" w:cs="楷体_GB2312" w:hint="eastAsia"/>
          <w:kern w:val="0"/>
        </w:rPr>
        <w:t>万吨。新能源革命</w:t>
      </w:r>
      <w:r w:rsidRPr="00EF2D1A">
        <w:rPr>
          <w:rFonts w:ascii="楷体_GB2312" w:eastAsia="楷体_GB2312" w:cs="楷体_GB2312" w:hint="eastAsia"/>
          <w:kern w:val="0"/>
        </w:rPr>
        <w:lastRenderedPageBreak/>
        <w:t>将改变未来碳酸锂供求格局，带来碳酸锂行业发展的契机。</w:t>
      </w:r>
    </w:p>
    <w:p w:rsidR="00097DFD" w:rsidRDefault="00B536F5" w:rsidP="008B0962">
      <w:pPr>
        <w:autoSpaceDE w:val="0"/>
        <w:autoSpaceDN w:val="0"/>
        <w:adjustRightInd w:val="0"/>
        <w:spacing w:afterLines="50" w:line="320" w:lineRule="exact"/>
        <w:ind w:left="2157"/>
        <w:jc w:val="left"/>
        <w:rPr>
          <w:rFonts w:ascii="楷体_GB2312" w:eastAsia="楷体_GB2312" w:cs="楷体_GB2312"/>
          <w:kern w:val="0"/>
        </w:rPr>
      </w:pPr>
      <w:r w:rsidRPr="00EF2D1A">
        <w:rPr>
          <w:rFonts w:ascii="楷体_GB2312" w:eastAsia="楷体_GB2312" w:cs="楷体_GB2312" w:hint="eastAsia"/>
          <w:kern w:val="0"/>
        </w:rPr>
        <w:t>我们的研究认为未来碳酸锂在传统应用领域的增加不多，未来增量主要体现在汽车用锂电池。根据测算一般</w:t>
      </w:r>
      <w:r w:rsidRPr="00EF2D1A">
        <w:rPr>
          <w:rFonts w:ascii="楷体_GB2312" w:eastAsia="楷体_GB2312" w:cs="楷体_GB2312"/>
          <w:kern w:val="0"/>
        </w:rPr>
        <w:t>130</w:t>
      </w:r>
      <w:r w:rsidRPr="00EF2D1A">
        <w:rPr>
          <w:rFonts w:ascii="楷体_GB2312" w:eastAsia="楷体_GB2312" w:cs="楷体_GB2312" w:hint="eastAsia"/>
          <w:kern w:val="0"/>
        </w:rPr>
        <w:t>克金属锂对应</w:t>
      </w:r>
      <w:r w:rsidRPr="00EF2D1A">
        <w:rPr>
          <w:rFonts w:ascii="楷体_GB2312" w:eastAsia="楷体_GB2312" w:cs="楷体_GB2312"/>
          <w:kern w:val="0"/>
        </w:rPr>
        <w:t>700</w:t>
      </w:r>
      <w:r w:rsidRPr="00EF2D1A">
        <w:rPr>
          <w:rFonts w:ascii="楷体_GB2312" w:eastAsia="楷体_GB2312" w:cs="楷体_GB2312" w:hint="eastAsia"/>
          <w:kern w:val="0"/>
        </w:rPr>
        <w:t>克碳酸锂，每</w:t>
      </w:r>
      <w:r w:rsidRPr="00EF2D1A">
        <w:rPr>
          <w:rFonts w:ascii="楷体_GB2312" w:eastAsia="楷体_GB2312" w:cs="楷体_GB2312"/>
          <w:kern w:val="0"/>
        </w:rPr>
        <w:t>1000</w:t>
      </w:r>
      <w:r w:rsidRPr="00EF2D1A">
        <w:rPr>
          <w:rFonts w:ascii="楷体_GB2312" w:eastAsia="楷体_GB2312" w:cs="楷体_GB2312" w:hint="eastAsia"/>
          <w:kern w:val="0"/>
        </w:rPr>
        <w:t>瓦时需要</w:t>
      </w:r>
      <w:r w:rsidRPr="00EF2D1A">
        <w:rPr>
          <w:rFonts w:ascii="楷体_GB2312" w:eastAsia="楷体_GB2312" w:cs="楷体_GB2312"/>
          <w:kern w:val="0"/>
        </w:rPr>
        <w:t>700</w:t>
      </w:r>
      <w:r w:rsidRPr="00EF2D1A">
        <w:rPr>
          <w:rFonts w:ascii="楷体_GB2312" w:eastAsia="楷体_GB2312" w:cs="楷体_GB2312" w:hint="eastAsia"/>
          <w:kern w:val="0"/>
        </w:rPr>
        <w:t>克碳酸锂用量，一般一辆电动汽车需要</w:t>
      </w:r>
      <w:r w:rsidRPr="00EF2D1A">
        <w:rPr>
          <w:rFonts w:ascii="楷体_GB2312" w:eastAsia="楷体_GB2312" w:cs="楷体_GB2312"/>
          <w:kern w:val="0"/>
        </w:rPr>
        <w:t>20-30kwh,</w:t>
      </w:r>
      <w:r w:rsidRPr="00EF2D1A">
        <w:rPr>
          <w:rFonts w:ascii="楷体_GB2312" w:eastAsia="楷体_GB2312" w:cs="楷体_GB2312" w:hint="eastAsia"/>
          <w:kern w:val="0"/>
        </w:rPr>
        <w:t>耗用碳酸锂</w:t>
      </w:r>
      <w:r w:rsidRPr="00EF2D1A">
        <w:rPr>
          <w:rFonts w:ascii="楷体_GB2312" w:eastAsia="楷体_GB2312" w:cs="楷体_GB2312"/>
          <w:kern w:val="0"/>
        </w:rPr>
        <w:t>14-21</w:t>
      </w:r>
      <w:r w:rsidRPr="00EF2D1A">
        <w:rPr>
          <w:rFonts w:ascii="楷体_GB2312" w:eastAsia="楷体_GB2312" w:cs="楷体_GB2312" w:hint="eastAsia"/>
          <w:kern w:val="0"/>
        </w:rPr>
        <w:t>公斤。由此</w:t>
      </w:r>
      <w:r w:rsidRPr="00EF2D1A">
        <w:rPr>
          <w:rFonts w:ascii="楷体_GB2312" w:eastAsia="楷体_GB2312" w:cs="楷体_GB2312"/>
          <w:kern w:val="0"/>
        </w:rPr>
        <w:t>10</w:t>
      </w:r>
      <w:r w:rsidRPr="00EF2D1A">
        <w:rPr>
          <w:rFonts w:ascii="楷体_GB2312" w:eastAsia="楷体_GB2312" w:cs="楷体_GB2312" w:hint="eastAsia"/>
          <w:kern w:val="0"/>
        </w:rPr>
        <w:t>万辆电动汽车需要</w:t>
      </w:r>
      <w:r w:rsidRPr="00EF2D1A">
        <w:rPr>
          <w:rFonts w:ascii="楷体_GB2312" w:eastAsia="楷体_GB2312" w:cs="楷体_GB2312"/>
          <w:kern w:val="0"/>
        </w:rPr>
        <w:t>2000</w:t>
      </w:r>
      <w:r w:rsidRPr="00EF2D1A">
        <w:rPr>
          <w:rFonts w:ascii="楷体_GB2312" w:eastAsia="楷体_GB2312" w:cs="楷体_GB2312" w:hint="eastAsia"/>
          <w:kern w:val="0"/>
        </w:rPr>
        <w:t>多吨碳酸锂，目前国内碳酸锂的储量是盐湖碳酸锂</w:t>
      </w:r>
      <w:r w:rsidRPr="00EF2D1A">
        <w:rPr>
          <w:rFonts w:ascii="楷体_GB2312" w:eastAsia="楷体_GB2312" w:cs="楷体_GB2312"/>
          <w:kern w:val="0"/>
        </w:rPr>
        <w:t>100</w:t>
      </w:r>
      <w:r w:rsidRPr="00EF2D1A">
        <w:rPr>
          <w:rFonts w:ascii="楷体_GB2312" w:eastAsia="楷体_GB2312" w:cs="楷体_GB2312" w:hint="eastAsia"/>
          <w:kern w:val="0"/>
        </w:rPr>
        <w:t>万吨，矿石锂资源</w:t>
      </w:r>
      <w:r w:rsidRPr="00EF2D1A">
        <w:rPr>
          <w:rFonts w:ascii="楷体_GB2312" w:eastAsia="楷体_GB2312" w:cs="楷体_GB2312"/>
          <w:kern w:val="0"/>
        </w:rPr>
        <w:t>300-400</w:t>
      </w:r>
      <w:r w:rsidRPr="00EF2D1A">
        <w:rPr>
          <w:rFonts w:ascii="楷体_GB2312" w:eastAsia="楷体_GB2312" w:cs="楷体_GB2312" w:hint="eastAsia"/>
          <w:kern w:val="0"/>
        </w:rPr>
        <w:t>万吨，国内目前的产能是</w:t>
      </w:r>
      <w:r w:rsidRPr="00EF2D1A">
        <w:rPr>
          <w:rFonts w:ascii="楷体_GB2312" w:eastAsia="楷体_GB2312" w:cs="楷体_GB2312"/>
          <w:kern w:val="0"/>
        </w:rPr>
        <w:t>1</w:t>
      </w:r>
      <w:r w:rsidRPr="00EF2D1A">
        <w:rPr>
          <w:rFonts w:ascii="楷体_GB2312" w:eastAsia="楷体_GB2312" w:cs="楷体_GB2312" w:hint="eastAsia"/>
          <w:kern w:val="0"/>
        </w:rPr>
        <w:t>万吨，未来将拓展到</w:t>
      </w:r>
      <w:r w:rsidRPr="00EF2D1A">
        <w:rPr>
          <w:rFonts w:ascii="楷体_GB2312" w:eastAsia="楷体_GB2312" w:cs="楷体_GB2312"/>
          <w:kern w:val="0"/>
        </w:rPr>
        <w:t>9</w:t>
      </w:r>
      <w:r w:rsidRPr="00EF2D1A">
        <w:rPr>
          <w:rFonts w:ascii="楷体_GB2312" w:eastAsia="楷体_GB2312" w:cs="楷体_GB2312" w:hint="eastAsia"/>
          <w:kern w:val="0"/>
        </w:rPr>
        <w:t>万吨；国外目前产能是</w:t>
      </w:r>
      <w:r w:rsidRPr="00EF2D1A">
        <w:rPr>
          <w:rFonts w:ascii="楷体_GB2312" w:eastAsia="楷体_GB2312" w:cs="楷体_GB2312"/>
          <w:kern w:val="0"/>
        </w:rPr>
        <w:t>8.3</w:t>
      </w:r>
      <w:r w:rsidRPr="00EF2D1A">
        <w:rPr>
          <w:rFonts w:ascii="楷体_GB2312" w:eastAsia="楷体_GB2312" w:cs="楷体_GB2312" w:hint="eastAsia"/>
          <w:kern w:val="0"/>
        </w:rPr>
        <w:t>万吨，未来将拓展到</w:t>
      </w:r>
      <w:r w:rsidRPr="00EF2D1A">
        <w:rPr>
          <w:rFonts w:ascii="楷体_GB2312" w:eastAsia="楷体_GB2312" w:cs="楷体_GB2312"/>
          <w:kern w:val="0"/>
        </w:rPr>
        <w:t>13</w:t>
      </w:r>
      <w:r w:rsidRPr="00EF2D1A">
        <w:rPr>
          <w:rFonts w:ascii="楷体_GB2312" w:eastAsia="楷体_GB2312" w:cs="楷体_GB2312" w:hint="eastAsia"/>
          <w:kern w:val="0"/>
        </w:rPr>
        <w:t>万吨。由此增量并不明显，</w:t>
      </w:r>
      <w:r w:rsidRPr="00EF2D1A">
        <w:rPr>
          <w:rFonts w:ascii="楷体_GB2312" w:eastAsia="楷体_GB2312" w:cs="楷体_GB2312"/>
          <w:kern w:val="0"/>
        </w:rPr>
        <w:t>2000</w:t>
      </w:r>
      <w:r w:rsidRPr="00EF2D1A">
        <w:rPr>
          <w:rFonts w:ascii="楷体_GB2312" w:eastAsia="楷体_GB2312" w:cs="楷体_GB2312" w:hint="eastAsia"/>
          <w:kern w:val="0"/>
        </w:rPr>
        <w:t>吨碳酸锂只能对应目前产能的</w:t>
      </w:r>
      <w:r w:rsidRPr="00EF2D1A">
        <w:rPr>
          <w:rFonts w:ascii="楷体_GB2312" w:eastAsia="楷体_GB2312" w:cs="楷体_GB2312"/>
          <w:kern w:val="0"/>
        </w:rPr>
        <w:t>5%</w:t>
      </w:r>
      <w:r w:rsidRPr="00EF2D1A">
        <w:rPr>
          <w:rFonts w:ascii="楷体_GB2312" w:eastAsia="楷体_GB2312" w:cs="楷体_GB2312" w:hint="eastAsia"/>
          <w:kern w:val="0"/>
        </w:rPr>
        <w:t>，如果未来国内产能扩展到</w:t>
      </w:r>
      <w:r w:rsidRPr="00EF2D1A">
        <w:rPr>
          <w:rFonts w:ascii="楷体_GB2312" w:eastAsia="楷体_GB2312" w:cs="楷体_GB2312"/>
          <w:kern w:val="0"/>
        </w:rPr>
        <w:t>9</w:t>
      </w:r>
      <w:r w:rsidRPr="00EF2D1A">
        <w:rPr>
          <w:rFonts w:ascii="楷体_GB2312" w:eastAsia="楷体_GB2312" w:cs="楷体_GB2312" w:hint="eastAsia"/>
          <w:kern w:val="0"/>
        </w:rPr>
        <w:t>万吨，只有电动汽车推广量达到</w:t>
      </w:r>
      <w:r w:rsidRPr="00EF2D1A">
        <w:rPr>
          <w:rFonts w:ascii="楷体_GB2312" w:eastAsia="楷体_GB2312" w:cs="楷体_GB2312"/>
          <w:kern w:val="0"/>
        </w:rPr>
        <w:t>100</w:t>
      </w:r>
      <w:r w:rsidRPr="00EF2D1A">
        <w:rPr>
          <w:rFonts w:ascii="楷体_GB2312" w:eastAsia="楷体_GB2312" w:cs="楷体_GB2312" w:hint="eastAsia"/>
          <w:kern w:val="0"/>
        </w:rPr>
        <w:t>万辆的时候，才能形成较大的需求。由此未来</w:t>
      </w:r>
      <w:r w:rsidRPr="00EF2D1A">
        <w:rPr>
          <w:rFonts w:ascii="楷体_GB2312" w:eastAsia="楷体_GB2312" w:cs="楷体_GB2312"/>
          <w:kern w:val="0"/>
        </w:rPr>
        <w:t>3-5</w:t>
      </w:r>
      <w:r w:rsidRPr="00EF2D1A">
        <w:rPr>
          <w:rFonts w:ascii="楷体_GB2312" w:eastAsia="楷体_GB2312" w:cs="楷体_GB2312" w:hint="eastAsia"/>
          <w:kern w:val="0"/>
        </w:rPr>
        <w:t>年碳酸锂资源基本是过剩的，我们定位</w:t>
      </w:r>
      <w:r>
        <w:rPr>
          <w:rFonts w:ascii="楷体_GB2312" w:eastAsia="楷体_GB2312" w:cs="楷体_GB2312" w:hint="eastAsia"/>
          <w:kern w:val="0"/>
        </w:rPr>
        <w:t>为</w:t>
      </w:r>
      <w:r w:rsidRPr="00EF2D1A">
        <w:rPr>
          <w:rFonts w:ascii="楷体_GB2312" w:eastAsia="楷体_GB2312" w:cs="楷体_GB2312" w:hint="eastAsia"/>
          <w:kern w:val="0"/>
        </w:rPr>
        <w:t>产能过剩的朝阳行业。</w:t>
      </w:r>
    </w:p>
    <w:p w:rsidR="00097DFD" w:rsidRDefault="00097DFD" w:rsidP="008B0962">
      <w:pPr>
        <w:autoSpaceDE w:val="0"/>
        <w:autoSpaceDN w:val="0"/>
        <w:adjustRightInd w:val="0"/>
        <w:spacing w:afterLines="50" w:line="320" w:lineRule="exact"/>
        <w:ind w:left="2157"/>
        <w:jc w:val="left"/>
        <w:rPr>
          <w:rFonts w:ascii="楷体_GB2312" w:eastAsia="楷体_GB2312" w:cs="楷体_GB2312"/>
          <w:kern w:val="0"/>
        </w:rPr>
      </w:pPr>
    </w:p>
    <w:p w:rsidR="00097DFD" w:rsidRDefault="00B536F5" w:rsidP="008B0962">
      <w:pPr>
        <w:numPr>
          <w:ilvl w:val="0"/>
          <w:numId w:val="7"/>
        </w:numPr>
        <w:autoSpaceDE w:val="0"/>
        <w:autoSpaceDN w:val="0"/>
        <w:adjustRightInd w:val="0"/>
        <w:spacing w:afterLines="50" w:line="320" w:lineRule="exact"/>
        <w:jc w:val="left"/>
        <w:rPr>
          <w:rFonts w:ascii="楷体_GB2312" w:eastAsia="楷体_GB2312"/>
          <w:b/>
          <w:bCs/>
          <w:kern w:val="0"/>
        </w:rPr>
      </w:pPr>
      <w:r>
        <w:rPr>
          <w:rFonts w:ascii="楷体_GB2312" w:eastAsia="楷体_GB2312" w:cs="楷体_GB2312" w:hint="eastAsia"/>
          <w:b/>
          <w:bCs/>
          <w:kern w:val="0"/>
        </w:rPr>
        <w:t>再生金属回收从无序走向逐步规范的朝阳行业</w:t>
      </w:r>
    </w:p>
    <w:p w:rsidR="00097DFD" w:rsidRDefault="00097DFD" w:rsidP="008B0962">
      <w:pPr>
        <w:autoSpaceDE w:val="0"/>
        <w:autoSpaceDN w:val="0"/>
        <w:adjustRightInd w:val="0"/>
        <w:spacing w:afterLines="50" w:line="320" w:lineRule="exact"/>
        <w:ind w:left="2577"/>
        <w:jc w:val="left"/>
        <w:rPr>
          <w:rFonts w:ascii="楷体_GB2312" w:eastAsia="楷体_GB2312"/>
          <w:b/>
          <w:bCs/>
          <w:kern w:val="0"/>
        </w:rPr>
      </w:pPr>
    </w:p>
    <w:p w:rsidR="00097DFD" w:rsidRDefault="00B536F5" w:rsidP="008B0962">
      <w:pPr>
        <w:autoSpaceDE w:val="0"/>
        <w:autoSpaceDN w:val="0"/>
        <w:adjustRightInd w:val="0"/>
        <w:spacing w:afterLines="50" w:line="320" w:lineRule="exact"/>
        <w:ind w:left="2157"/>
        <w:jc w:val="left"/>
        <w:rPr>
          <w:rFonts w:ascii="楷体_GB2312" w:eastAsia="楷体_GB2312"/>
          <w:kern w:val="0"/>
        </w:rPr>
      </w:pPr>
      <w:r w:rsidRPr="004C1660">
        <w:rPr>
          <w:rFonts w:ascii="楷体_GB2312" w:eastAsia="楷体_GB2312" w:hint="eastAsia"/>
          <w:kern w:val="0"/>
        </w:rPr>
        <w:t>我国目前再生金属行业还存在回收利用程度低、技术落后、竞争无序、缺乏标准、污染严重等问题。国家至2004年起从立法和颁布条例、指导意见等多种形式对行业进行了规范。再生金属行业将会逐步步入正轨，迎来更快的发展前景。</w:t>
      </w:r>
    </w:p>
    <w:p w:rsidR="00097DFD" w:rsidRDefault="00B536F5" w:rsidP="008B0962">
      <w:pPr>
        <w:autoSpaceDE w:val="0"/>
        <w:autoSpaceDN w:val="0"/>
        <w:adjustRightInd w:val="0"/>
        <w:spacing w:afterLines="50" w:line="320" w:lineRule="exact"/>
        <w:ind w:left="2157"/>
        <w:jc w:val="left"/>
        <w:rPr>
          <w:rFonts w:ascii="楷体_GB2312" w:eastAsia="楷体_GB2312"/>
          <w:kern w:val="0"/>
        </w:rPr>
      </w:pPr>
      <w:r>
        <w:rPr>
          <w:rFonts w:ascii="楷体_GB2312" w:eastAsia="楷体_GB2312" w:hint="eastAsia"/>
          <w:kern w:val="0"/>
        </w:rPr>
        <w:t>同时我们看到</w:t>
      </w:r>
      <w:r w:rsidRPr="004C1660">
        <w:rPr>
          <w:rFonts w:ascii="楷体_GB2312" w:eastAsia="楷体_GB2312" w:hint="eastAsia"/>
          <w:kern w:val="0"/>
        </w:rPr>
        <w:t>我国电子废弃物进入报废的高峰期、行业发展前景广阔</w:t>
      </w:r>
      <w:r>
        <w:rPr>
          <w:rFonts w:ascii="楷体_GB2312" w:eastAsia="楷体_GB2312" w:hint="eastAsia"/>
          <w:kern w:val="0"/>
        </w:rPr>
        <w:t>。</w:t>
      </w:r>
      <w:r w:rsidRPr="004C1660">
        <w:rPr>
          <w:rFonts w:ascii="楷体_GB2312" w:eastAsia="楷体_GB2312" w:hint="eastAsia"/>
          <w:kern w:val="0"/>
        </w:rPr>
        <w:t>我国是世界上最大的家用电器制造国和生产国，2010年四机一脑（电视机、洗衣机、电冰箱、空调、微型计算机）销售量超过60亿台。根据日本富士经济调查显示，2010年中国占世界家电市场总生产量的85.3%，销售市场占有额为23.4%，均为世界第一。</w:t>
      </w:r>
    </w:p>
    <w:p w:rsidR="00097DFD" w:rsidRDefault="00B536F5" w:rsidP="008B0962">
      <w:pPr>
        <w:autoSpaceDE w:val="0"/>
        <w:autoSpaceDN w:val="0"/>
        <w:adjustRightInd w:val="0"/>
        <w:spacing w:afterLines="50" w:line="320" w:lineRule="exact"/>
        <w:ind w:left="2157"/>
        <w:jc w:val="left"/>
        <w:rPr>
          <w:rFonts w:ascii="楷体_GB2312" w:eastAsia="楷体_GB2312"/>
          <w:kern w:val="0"/>
        </w:rPr>
      </w:pPr>
      <w:r w:rsidRPr="004C1660">
        <w:rPr>
          <w:rFonts w:ascii="楷体_GB2312" w:eastAsia="楷体_GB2312" w:hint="eastAsia"/>
          <w:kern w:val="0"/>
        </w:rPr>
        <w:t>根据中国家电研究院的测算，截至2009年，我国居民五种电器电子产品社会保有量超过16亿台以上（3000万吨以上）。其中，电视机达到5.58亿台，冰箱达到2.77亿台、洗衣机达到3.15亿台，房间空调器达到3.10亿台，微型计算机达到1.90亿台。我国家电产品是从上世纪80年代中后期逐渐开始在居民家庭中普及使用的，尤其是进入到本世纪以来，随着我国经济的发展以及居民生活水平的提高，家电销售量迅速增长，平均年增长率超过20%。</w:t>
      </w:r>
    </w:p>
    <w:p w:rsidR="00097DFD" w:rsidRDefault="00B536F5" w:rsidP="008B0962">
      <w:pPr>
        <w:autoSpaceDE w:val="0"/>
        <w:autoSpaceDN w:val="0"/>
        <w:adjustRightInd w:val="0"/>
        <w:spacing w:afterLines="50" w:line="320" w:lineRule="exact"/>
        <w:ind w:left="2157"/>
        <w:jc w:val="left"/>
        <w:rPr>
          <w:rFonts w:ascii="楷体_GB2312" w:eastAsia="楷体_GB2312"/>
          <w:kern w:val="0"/>
        </w:rPr>
      </w:pPr>
      <w:r w:rsidRPr="004C1660">
        <w:rPr>
          <w:rFonts w:ascii="楷体_GB2312" w:eastAsia="楷体_GB2312" w:hint="eastAsia"/>
          <w:kern w:val="0"/>
        </w:rPr>
        <w:t>按照一般家电寿命10-15年计算，目前我国已经开始进入家电报废的高峰期，每年的报废量超过5000万台，报废量年均增长20%。如此将给社会和环境带来较大的压力，加快和规范拆解回收非常迫切。</w:t>
      </w:r>
    </w:p>
    <w:p w:rsidR="00097DFD" w:rsidRDefault="00B536F5" w:rsidP="008B0962">
      <w:pPr>
        <w:autoSpaceDE w:val="0"/>
        <w:autoSpaceDN w:val="0"/>
        <w:adjustRightInd w:val="0"/>
        <w:spacing w:afterLines="50" w:line="320" w:lineRule="exact"/>
        <w:ind w:left="2157"/>
        <w:jc w:val="left"/>
        <w:rPr>
          <w:rFonts w:ascii="楷体_GB2312" w:eastAsia="楷体_GB2312"/>
          <w:kern w:val="0"/>
        </w:rPr>
      </w:pPr>
      <w:r>
        <w:rPr>
          <w:rFonts w:ascii="楷体_GB2312" w:eastAsia="楷体_GB2312" w:hint="eastAsia"/>
          <w:kern w:val="0"/>
        </w:rPr>
        <w:t>此外</w:t>
      </w:r>
      <w:r w:rsidRPr="001A72D1">
        <w:rPr>
          <w:rFonts w:ascii="楷体_GB2312" w:eastAsia="楷体_GB2312" w:hint="eastAsia"/>
          <w:kern w:val="0"/>
        </w:rPr>
        <w:t>环保压力将促进政府加强监管和规范行业秩序</w:t>
      </w:r>
      <w:r>
        <w:rPr>
          <w:rFonts w:ascii="楷体_GB2312" w:eastAsia="楷体_GB2312" w:hint="eastAsia"/>
          <w:kern w:val="0"/>
        </w:rPr>
        <w:t>。</w:t>
      </w:r>
      <w:r w:rsidRPr="001A72D1">
        <w:rPr>
          <w:rFonts w:ascii="楷体_GB2312" w:eastAsia="楷体_GB2312" w:hint="eastAsia"/>
          <w:kern w:val="0"/>
        </w:rPr>
        <w:t>有色金属产业面临的节能环保压力日益加大。有色金属作为传统高耗能行业，节能减排任务艰巨。充分利用废旧有色金属是有色金属工业实现节能减排目标的有效手段。“十一五”前四年，我国再生有色金属产业与生产等量原生金属相比，相当于节能4650万吨标煤，节水18.8亿立方米，减少固废排放34.5亿吨，减少二氧化硫排放112万吨。</w:t>
      </w:r>
    </w:p>
    <w:p w:rsidR="00097DFD" w:rsidRDefault="00B536F5" w:rsidP="008B0962">
      <w:pPr>
        <w:autoSpaceDE w:val="0"/>
        <w:autoSpaceDN w:val="0"/>
        <w:adjustRightInd w:val="0"/>
        <w:spacing w:afterLines="50" w:line="320" w:lineRule="exact"/>
        <w:ind w:left="2157"/>
        <w:jc w:val="left"/>
        <w:rPr>
          <w:rFonts w:ascii="楷体_GB2312" w:eastAsia="楷体_GB2312"/>
          <w:kern w:val="0"/>
        </w:rPr>
      </w:pPr>
      <w:r w:rsidRPr="004C1660">
        <w:rPr>
          <w:rFonts w:ascii="楷体_GB2312" w:eastAsia="楷体_GB2312" w:hint="eastAsia"/>
          <w:kern w:val="0"/>
        </w:rPr>
        <w:t>我国目前对电子废弃物的回收处理还相对落后</w:t>
      </w:r>
      <w:r>
        <w:rPr>
          <w:rFonts w:ascii="楷体_GB2312" w:eastAsia="楷体_GB2312" w:hint="eastAsia"/>
          <w:kern w:val="0"/>
        </w:rPr>
        <w:t>。</w:t>
      </w:r>
      <w:r w:rsidRPr="004C1660">
        <w:rPr>
          <w:rFonts w:ascii="楷体_GB2312" w:eastAsia="楷体_GB2312" w:hint="eastAsia"/>
          <w:kern w:val="0"/>
        </w:rPr>
        <w:t>绝大多数废旧电器电子产品由社会上自发形成的脱离各级政府主管部门监管的流动小商贩回收，能够继续使用的经过维修翻新后高价贩卖给旧货市场，不能使用的由手工作坊进行简单的物理拆解甚至焚烧，得到其中有价值的电路板、金属、塑料等进行变卖，其余剩下的残物残渣则随地丢弃、倾倒入河或者填埋地下，造成严重的环境问题。</w:t>
      </w:r>
      <w:r>
        <w:rPr>
          <w:rFonts w:ascii="楷体_GB2312" w:eastAsia="楷体_GB2312" w:hint="eastAsia"/>
          <w:kern w:val="0"/>
        </w:rPr>
        <w:t>而</w:t>
      </w:r>
      <w:r w:rsidRPr="004C1660">
        <w:rPr>
          <w:rFonts w:ascii="楷体_GB2312" w:eastAsia="楷体_GB2312" w:hint="eastAsia"/>
          <w:kern w:val="0"/>
        </w:rPr>
        <w:t>国内正规的回收拆解企业却由于要负担环保、税收等成本，回收价</w:t>
      </w:r>
      <w:r w:rsidRPr="004C1660">
        <w:rPr>
          <w:rFonts w:ascii="楷体_GB2312" w:eastAsia="楷体_GB2312" w:hint="eastAsia"/>
          <w:kern w:val="0"/>
        </w:rPr>
        <w:lastRenderedPageBreak/>
        <w:t>格没有竞争力，经常面临回收货源不足的困境。</w:t>
      </w:r>
    </w:p>
    <w:p w:rsidR="00097DFD" w:rsidRDefault="00B536F5" w:rsidP="008B0962">
      <w:pPr>
        <w:autoSpaceDE w:val="0"/>
        <w:autoSpaceDN w:val="0"/>
        <w:adjustRightInd w:val="0"/>
        <w:spacing w:afterLines="50" w:line="320" w:lineRule="exact"/>
        <w:ind w:left="2157"/>
        <w:jc w:val="left"/>
        <w:rPr>
          <w:rFonts w:ascii="楷体_GB2312" w:eastAsia="楷体_GB2312"/>
          <w:kern w:val="0"/>
        </w:rPr>
      </w:pPr>
      <w:r>
        <w:rPr>
          <w:rFonts w:ascii="楷体_GB2312" w:eastAsia="楷体_GB2312" w:hint="eastAsia"/>
          <w:kern w:val="0"/>
        </w:rPr>
        <w:t>目前行业的</w:t>
      </w:r>
      <w:r w:rsidRPr="004C1660">
        <w:rPr>
          <w:rFonts w:ascii="楷体_GB2312" w:eastAsia="楷体_GB2312" w:hint="eastAsia"/>
          <w:kern w:val="0"/>
        </w:rPr>
        <w:t>产业集中度低，亟待建立行业准入制度。多数企业生产规模小，全行业产业集中度普遍较低。据不完全统计，全国有300多家再生铅企业，2009年平均产能仅为4100吨；年产量超过10万吨的再生铜企业只有2家，多数企业年产量低于3万吨；大型再生铝企业年产量达到30万吨以上，小企业年产量仅有几百吨。目前，行业缺乏准入管理，发展水平参差不齐，市场竞争无序，亟待加以规范。</w:t>
      </w:r>
    </w:p>
    <w:p w:rsidR="00097DFD" w:rsidRDefault="00097DFD" w:rsidP="008B0962">
      <w:pPr>
        <w:autoSpaceDE w:val="0"/>
        <w:autoSpaceDN w:val="0"/>
        <w:adjustRightInd w:val="0"/>
        <w:spacing w:afterLines="50" w:line="320" w:lineRule="exact"/>
        <w:ind w:left="2157"/>
        <w:jc w:val="left"/>
        <w:rPr>
          <w:rFonts w:ascii="楷体_GB2312" w:eastAsia="楷体_GB2312"/>
          <w:kern w:val="0"/>
        </w:rPr>
      </w:pPr>
    </w:p>
    <w:p w:rsidR="00097DFD" w:rsidRDefault="00B536F5" w:rsidP="008B0962">
      <w:pPr>
        <w:autoSpaceDE w:val="0"/>
        <w:autoSpaceDN w:val="0"/>
        <w:adjustRightInd w:val="0"/>
        <w:spacing w:afterLines="50" w:line="320" w:lineRule="exact"/>
        <w:ind w:left="2157"/>
        <w:jc w:val="left"/>
        <w:rPr>
          <w:rFonts w:ascii="楷体_GB2312" w:eastAsia="楷体_GB2312"/>
          <w:kern w:val="0"/>
        </w:rPr>
      </w:pPr>
      <w:r>
        <w:rPr>
          <w:rFonts w:ascii="楷体_GB2312" w:eastAsia="楷体_GB2312" w:hint="eastAsia"/>
          <w:kern w:val="0"/>
        </w:rPr>
        <w:t>因此，我们认为行业未来发展将从目前的无序竞争状态中逐步规范，行业处于发展的初期，一定会存在诸多不合理现象，而这些不合理现象解决的过程将是行业逐步走向规范的过程。龙头企业将在这个过程中不断受益，并最终成长起来。</w:t>
      </w:r>
    </w:p>
    <w:p w:rsidR="00097DFD" w:rsidRDefault="00097DFD" w:rsidP="008B0962">
      <w:pPr>
        <w:autoSpaceDE w:val="0"/>
        <w:autoSpaceDN w:val="0"/>
        <w:adjustRightInd w:val="0"/>
        <w:spacing w:afterLines="50" w:line="320" w:lineRule="exact"/>
        <w:ind w:left="2157"/>
        <w:jc w:val="left"/>
        <w:rPr>
          <w:rFonts w:ascii="楷体_GB2312" w:eastAsia="楷体_GB2312"/>
          <w:kern w:val="0"/>
        </w:rPr>
      </w:pPr>
    </w:p>
    <w:p w:rsidR="00097DFD" w:rsidRDefault="00B536F5" w:rsidP="008B0962">
      <w:pPr>
        <w:numPr>
          <w:ilvl w:val="0"/>
          <w:numId w:val="7"/>
        </w:numPr>
        <w:autoSpaceDE w:val="0"/>
        <w:autoSpaceDN w:val="0"/>
        <w:adjustRightInd w:val="0"/>
        <w:spacing w:afterLines="50" w:line="320" w:lineRule="exact"/>
        <w:jc w:val="left"/>
        <w:rPr>
          <w:rFonts w:ascii="楷体_GB2312" w:eastAsia="楷体_GB2312"/>
          <w:b/>
          <w:bCs/>
          <w:kern w:val="0"/>
        </w:rPr>
      </w:pPr>
      <w:r>
        <w:rPr>
          <w:rFonts w:ascii="楷体_GB2312" w:eastAsia="楷体_GB2312" w:cs="楷体_GB2312" w:hint="eastAsia"/>
          <w:b/>
          <w:bCs/>
          <w:kern w:val="0"/>
        </w:rPr>
        <w:t>黄金的避险需求依然阶段性存在，金价或有支撑</w:t>
      </w:r>
    </w:p>
    <w:p w:rsidR="00097DFD" w:rsidRDefault="00097DFD" w:rsidP="008B0962">
      <w:pPr>
        <w:autoSpaceDE w:val="0"/>
        <w:autoSpaceDN w:val="0"/>
        <w:adjustRightInd w:val="0"/>
        <w:spacing w:afterLines="50" w:line="320" w:lineRule="exact"/>
        <w:ind w:left="2157"/>
        <w:jc w:val="left"/>
        <w:rPr>
          <w:rFonts w:ascii="楷体_GB2312" w:eastAsia="楷体_GB2312"/>
          <w:kern w:val="0"/>
        </w:rPr>
      </w:pPr>
    </w:p>
    <w:p w:rsidR="00097DFD" w:rsidRDefault="00B536F5" w:rsidP="008B0962">
      <w:pPr>
        <w:autoSpaceDE w:val="0"/>
        <w:autoSpaceDN w:val="0"/>
        <w:adjustRightInd w:val="0"/>
        <w:spacing w:afterLines="50" w:line="320" w:lineRule="exact"/>
        <w:ind w:left="2157"/>
        <w:jc w:val="left"/>
        <w:rPr>
          <w:rFonts w:ascii="楷体_GB2312" w:eastAsia="楷体_GB2312" w:cs="楷体_GB2312"/>
          <w:kern w:val="0"/>
        </w:rPr>
      </w:pPr>
      <w:r w:rsidRPr="00EF2D1A">
        <w:rPr>
          <w:rFonts w:ascii="楷体_GB2312" w:eastAsia="楷体_GB2312" w:cs="楷体_GB2312" w:hint="eastAsia"/>
          <w:kern w:val="0"/>
        </w:rPr>
        <w:t>自希腊债务危机爆发以来，对欧洲主权国家债务危机的担忧就充斥整个市场，避险情绪不断增强，同时</w:t>
      </w:r>
      <w:r w:rsidRPr="00EF2D1A">
        <w:rPr>
          <w:rFonts w:ascii="楷体_GB2312" w:eastAsia="楷体_GB2312" w:cs="楷体_GB2312"/>
          <w:kern w:val="0"/>
        </w:rPr>
        <w:t>09</w:t>
      </w:r>
      <w:r w:rsidRPr="00EF2D1A">
        <w:rPr>
          <w:rFonts w:ascii="楷体_GB2312" w:eastAsia="楷体_GB2312" w:cs="楷体_GB2312" w:hint="eastAsia"/>
          <w:kern w:val="0"/>
        </w:rPr>
        <w:t>年大量的流动性输入引发的通胀预期不断升温，全球性货币紧缩担忧不断加剧，大宗商品及投资市场表现不佳，而具有独特保值与避险特性的黄金，在</w:t>
      </w:r>
      <w:r>
        <w:rPr>
          <w:rFonts w:ascii="楷体_GB2312" w:eastAsia="楷体_GB2312" w:cs="楷体_GB2312" w:hint="eastAsia"/>
          <w:kern w:val="0"/>
        </w:rPr>
        <w:t>市场青睐度升高下价格却呈现出高位运行特征。在当前市场形势不明朗、</w:t>
      </w:r>
      <w:r w:rsidRPr="00EF2D1A">
        <w:rPr>
          <w:rFonts w:ascii="楷体_GB2312" w:eastAsia="楷体_GB2312" w:cs="楷体_GB2312" w:hint="eastAsia"/>
          <w:kern w:val="0"/>
        </w:rPr>
        <w:t>避险情绪不断增强的背景下，黄金作为一种特殊的贵金属，其</w:t>
      </w:r>
      <w:r w:rsidRPr="00EF2D1A">
        <w:rPr>
          <w:rFonts w:ascii="楷体_GB2312" w:eastAsia="楷体_GB2312"/>
          <w:kern w:val="0"/>
        </w:rPr>
        <w:t>“</w:t>
      </w:r>
      <w:r w:rsidRPr="00EF2D1A">
        <w:rPr>
          <w:rFonts w:ascii="楷体_GB2312" w:eastAsia="楷体_GB2312" w:cs="楷体_GB2312" w:hint="eastAsia"/>
          <w:kern w:val="0"/>
        </w:rPr>
        <w:t>乱世显英雄</w:t>
      </w:r>
      <w:r w:rsidRPr="00EF2D1A">
        <w:rPr>
          <w:rFonts w:ascii="楷体_GB2312" w:eastAsia="楷体_GB2312"/>
          <w:kern w:val="0"/>
        </w:rPr>
        <w:t>”</w:t>
      </w:r>
      <w:r w:rsidRPr="00EF2D1A">
        <w:rPr>
          <w:rFonts w:ascii="楷体_GB2312" w:eastAsia="楷体_GB2312" w:cs="楷体_GB2312" w:hint="eastAsia"/>
          <w:kern w:val="0"/>
        </w:rPr>
        <w:t>的本色发挥的淋漓尽致，避险与防通胀特性使得市场对黄金的投资需求迅速增长从而不断推高金价。鉴于资本市场环境和全球宏观经济形势的不明</w:t>
      </w:r>
      <w:r>
        <w:rPr>
          <w:rFonts w:ascii="楷体_GB2312" w:eastAsia="楷体_GB2312" w:cs="楷体_GB2312" w:hint="eastAsia"/>
          <w:kern w:val="0"/>
        </w:rPr>
        <w:t>朗，具独特性质的黄金价格在一定程度上能够得到支撑。</w:t>
      </w:r>
    </w:p>
    <w:p w:rsidR="00097DFD" w:rsidRDefault="00B536F5" w:rsidP="008B0962">
      <w:pPr>
        <w:autoSpaceDE w:val="0"/>
        <w:autoSpaceDN w:val="0"/>
        <w:adjustRightInd w:val="0"/>
        <w:spacing w:afterLines="50" w:line="320" w:lineRule="exact"/>
        <w:ind w:left="2157"/>
        <w:jc w:val="left"/>
        <w:rPr>
          <w:rFonts w:ascii="楷体_GB2312" w:eastAsia="楷体_GB2312"/>
          <w:kern w:val="0"/>
        </w:rPr>
      </w:pPr>
      <w:r w:rsidRPr="002314CD">
        <w:rPr>
          <w:rFonts w:ascii="楷体_GB2312" w:eastAsia="楷体_GB2312" w:hint="eastAsia"/>
          <w:kern w:val="0"/>
        </w:rPr>
        <w:t>与工业金属类似，黄金也经历了一轮10年的大牛市，在今年的强势更是尤其引人关注。鉴于黄金的工业需求仅占总需求的10%左右，黄金价格的波动更多地与宏观经济相关。尽管一提到黄金上涨，似乎就与避险息息相关，但我们认为黄金作为大宗商品的一种，仍然具有它们的许多共性。</w:t>
      </w:r>
    </w:p>
    <w:p w:rsidR="00097DFD" w:rsidRDefault="00B536F5" w:rsidP="008B0962">
      <w:pPr>
        <w:autoSpaceDE w:val="0"/>
        <w:autoSpaceDN w:val="0"/>
        <w:adjustRightInd w:val="0"/>
        <w:spacing w:afterLines="50" w:line="320" w:lineRule="exact"/>
        <w:ind w:left="2157"/>
        <w:jc w:val="left"/>
        <w:rPr>
          <w:rFonts w:ascii="楷体_GB2312" w:eastAsia="楷体_GB2312"/>
          <w:kern w:val="0"/>
        </w:rPr>
      </w:pPr>
      <w:r w:rsidRPr="002314CD">
        <w:rPr>
          <w:rFonts w:ascii="楷体_GB2312" w:eastAsia="楷体_GB2312" w:hint="eastAsia"/>
          <w:kern w:val="0"/>
        </w:rPr>
        <w:t>第一，</w:t>
      </w:r>
      <w:r w:rsidRPr="002314CD">
        <w:rPr>
          <w:rFonts w:ascii="楷体_GB2312" w:eastAsia="楷体_GB2312" w:hint="eastAsia"/>
          <w:kern w:val="0"/>
        </w:rPr>
        <w:tab/>
        <w:t>过去十年全球经济事实上处于低通胀、高增长的黄金周期，可以说无险可避，但黄金价格仍然保持了连续11年的上涨，从大的逻辑上看，这一点还是与全球流动性宽松，美元趋势性弱势相关；</w:t>
      </w:r>
    </w:p>
    <w:p w:rsidR="00097DFD" w:rsidRDefault="00B536F5" w:rsidP="008B0962">
      <w:pPr>
        <w:autoSpaceDE w:val="0"/>
        <w:autoSpaceDN w:val="0"/>
        <w:adjustRightInd w:val="0"/>
        <w:spacing w:afterLines="50" w:line="320" w:lineRule="exact"/>
        <w:ind w:left="2157"/>
        <w:jc w:val="left"/>
        <w:rPr>
          <w:rFonts w:ascii="楷体_GB2312" w:eastAsia="楷体_GB2312"/>
          <w:kern w:val="0"/>
        </w:rPr>
      </w:pPr>
      <w:r w:rsidRPr="002314CD">
        <w:rPr>
          <w:rFonts w:ascii="楷体_GB2312" w:eastAsia="楷体_GB2312" w:hint="eastAsia"/>
          <w:kern w:val="0"/>
        </w:rPr>
        <w:t>第二，</w:t>
      </w:r>
      <w:r w:rsidRPr="002314CD">
        <w:rPr>
          <w:rFonts w:ascii="楷体_GB2312" w:eastAsia="楷体_GB2312" w:hint="eastAsia"/>
          <w:kern w:val="0"/>
        </w:rPr>
        <w:tab/>
        <w:t>与铜等大宗商品不同的是黄金具有的避险功能，因此在经济出现大动荡时会引发从政府到投资机构再到普通投资者的避险需求，因而黄金价格在2008年依然上涨，而同期的其他大宗商品则普遍暴跌；</w:t>
      </w:r>
    </w:p>
    <w:p w:rsidR="00097DFD" w:rsidRDefault="00B536F5" w:rsidP="008B0962">
      <w:pPr>
        <w:autoSpaceDE w:val="0"/>
        <w:autoSpaceDN w:val="0"/>
        <w:adjustRightInd w:val="0"/>
        <w:spacing w:afterLines="50" w:line="320" w:lineRule="exact"/>
        <w:ind w:left="2157"/>
        <w:jc w:val="left"/>
        <w:rPr>
          <w:rFonts w:ascii="楷体_GB2312" w:eastAsia="楷体_GB2312"/>
          <w:kern w:val="0"/>
        </w:rPr>
      </w:pPr>
      <w:r w:rsidRPr="002314CD">
        <w:rPr>
          <w:rFonts w:ascii="楷体_GB2312" w:eastAsia="楷体_GB2312" w:hint="eastAsia"/>
          <w:kern w:val="0"/>
        </w:rPr>
        <w:t>第三，</w:t>
      </w:r>
      <w:r w:rsidRPr="002314CD">
        <w:rPr>
          <w:rFonts w:ascii="楷体_GB2312" w:eastAsia="楷体_GB2312" w:hint="eastAsia"/>
          <w:kern w:val="0"/>
        </w:rPr>
        <w:tab/>
        <w:t>黄金最不同的特点是其曾经被当作货币，并一度成为各国货币的定价基准。直到布雷顿森林体系之后，美元开始取代黄金成为事实上的“世界货币”，并在之后伴随着美元与黄金的脱钩，黄金的货币属性逐渐消弱。而我们认为这一点是判断未来黄金价格能否继续走高的关键因素。因为当前全球经济、贸易格局诸多不平衡的本质是货币体系的不完善，若美国在长周期中能够维持其全球经济中心的地位，美元仍然会成为各国外汇储备资产的首选资产，那么黄金价格的上行空间就会受到压制；而相反，若中国、日本、欧洲试图谋求新的货币体系，并对现行格局造成实质性冲击，又或者全球对美国的信心开始丧失，则在这一转变</w:t>
      </w:r>
      <w:r w:rsidRPr="002314CD">
        <w:rPr>
          <w:rFonts w:ascii="楷体_GB2312" w:eastAsia="楷体_GB2312" w:hint="eastAsia"/>
          <w:kern w:val="0"/>
        </w:rPr>
        <w:lastRenderedPageBreak/>
        <w:t>和博弈过程中，作为美元替代物的黄金，其货币属性又会显现出来，并支撑金价再创新高。</w:t>
      </w:r>
    </w:p>
    <w:p w:rsidR="00C205F5" w:rsidRDefault="00B536F5" w:rsidP="00B536F5">
      <w:pPr>
        <w:autoSpaceDE w:val="0"/>
        <w:autoSpaceDN w:val="0"/>
        <w:adjustRightInd w:val="0"/>
        <w:spacing w:line="320" w:lineRule="exact"/>
        <w:ind w:leftChars="1050" w:left="2205"/>
        <w:jc w:val="left"/>
        <w:rPr>
          <w:rFonts w:ascii="楷体_GB2312" w:eastAsia="楷体_GB2312"/>
          <w:kern w:val="0"/>
        </w:rPr>
      </w:pPr>
      <w:r w:rsidRPr="002314CD">
        <w:rPr>
          <w:rFonts w:ascii="楷体_GB2312" w:eastAsia="楷体_GB2312" w:hint="eastAsia"/>
          <w:kern w:val="0"/>
        </w:rPr>
        <w:t>世界格局会如何演变我们很难预判，短期来说，黄金价格经过今年的大幅上涨存在回调压力。但就</w:t>
      </w:r>
      <w:r w:rsidR="00685299">
        <w:rPr>
          <w:rFonts w:ascii="楷体_GB2312" w:eastAsia="楷体_GB2312" w:hint="eastAsia"/>
          <w:kern w:val="0"/>
        </w:rPr>
        <w:t>2012</w:t>
      </w:r>
      <w:r w:rsidR="00685299" w:rsidRPr="002314CD">
        <w:rPr>
          <w:rFonts w:ascii="楷体_GB2312" w:eastAsia="楷体_GB2312" w:hint="eastAsia"/>
          <w:kern w:val="0"/>
        </w:rPr>
        <w:t>年</w:t>
      </w:r>
      <w:r w:rsidRPr="002314CD">
        <w:rPr>
          <w:rFonts w:ascii="楷体_GB2312" w:eastAsia="楷体_GB2312" w:hint="eastAsia"/>
          <w:kern w:val="0"/>
        </w:rPr>
        <w:t>而言，</w:t>
      </w:r>
      <w:proofErr w:type="gramStart"/>
      <w:r w:rsidRPr="002314CD">
        <w:rPr>
          <w:rFonts w:ascii="楷体_GB2312" w:eastAsia="楷体_GB2312" w:hint="eastAsia"/>
          <w:kern w:val="0"/>
        </w:rPr>
        <w:t>欧债危机</w:t>
      </w:r>
      <w:proofErr w:type="gramEnd"/>
      <w:r w:rsidRPr="002314CD">
        <w:rPr>
          <w:rFonts w:ascii="楷体_GB2312" w:eastAsia="楷体_GB2312" w:hint="eastAsia"/>
          <w:kern w:val="0"/>
        </w:rPr>
        <w:t>到达偿债高峰年，全球地缘政治可能再次兴起，发达及新</w:t>
      </w:r>
      <w:r>
        <w:rPr>
          <w:rFonts w:ascii="楷体_GB2312" w:eastAsia="楷体_GB2312" w:hint="eastAsia"/>
          <w:kern w:val="0"/>
        </w:rPr>
        <w:t>兴经济体如何应对可能出现的衰退，在这种种不确定性，我们倾向于认为</w:t>
      </w:r>
      <w:r w:rsidRPr="002314CD">
        <w:rPr>
          <w:rFonts w:ascii="楷体_GB2312" w:eastAsia="楷体_GB2312" w:hint="eastAsia"/>
          <w:kern w:val="0"/>
        </w:rPr>
        <w:t>黄金价格</w:t>
      </w:r>
      <w:r>
        <w:rPr>
          <w:rFonts w:ascii="楷体_GB2312" w:eastAsia="楷体_GB2312" w:hint="eastAsia"/>
          <w:kern w:val="0"/>
        </w:rPr>
        <w:t>能够在目前的位置震荡调整</w:t>
      </w:r>
      <w:r w:rsidRPr="002314CD">
        <w:rPr>
          <w:rFonts w:ascii="楷体_GB2312" w:eastAsia="楷体_GB2312" w:hint="eastAsia"/>
          <w:kern w:val="0"/>
        </w:rPr>
        <w:t>。</w:t>
      </w:r>
      <w:r>
        <w:rPr>
          <w:rFonts w:ascii="楷体_GB2312" w:eastAsia="楷体_GB2312" w:hint="eastAsia"/>
          <w:kern w:val="0"/>
        </w:rPr>
        <w:t>而A股市场上</w:t>
      </w:r>
      <w:r w:rsidRPr="002314CD">
        <w:rPr>
          <w:rFonts w:ascii="楷体_GB2312" w:eastAsia="楷体_GB2312" w:hint="eastAsia"/>
          <w:kern w:val="0"/>
        </w:rPr>
        <w:t>经历了一年的估值调整，目前黄金股的估值水平已经普遍下降到20倍附</w:t>
      </w:r>
      <w:r>
        <w:rPr>
          <w:rFonts w:ascii="楷体_GB2312" w:eastAsia="楷体_GB2312" w:hint="eastAsia"/>
          <w:kern w:val="0"/>
        </w:rPr>
        <w:t>近，风险等到了一定程度的释放。但我们认为必须看到金价能够回落下来，有比较的明朗的看涨趋势时，黄金股才具备配置的机会。</w:t>
      </w:r>
    </w:p>
    <w:p w:rsidR="00B536F5" w:rsidRDefault="00B536F5" w:rsidP="00B536F5">
      <w:pPr>
        <w:autoSpaceDE w:val="0"/>
        <w:autoSpaceDN w:val="0"/>
        <w:adjustRightInd w:val="0"/>
        <w:spacing w:line="320" w:lineRule="exact"/>
        <w:ind w:leftChars="1050" w:left="2205"/>
        <w:jc w:val="left"/>
        <w:rPr>
          <w:rFonts w:ascii="楷体_GB2312" w:eastAsia="楷体_GB2312"/>
          <w:kern w:val="0"/>
        </w:rPr>
      </w:pPr>
    </w:p>
    <w:p w:rsidR="00000000" w:rsidRDefault="00B536F5" w:rsidP="008B0962">
      <w:pPr>
        <w:pStyle w:val="1"/>
        <w:numPr>
          <w:ilvl w:val="0"/>
          <w:numId w:val="4"/>
        </w:numPr>
        <w:spacing w:beforeLines="50" w:afterLines="50" w:line="480" w:lineRule="auto"/>
        <w:ind w:left="2705"/>
        <w:rPr>
          <w:rFonts w:ascii="楷体_GB2312" w:eastAsia="楷体_GB2312" w:hAnsi="宋体" w:cs="楷体_GB2312"/>
          <w:sz w:val="21"/>
          <w:szCs w:val="21"/>
        </w:rPr>
      </w:pPr>
      <w:bookmarkStart w:id="40" w:name="_Toc313737754"/>
      <w:r w:rsidRPr="00B536F5">
        <w:rPr>
          <w:rFonts w:ascii="楷体_GB2312" w:eastAsia="楷体_GB2312" w:hAnsi="宋体" w:cs="楷体_GB2312" w:hint="eastAsia"/>
          <w:sz w:val="21"/>
          <w:szCs w:val="21"/>
        </w:rPr>
        <w:t>农林牧渔</w:t>
      </w:r>
      <w:bookmarkEnd w:id="40"/>
      <w:r w:rsidR="00EB0A35">
        <w:rPr>
          <w:rFonts w:ascii="楷体_GB2312" w:eastAsia="楷体_GB2312" w:hAnsi="宋体" w:cs="楷体_GB2312" w:hint="eastAsia"/>
          <w:sz w:val="21"/>
          <w:szCs w:val="21"/>
        </w:rPr>
        <w:t>行业</w:t>
      </w:r>
    </w:p>
    <w:p w:rsidR="00B536F5" w:rsidRPr="00B536F5" w:rsidRDefault="00B536F5" w:rsidP="00230395">
      <w:pPr>
        <w:pStyle w:val="a5"/>
        <w:ind w:leftChars="1000" w:left="2100"/>
        <w:rPr>
          <w:rFonts w:ascii="楷体_GB2312" w:eastAsia="楷体_GB2312"/>
          <w:kern w:val="0"/>
        </w:rPr>
      </w:pPr>
      <w:r w:rsidRPr="00B536F5">
        <w:rPr>
          <w:rFonts w:ascii="楷体_GB2312" w:eastAsia="楷体_GB2312" w:hint="eastAsia"/>
          <w:kern w:val="0"/>
        </w:rPr>
        <w:t>长期视角看，农业是国之根本，粮食问题是国家战略问题。因此农业板块中具备土地资源属性以及致力于提升土地效率的公司（如种业）具备长期投资。短期视角看，农业板块各子行业景气度具备明显的周期性特点。而从资本市场角度看，回顾过去5年来农业板块指数走势与CPI密切相关，农业股表现的直接驱动因素是价格。价格的上涨对于农业股股票的业绩和估值具备双重推动作用。根据宏观判断，2012年通胀水平呈现先抑后杨的态势。因此我们认为2012年上半年CPI回落的过程中，农业板块的投资机会不明显。</w:t>
      </w:r>
      <w:r w:rsidRPr="00B536F5">
        <w:rPr>
          <w:rFonts w:ascii="楷体_GB2312" w:eastAsia="楷体_GB2312"/>
          <w:kern w:val="0"/>
        </w:rPr>
        <w:t>农业指数相对估值仍在处</w:t>
      </w:r>
      <w:r w:rsidRPr="00B536F5">
        <w:rPr>
          <w:rFonts w:ascii="楷体_GB2312" w:eastAsia="楷体_GB2312" w:hint="eastAsia"/>
          <w:kern w:val="0"/>
        </w:rPr>
        <w:t>较</w:t>
      </w:r>
      <w:r w:rsidRPr="00B536F5">
        <w:rPr>
          <w:rFonts w:ascii="楷体_GB2312" w:eastAsia="楷体_GB2312"/>
          <w:kern w:val="0"/>
        </w:rPr>
        <w:t>高水平。在目前A股市场寻找</w:t>
      </w:r>
      <w:r w:rsidRPr="00B536F5">
        <w:rPr>
          <w:rFonts w:ascii="楷体_GB2312" w:eastAsia="楷体_GB2312"/>
          <w:kern w:val="0"/>
        </w:rPr>
        <w:t>“</w:t>
      </w:r>
      <w:r w:rsidRPr="00B536F5">
        <w:rPr>
          <w:rFonts w:ascii="楷体_GB2312" w:eastAsia="楷体_GB2312"/>
          <w:kern w:val="0"/>
        </w:rPr>
        <w:t>低估值+确定性</w:t>
      </w:r>
      <w:r w:rsidRPr="00B536F5">
        <w:rPr>
          <w:rFonts w:ascii="楷体_GB2312" w:eastAsia="楷体_GB2312"/>
          <w:kern w:val="0"/>
        </w:rPr>
        <w:t>”</w:t>
      </w:r>
      <w:r w:rsidRPr="00B536F5">
        <w:rPr>
          <w:rFonts w:ascii="楷体_GB2312" w:eastAsia="楷体_GB2312"/>
          <w:kern w:val="0"/>
        </w:rPr>
        <w:t>的风格下，高估值的农业股很难获得明显的超额收益。基于上述理由，仍然维持对农业行业整体</w:t>
      </w:r>
      <w:r w:rsidRPr="00B536F5">
        <w:rPr>
          <w:rFonts w:ascii="楷体_GB2312" w:eastAsia="楷体_GB2312"/>
          <w:kern w:val="0"/>
        </w:rPr>
        <w:t>“</w:t>
      </w:r>
      <w:r w:rsidRPr="00B536F5">
        <w:rPr>
          <w:rFonts w:ascii="楷体_GB2312" w:eastAsia="楷体_GB2312"/>
          <w:kern w:val="0"/>
        </w:rPr>
        <w:t>中性</w:t>
      </w:r>
      <w:r w:rsidRPr="00B536F5">
        <w:rPr>
          <w:rFonts w:ascii="楷体_GB2312" w:eastAsia="楷体_GB2312"/>
          <w:kern w:val="0"/>
        </w:rPr>
        <w:t>”</w:t>
      </w:r>
      <w:r w:rsidRPr="00B536F5">
        <w:rPr>
          <w:rFonts w:ascii="楷体_GB2312" w:eastAsia="楷体_GB2312"/>
          <w:kern w:val="0"/>
        </w:rPr>
        <w:t>的投资评级。</w:t>
      </w:r>
    </w:p>
    <w:p w:rsidR="00B536F5" w:rsidRPr="00B536F5" w:rsidRDefault="00B536F5" w:rsidP="00B536F5">
      <w:pPr>
        <w:pStyle w:val="a5"/>
        <w:spacing w:line="360" w:lineRule="auto"/>
        <w:ind w:firstLineChars="1000" w:firstLine="2100"/>
        <w:rPr>
          <w:rFonts w:ascii="楷体_GB2312" w:eastAsia="楷体_GB2312"/>
          <w:kern w:val="0"/>
        </w:rPr>
      </w:pPr>
      <w:r w:rsidRPr="00B536F5">
        <w:rPr>
          <w:rFonts w:ascii="楷体_GB2312" w:eastAsia="楷体_GB2312" w:hint="eastAsia"/>
          <w:kern w:val="0"/>
        </w:rPr>
        <w:t>图1:2011年农业板块相对沪深300表现</w:t>
      </w:r>
    </w:p>
    <w:p w:rsidR="00B536F5" w:rsidRPr="00B536F5" w:rsidRDefault="00B536F5" w:rsidP="00B536F5">
      <w:pPr>
        <w:pStyle w:val="a5"/>
        <w:spacing w:line="360" w:lineRule="auto"/>
        <w:rPr>
          <w:rFonts w:ascii="楷体_GB2312" w:eastAsia="楷体_GB2312"/>
          <w:kern w:val="0"/>
        </w:rPr>
      </w:pPr>
      <w:r>
        <w:rPr>
          <w:rFonts w:ascii="楷体_GB2312" w:eastAsia="楷体_GB2312" w:hint="eastAsia"/>
          <w:kern w:val="0"/>
        </w:rPr>
        <w:t xml:space="preserve">                             </w:t>
      </w:r>
      <w:r w:rsidRPr="00B536F5">
        <w:rPr>
          <w:rFonts w:ascii="楷体_GB2312" w:eastAsia="楷体_GB2312"/>
          <w:noProof/>
          <w:kern w:val="0"/>
        </w:rPr>
        <w:drawing>
          <wp:inline distT="0" distB="0" distL="0" distR="0">
            <wp:extent cx="3725333" cy="2794000"/>
            <wp:effectExtent l="19050" t="0" r="8467" b="0"/>
            <wp:docPr id="10" name="图片 1" descr="801010.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801010.SI.gif"/>
                    <pic:cNvPicPr>
                      <a:picLocks noChangeAspect="1" noChangeArrowheads="1"/>
                    </pic:cNvPicPr>
                  </pic:nvPicPr>
                  <pic:blipFill>
                    <a:blip r:embed="rId27"/>
                    <a:srcRect/>
                    <a:stretch>
                      <a:fillRect/>
                    </a:stretch>
                  </pic:blipFill>
                  <pic:spPr bwMode="auto">
                    <a:xfrm>
                      <a:off x="0" y="0"/>
                      <a:ext cx="3725333" cy="2794000"/>
                    </a:xfrm>
                    <a:prstGeom prst="rect">
                      <a:avLst/>
                    </a:prstGeom>
                    <a:noFill/>
                    <a:ln w="9525">
                      <a:noFill/>
                      <a:miter lim="800000"/>
                      <a:headEnd/>
                      <a:tailEnd/>
                    </a:ln>
                  </pic:spPr>
                </pic:pic>
              </a:graphicData>
            </a:graphic>
          </wp:inline>
        </w:drawing>
      </w:r>
      <w:r>
        <w:rPr>
          <w:rFonts w:ascii="楷体_GB2312" w:eastAsia="楷体_GB2312" w:hint="eastAsia"/>
          <w:kern w:val="0"/>
        </w:rPr>
        <w:t xml:space="preserve">             </w:t>
      </w:r>
    </w:p>
    <w:p w:rsidR="00B536F5" w:rsidRPr="00B536F5" w:rsidRDefault="00B536F5" w:rsidP="00B536F5">
      <w:pPr>
        <w:pStyle w:val="a5"/>
        <w:spacing w:line="360" w:lineRule="auto"/>
        <w:rPr>
          <w:rFonts w:ascii="楷体_GB2312" w:eastAsia="楷体_GB2312"/>
          <w:kern w:val="0"/>
        </w:rPr>
      </w:pPr>
    </w:p>
    <w:p w:rsidR="00B536F5" w:rsidRPr="00B536F5" w:rsidRDefault="00B536F5" w:rsidP="00B536F5">
      <w:pPr>
        <w:pStyle w:val="a5"/>
        <w:spacing w:line="360" w:lineRule="auto"/>
        <w:rPr>
          <w:rFonts w:ascii="楷体_GB2312" w:eastAsia="楷体_GB2312"/>
          <w:kern w:val="0"/>
        </w:rPr>
      </w:pPr>
    </w:p>
    <w:p w:rsidR="00B536F5" w:rsidRPr="00B536F5" w:rsidRDefault="00B536F5" w:rsidP="00B536F5">
      <w:pPr>
        <w:pStyle w:val="a5"/>
        <w:spacing w:line="360" w:lineRule="auto"/>
        <w:rPr>
          <w:rFonts w:ascii="楷体_GB2312" w:eastAsia="楷体_GB2312"/>
          <w:kern w:val="0"/>
        </w:rPr>
      </w:pPr>
    </w:p>
    <w:p w:rsidR="00B536F5" w:rsidRPr="00B536F5" w:rsidRDefault="00B536F5" w:rsidP="00B536F5">
      <w:pPr>
        <w:pStyle w:val="a5"/>
        <w:spacing w:line="360" w:lineRule="auto"/>
        <w:ind w:firstLineChars="1350" w:firstLine="2835"/>
        <w:rPr>
          <w:rFonts w:ascii="楷体_GB2312" w:eastAsia="楷体_GB2312"/>
          <w:kern w:val="0"/>
        </w:rPr>
      </w:pPr>
      <w:r w:rsidRPr="00B536F5">
        <w:rPr>
          <w:rFonts w:ascii="楷体_GB2312" w:eastAsia="楷体_GB2312" w:hint="eastAsia"/>
          <w:kern w:val="0"/>
        </w:rPr>
        <w:lastRenderedPageBreak/>
        <w:t xml:space="preserve">图2：农业指数表现与CPI密切相关 </w:t>
      </w:r>
    </w:p>
    <w:p w:rsidR="00B536F5" w:rsidRPr="00B536F5" w:rsidRDefault="00B536F5" w:rsidP="00B536F5">
      <w:pPr>
        <w:pStyle w:val="a5"/>
        <w:spacing w:line="360" w:lineRule="auto"/>
        <w:rPr>
          <w:rFonts w:ascii="楷体_GB2312" w:eastAsia="楷体_GB2312"/>
          <w:kern w:val="0"/>
        </w:rPr>
      </w:pPr>
      <w:r>
        <w:rPr>
          <w:rFonts w:ascii="楷体_GB2312" w:eastAsia="楷体_GB2312" w:hint="eastAsia"/>
          <w:kern w:val="0"/>
        </w:rPr>
        <w:t xml:space="preserve">                                 </w:t>
      </w:r>
      <w:r w:rsidRPr="00B536F5">
        <w:rPr>
          <w:rFonts w:ascii="楷体_GB2312" w:eastAsia="楷体_GB2312"/>
          <w:noProof/>
          <w:kern w:val="0"/>
        </w:rPr>
        <w:drawing>
          <wp:inline distT="0" distB="0" distL="0" distR="0">
            <wp:extent cx="4182534" cy="2142067"/>
            <wp:effectExtent l="0" t="0" r="0" b="0"/>
            <wp:docPr id="1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8"/>
                    <a:srcRect/>
                    <a:stretch>
                      <a:fillRect/>
                    </a:stretch>
                  </pic:blipFill>
                  <pic:spPr bwMode="auto">
                    <a:xfrm>
                      <a:off x="0" y="0"/>
                      <a:ext cx="4182700" cy="2142152"/>
                    </a:xfrm>
                    <a:prstGeom prst="rect">
                      <a:avLst/>
                    </a:prstGeom>
                    <a:noFill/>
                    <a:ln w="9525">
                      <a:noFill/>
                      <a:miter lim="800000"/>
                      <a:headEnd/>
                      <a:tailEnd/>
                    </a:ln>
                  </pic:spPr>
                </pic:pic>
              </a:graphicData>
            </a:graphic>
          </wp:inline>
        </w:drawing>
      </w:r>
    </w:p>
    <w:p w:rsidR="00B536F5" w:rsidRPr="00B536F5" w:rsidRDefault="00B536F5" w:rsidP="00B536F5">
      <w:pPr>
        <w:pStyle w:val="a5"/>
        <w:spacing w:line="360" w:lineRule="auto"/>
        <w:rPr>
          <w:rFonts w:ascii="楷体_GB2312" w:eastAsia="楷体_GB2312"/>
          <w:kern w:val="0"/>
        </w:rPr>
      </w:pPr>
    </w:p>
    <w:p w:rsidR="00B536F5" w:rsidRPr="00B536F5" w:rsidRDefault="00B536F5" w:rsidP="00B536F5">
      <w:pPr>
        <w:pStyle w:val="a5"/>
        <w:spacing w:line="360" w:lineRule="auto"/>
        <w:ind w:firstLineChars="1600" w:firstLine="3360"/>
        <w:rPr>
          <w:rFonts w:ascii="楷体_GB2312" w:eastAsia="楷体_GB2312"/>
          <w:kern w:val="0"/>
        </w:rPr>
      </w:pPr>
      <w:r w:rsidRPr="00B536F5">
        <w:rPr>
          <w:rFonts w:ascii="楷体_GB2312" w:eastAsia="楷体_GB2312" w:hint="eastAsia"/>
          <w:kern w:val="0"/>
        </w:rPr>
        <w:t>图3：农业指数相对于大盘估值仍在较高位置</w:t>
      </w:r>
    </w:p>
    <w:p w:rsidR="00B536F5" w:rsidRPr="00B536F5" w:rsidRDefault="00B536F5" w:rsidP="00B536F5">
      <w:pPr>
        <w:pStyle w:val="a5"/>
        <w:spacing w:line="360" w:lineRule="auto"/>
        <w:rPr>
          <w:rFonts w:ascii="楷体_GB2312" w:eastAsia="楷体_GB2312"/>
          <w:kern w:val="0"/>
        </w:rPr>
      </w:pPr>
      <w:r>
        <w:rPr>
          <w:rFonts w:ascii="楷体_GB2312" w:eastAsia="楷体_GB2312" w:hint="eastAsia"/>
          <w:kern w:val="0"/>
        </w:rPr>
        <w:t xml:space="preserve">                                    </w:t>
      </w:r>
      <w:r w:rsidRPr="00B536F5">
        <w:rPr>
          <w:rFonts w:ascii="楷体_GB2312" w:eastAsia="楷体_GB2312"/>
          <w:noProof/>
          <w:kern w:val="0"/>
        </w:rPr>
        <w:drawing>
          <wp:inline distT="0" distB="0" distL="0" distR="0">
            <wp:extent cx="3979334" cy="2421466"/>
            <wp:effectExtent l="0" t="0" r="0" b="0"/>
            <wp:docPr id="14"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9"/>
                    <a:srcRect/>
                    <a:stretch>
                      <a:fillRect/>
                    </a:stretch>
                  </pic:blipFill>
                  <pic:spPr bwMode="auto">
                    <a:xfrm>
                      <a:off x="0" y="0"/>
                      <a:ext cx="3979494" cy="2421563"/>
                    </a:xfrm>
                    <a:prstGeom prst="rect">
                      <a:avLst/>
                    </a:prstGeom>
                    <a:noFill/>
                    <a:ln w="9525">
                      <a:noFill/>
                      <a:miter lim="800000"/>
                      <a:headEnd/>
                      <a:tailEnd/>
                    </a:ln>
                  </pic:spPr>
                </pic:pic>
              </a:graphicData>
            </a:graphic>
          </wp:inline>
        </w:drawing>
      </w:r>
      <w:r>
        <w:rPr>
          <w:rFonts w:ascii="楷体_GB2312" w:eastAsia="楷体_GB2312" w:hint="eastAsia"/>
          <w:kern w:val="0"/>
        </w:rPr>
        <w:t xml:space="preserve">    </w:t>
      </w:r>
    </w:p>
    <w:p w:rsidR="00B536F5" w:rsidRPr="00B536F5" w:rsidRDefault="00B536F5" w:rsidP="00230395">
      <w:pPr>
        <w:pStyle w:val="a5"/>
        <w:ind w:leftChars="1150" w:left="2415"/>
        <w:rPr>
          <w:rFonts w:ascii="楷体_GB2312" w:eastAsia="楷体_GB2312"/>
          <w:kern w:val="0"/>
        </w:rPr>
      </w:pPr>
      <w:r w:rsidRPr="00B536F5">
        <w:rPr>
          <w:rFonts w:ascii="楷体_GB2312" w:eastAsia="楷体_GB2312" w:hint="eastAsia"/>
          <w:b/>
          <w:kern w:val="0"/>
        </w:rPr>
        <w:t>种子板块</w:t>
      </w:r>
      <w:r w:rsidRPr="00B536F5">
        <w:rPr>
          <w:rFonts w:ascii="楷体_GB2312" w:eastAsia="楷体_GB2312" w:hint="eastAsia"/>
          <w:kern w:val="0"/>
        </w:rPr>
        <w:t>：结合各子行业行业特点，种子板块随着一号文件出台，政策落定，主题性行情的结束，估值将向正常回归，且伴随1季度旺销的结束，板块缺乏催化因素。因此2012年上半年看淡种子股。长期看种业行业具备广阔的发展空间。</w:t>
      </w:r>
    </w:p>
    <w:p w:rsidR="00B536F5" w:rsidRPr="00B536F5" w:rsidRDefault="00B536F5" w:rsidP="00164BC2">
      <w:pPr>
        <w:pStyle w:val="a5"/>
        <w:widowControl/>
        <w:numPr>
          <w:ilvl w:val="6"/>
          <w:numId w:val="10"/>
        </w:numPr>
        <w:adjustRightInd w:val="0"/>
        <w:snapToGrid w:val="0"/>
        <w:spacing w:after="0"/>
        <w:rPr>
          <w:rFonts w:ascii="楷体_GB2312" w:eastAsia="楷体_GB2312"/>
          <w:kern w:val="0"/>
        </w:rPr>
      </w:pPr>
      <w:r w:rsidRPr="00B536F5">
        <w:rPr>
          <w:rFonts w:ascii="楷体_GB2312" w:eastAsia="楷体_GB2312" w:hint="eastAsia"/>
          <w:kern w:val="0"/>
        </w:rPr>
        <w:t>战略地位重要：优质种质资源是提高单产的重要手段，而单产又是过去30年粮食总产量增长的主要来源；</w:t>
      </w:r>
    </w:p>
    <w:p w:rsidR="00B536F5" w:rsidRPr="00B536F5" w:rsidRDefault="00B536F5" w:rsidP="00164BC2">
      <w:pPr>
        <w:pStyle w:val="a5"/>
        <w:widowControl/>
        <w:numPr>
          <w:ilvl w:val="6"/>
          <w:numId w:val="10"/>
        </w:numPr>
        <w:adjustRightInd w:val="0"/>
        <w:snapToGrid w:val="0"/>
        <w:spacing w:after="0"/>
        <w:rPr>
          <w:rFonts w:ascii="楷体_GB2312" w:eastAsia="楷体_GB2312"/>
          <w:kern w:val="0"/>
        </w:rPr>
      </w:pPr>
      <w:r w:rsidRPr="00B536F5">
        <w:rPr>
          <w:rFonts w:ascii="楷体_GB2312" w:eastAsia="楷体_GB2312" w:hint="eastAsia"/>
          <w:kern w:val="0"/>
        </w:rPr>
        <w:t>行业容量增长：由于商品化率、种粮比等指标的提升，预计我国种子行业市场容量仍将保持较快增长；种业龙头将迎来黄金发展期：</w:t>
      </w:r>
    </w:p>
    <w:p w:rsidR="00B536F5" w:rsidRPr="00B536F5" w:rsidRDefault="00B536F5" w:rsidP="00164BC2">
      <w:pPr>
        <w:pStyle w:val="a5"/>
        <w:widowControl/>
        <w:numPr>
          <w:ilvl w:val="6"/>
          <w:numId w:val="10"/>
        </w:numPr>
        <w:adjustRightInd w:val="0"/>
        <w:snapToGrid w:val="0"/>
        <w:spacing w:after="0"/>
        <w:rPr>
          <w:rFonts w:ascii="楷体_GB2312" w:eastAsia="楷体_GB2312"/>
          <w:kern w:val="0"/>
        </w:rPr>
      </w:pPr>
      <w:r w:rsidRPr="00B536F5">
        <w:rPr>
          <w:rFonts w:ascii="楷体_GB2312" w:eastAsia="楷体_GB2312" w:hint="eastAsia"/>
          <w:kern w:val="0"/>
        </w:rPr>
        <w:t>无论是行业准入还是政策扶持，未来的种业政策都将向大企业倾斜，在行业供需结构好转、行业容量持续扩大的背景下，种业龙头将迎来黄金发展期。</w:t>
      </w:r>
    </w:p>
    <w:p w:rsidR="00B536F5" w:rsidRPr="00B536F5" w:rsidRDefault="00B536F5" w:rsidP="00230395">
      <w:pPr>
        <w:pStyle w:val="a5"/>
        <w:ind w:leftChars="1100" w:left="2310"/>
        <w:rPr>
          <w:rFonts w:ascii="楷体_GB2312" w:eastAsia="楷体_GB2312"/>
          <w:kern w:val="0"/>
        </w:rPr>
      </w:pPr>
      <w:r w:rsidRPr="00B536F5">
        <w:rPr>
          <w:rFonts w:ascii="楷体_GB2312" w:eastAsia="楷体_GB2312" w:hint="eastAsia"/>
          <w:b/>
          <w:kern w:val="0"/>
        </w:rPr>
        <w:t>水产板块</w:t>
      </w:r>
      <w:r w:rsidRPr="00B536F5">
        <w:rPr>
          <w:rFonts w:ascii="楷体_GB2312" w:eastAsia="楷体_GB2312" w:hint="eastAsia"/>
          <w:kern w:val="0"/>
        </w:rPr>
        <w:t>：在整体通胀回落的过程中，水产品价格也面临压力，未来数月将进入捕捞淡季，板块缺乏催化因素，因此我们看淡未来1季度水产板块表现。</w:t>
      </w:r>
      <w:r w:rsidR="009E414F">
        <w:rPr>
          <w:rFonts w:ascii="楷体_GB2312" w:eastAsia="楷体_GB2312" w:hint="eastAsia"/>
          <w:kern w:val="0"/>
        </w:rPr>
        <w:t>长期看板块中自下而上寻找有力能从从资源型向消费型转变的公司</w:t>
      </w:r>
      <w:r w:rsidRPr="00B536F5">
        <w:rPr>
          <w:rFonts w:ascii="楷体_GB2312" w:eastAsia="楷体_GB2312" w:hint="eastAsia"/>
          <w:kern w:val="0"/>
        </w:rPr>
        <w:t>。</w:t>
      </w:r>
    </w:p>
    <w:p w:rsidR="00B536F5" w:rsidRPr="00B536F5" w:rsidRDefault="00B536F5" w:rsidP="00230395">
      <w:pPr>
        <w:pStyle w:val="a5"/>
        <w:ind w:leftChars="1100" w:left="2310"/>
        <w:rPr>
          <w:rFonts w:ascii="楷体_GB2312" w:eastAsia="楷体_GB2312"/>
          <w:kern w:val="0"/>
        </w:rPr>
      </w:pPr>
      <w:r w:rsidRPr="00B536F5">
        <w:rPr>
          <w:rFonts w:ascii="楷体_GB2312" w:eastAsia="楷体_GB2312" w:hint="eastAsia"/>
          <w:b/>
          <w:kern w:val="0"/>
        </w:rPr>
        <w:t>畜禽养殖和饲料板块</w:t>
      </w:r>
      <w:r w:rsidRPr="00B536F5">
        <w:rPr>
          <w:rFonts w:ascii="楷体_GB2312" w:eastAsia="楷体_GB2312" w:hint="eastAsia"/>
          <w:kern w:val="0"/>
        </w:rPr>
        <w:t>：周期性最为明显的板块，2012年畜禽板块公司盈利面临价格回落和</w:t>
      </w:r>
      <w:r w:rsidRPr="00B536F5">
        <w:rPr>
          <w:rFonts w:ascii="楷体_GB2312" w:eastAsia="楷体_GB2312" w:hint="eastAsia"/>
          <w:kern w:val="0"/>
        </w:rPr>
        <w:lastRenderedPageBreak/>
        <w:t>放量的平衡。春节后猪价回落的数月中，畜禽养殖板块的估值很难得到提升。规模化、集中度提升以及全产业链是畜禽养殖板块的长期趋势，优秀公司将在行业波动中呈现螺旋式上升。我们认为2012年上半年价格回落过程中将是布局该类公司的较好时点。而饲料行业景气度滞后于养殖景气度约1年的时间，我们预测2012</w:t>
      </w:r>
      <w:r w:rsidR="009E414F">
        <w:rPr>
          <w:rFonts w:ascii="楷体_GB2312" w:eastAsia="楷体_GB2312" w:hint="eastAsia"/>
          <w:kern w:val="0"/>
        </w:rPr>
        <w:t>年饲料行业景气度能持续全年。集中度提升仍是行业发展的大趋势</w:t>
      </w:r>
      <w:r w:rsidRPr="00B536F5">
        <w:rPr>
          <w:rFonts w:ascii="楷体_GB2312" w:eastAsia="楷体_GB2312" w:hint="eastAsia"/>
          <w:kern w:val="0"/>
        </w:rPr>
        <w:t>。</w:t>
      </w:r>
    </w:p>
    <w:p w:rsidR="00B536F5" w:rsidRPr="00B536F5" w:rsidRDefault="00B536F5" w:rsidP="00230395">
      <w:pPr>
        <w:pStyle w:val="a5"/>
        <w:rPr>
          <w:rFonts w:ascii="楷体_GB2312" w:eastAsia="楷体_GB2312"/>
          <w:kern w:val="0"/>
        </w:rPr>
      </w:pPr>
    </w:p>
    <w:p w:rsidR="00B536F5" w:rsidRPr="00B536F5" w:rsidRDefault="00B536F5" w:rsidP="00230395">
      <w:pPr>
        <w:pStyle w:val="af2"/>
        <w:ind w:leftChars="0" w:left="0" w:firstLineChars="1150" w:firstLine="2415"/>
        <w:rPr>
          <w:rFonts w:ascii="楷体_GB2312" w:cs="Times New Roman"/>
          <w:kern w:val="0"/>
          <w:szCs w:val="21"/>
        </w:rPr>
      </w:pPr>
      <w:r w:rsidRPr="00B536F5">
        <w:rPr>
          <w:rFonts w:ascii="楷体_GB2312" w:cs="Times New Roman" w:hint="eastAsia"/>
          <w:kern w:val="0"/>
          <w:szCs w:val="21"/>
        </w:rPr>
        <w:t>表1：猪周期投资启示</w:t>
      </w:r>
    </w:p>
    <w:tbl>
      <w:tblPr>
        <w:tblW w:w="6603" w:type="dxa"/>
        <w:tblInd w:w="2547" w:type="dxa"/>
        <w:tblBorders>
          <w:top w:val="single" w:sz="4" w:space="0" w:color="auto"/>
          <w:bottom w:val="single" w:sz="4" w:space="0" w:color="auto"/>
        </w:tblBorders>
        <w:tblLook w:val="01E0"/>
      </w:tblPr>
      <w:tblGrid>
        <w:gridCol w:w="1323"/>
        <w:gridCol w:w="2640"/>
        <w:gridCol w:w="2640"/>
      </w:tblGrid>
      <w:tr w:rsidR="00B536F5" w:rsidRPr="00B536F5" w:rsidTr="00B536F5">
        <w:trPr>
          <w:trHeight w:val="111"/>
        </w:trPr>
        <w:tc>
          <w:tcPr>
            <w:tcW w:w="0" w:type="auto"/>
            <w:tcBorders>
              <w:top w:val="single" w:sz="4" w:space="0" w:color="auto"/>
              <w:bottom w:val="single" w:sz="4" w:space="0" w:color="auto"/>
            </w:tcBorders>
            <w:vAlign w:val="center"/>
          </w:tcPr>
          <w:p w:rsidR="00B536F5" w:rsidRPr="00B536F5" w:rsidRDefault="00B536F5" w:rsidP="00230395">
            <w:pPr>
              <w:pStyle w:val="af2"/>
              <w:ind w:leftChars="0" w:left="0"/>
              <w:jc w:val="center"/>
              <w:rPr>
                <w:rFonts w:ascii="楷体_GB2312" w:cs="Times New Roman"/>
                <w:kern w:val="0"/>
                <w:szCs w:val="21"/>
              </w:rPr>
            </w:pPr>
          </w:p>
        </w:tc>
        <w:tc>
          <w:tcPr>
            <w:tcW w:w="0" w:type="auto"/>
            <w:tcBorders>
              <w:top w:val="single" w:sz="4" w:space="0" w:color="auto"/>
              <w:bottom w:val="single" w:sz="4" w:space="0" w:color="auto"/>
            </w:tcBorders>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上行半周期</w:t>
            </w:r>
          </w:p>
        </w:tc>
        <w:tc>
          <w:tcPr>
            <w:tcW w:w="0" w:type="auto"/>
            <w:tcBorders>
              <w:top w:val="single" w:sz="4" w:space="0" w:color="auto"/>
              <w:bottom w:val="single" w:sz="4" w:space="0" w:color="auto"/>
            </w:tcBorders>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下降半周期</w:t>
            </w:r>
          </w:p>
        </w:tc>
      </w:tr>
      <w:tr w:rsidR="00B536F5" w:rsidRPr="00B536F5" w:rsidTr="00B536F5">
        <w:trPr>
          <w:trHeight w:val="108"/>
        </w:trPr>
        <w:tc>
          <w:tcPr>
            <w:tcW w:w="0" w:type="auto"/>
            <w:tcBorders>
              <w:top w:val="single" w:sz="4" w:space="0" w:color="auto"/>
            </w:tcBorders>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猪价表现</w:t>
            </w:r>
          </w:p>
        </w:tc>
        <w:tc>
          <w:tcPr>
            <w:tcW w:w="0" w:type="auto"/>
            <w:tcBorders>
              <w:top w:val="single" w:sz="4" w:space="0" w:color="auto"/>
            </w:tcBorders>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连续上行</w:t>
            </w:r>
          </w:p>
        </w:tc>
        <w:tc>
          <w:tcPr>
            <w:tcW w:w="0" w:type="auto"/>
            <w:tcBorders>
              <w:top w:val="single" w:sz="4" w:space="0" w:color="auto"/>
            </w:tcBorders>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连续下行</w:t>
            </w:r>
          </w:p>
        </w:tc>
      </w:tr>
      <w:tr w:rsidR="00B536F5" w:rsidRPr="00B536F5" w:rsidTr="00B536F5">
        <w:trPr>
          <w:trHeight w:val="108"/>
        </w:trPr>
        <w:tc>
          <w:tcPr>
            <w:tcW w:w="0" w:type="auto"/>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供需关系</w:t>
            </w:r>
          </w:p>
        </w:tc>
        <w:tc>
          <w:tcPr>
            <w:tcW w:w="0" w:type="auto"/>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存栏下降，缺口扩大</w:t>
            </w:r>
          </w:p>
        </w:tc>
        <w:tc>
          <w:tcPr>
            <w:tcW w:w="0" w:type="auto"/>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存栏恢复，缺口缩小</w:t>
            </w:r>
          </w:p>
        </w:tc>
      </w:tr>
      <w:tr w:rsidR="00B536F5" w:rsidRPr="00B536F5" w:rsidTr="00B536F5">
        <w:trPr>
          <w:trHeight w:val="108"/>
        </w:trPr>
        <w:tc>
          <w:tcPr>
            <w:tcW w:w="0" w:type="auto"/>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投资启示</w:t>
            </w:r>
          </w:p>
        </w:tc>
        <w:tc>
          <w:tcPr>
            <w:tcW w:w="0" w:type="auto"/>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首选养殖，饲料次之</w:t>
            </w:r>
          </w:p>
        </w:tc>
        <w:tc>
          <w:tcPr>
            <w:tcW w:w="0" w:type="auto"/>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回避养殖，选择饲料</w:t>
            </w:r>
          </w:p>
        </w:tc>
      </w:tr>
    </w:tbl>
    <w:p w:rsidR="00B536F5" w:rsidRPr="00B536F5" w:rsidRDefault="00B536F5" w:rsidP="00230395">
      <w:pPr>
        <w:pStyle w:val="af2"/>
        <w:ind w:leftChars="0" w:left="0"/>
        <w:rPr>
          <w:rFonts w:ascii="楷体_GB2312" w:cs="Times New Roman"/>
          <w:kern w:val="0"/>
          <w:szCs w:val="21"/>
        </w:rPr>
      </w:pPr>
    </w:p>
    <w:p w:rsidR="00B536F5" w:rsidRPr="00B536F5" w:rsidRDefault="00B536F5" w:rsidP="00230395">
      <w:pPr>
        <w:pStyle w:val="a5"/>
        <w:ind w:leftChars="1100" w:left="2310"/>
        <w:rPr>
          <w:rFonts w:ascii="楷体_GB2312" w:eastAsia="楷体_GB2312"/>
          <w:kern w:val="0"/>
        </w:rPr>
      </w:pPr>
      <w:r w:rsidRPr="00B536F5">
        <w:rPr>
          <w:rFonts w:ascii="楷体_GB2312" w:eastAsia="楷体_GB2312" w:hint="eastAsia"/>
          <w:kern w:val="0"/>
        </w:rPr>
        <w:t>根据目前生猪存栏的总量、结构情况，以及过去6个月母猪存栏指数的回升速度，我们认为母猪存栏数量的高点很可能出现在2012年1季度之后。因此，商品猪存栏的回升过程，将2011年4季度开始并贯穿2012全年。</w:t>
      </w:r>
    </w:p>
    <w:p w:rsidR="00B536F5" w:rsidRPr="00B536F5" w:rsidRDefault="00B536F5" w:rsidP="00230395">
      <w:pPr>
        <w:pStyle w:val="af2"/>
        <w:rPr>
          <w:rFonts w:ascii="楷体_GB2312" w:cs="Times New Roman"/>
          <w:kern w:val="0"/>
          <w:szCs w:val="21"/>
        </w:rPr>
      </w:pPr>
    </w:p>
    <w:p w:rsidR="00B536F5" w:rsidRPr="00B536F5" w:rsidRDefault="00B536F5" w:rsidP="00230395">
      <w:pPr>
        <w:pStyle w:val="af3"/>
        <w:ind w:firstLineChars="850" w:firstLine="1785"/>
        <w:rPr>
          <w:rFonts w:ascii="楷体_GB2312"/>
          <w:b w:val="0"/>
          <w:kern w:val="0"/>
          <w:szCs w:val="21"/>
        </w:rPr>
      </w:pPr>
      <w:bookmarkStart w:id="41" w:name="_Toc299111077"/>
      <w:bookmarkStart w:id="42" w:name="_Toc308810195"/>
      <w:r w:rsidRPr="00B536F5">
        <w:rPr>
          <w:rFonts w:ascii="楷体_GB2312"/>
          <w:b w:val="0"/>
          <w:kern w:val="0"/>
          <w:szCs w:val="21"/>
        </w:rPr>
        <w:t>表</w:t>
      </w:r>
      <w:r w:rsidRPr="00B536F5">
        <w:rPr>
          <w:rFonts w:ascii="楷体_GB2312" w:hint="eastAsia"/>
          <w:b w:val="0"/>
          <w:kern w:val="0"/>
          <w:szCs w:val="21"/>
        </w:rPr>
        <w:t>:2</w:t>
      </w:r>
      <w:r w:rsidRPr="00B536F5">
        <w:rPr>
          <w:rFonts w:ascii="楷体_GB2312"/>
          <w:b w:val="0"/>
          <w:kern w:val="0"/>
          <w:szCs w:val="21"/>
        </w:rPr>
        <w:t>：生猪存栏变化时间点</w:t>
      </w:r>
      <w:r w:rsidRPr="00B536F5">
        <w:rPr>
          <w:rFonts w:ascii="楷体_GB2312" w:hint="eastAsia"/>
          <w:b w:val="0"/>
          <w:kern w:val="0"/>
          <w:szCs w:val="21"/>
        </w:rPr>
        <w:t>预测</w:t>
      </w:r>
      <w:bookmarkEnd w:id="41"/>
      <w:bookmarkEnd w:id="42"/>
    </w:p>
    <w:tbl>
      <w:tblPr>
        <w:tblW w:w="7362" w:type="dxa"/>
        <w:tblInd w:w="2400" w:type="dxa"/>
        <w:tblBorders>
          <w:top w:val="single" w:sz="4" w:space="0" w:color="auto"/>
          <w:bottom w:val="single" w:sz="4" w:space="0" w:color="auto"/>
        </w:tblBorders>
        <w:tblLook w:val="01E0"/>
      </w:tblPr>
      <w:tblGrid>
        <w:gridCol w:w="811"/>
        <w:gridCol w:w="1405"/>
        <w:gridCol w:w="1213"/>
        <w:gridCol w:w="1213"/>
        <w:gridCol w:w="1472"/>
        <w:gridCol w:w="1248"/>
      </w:tblGrid>
      <w:tr w:rsidR="00B536F5" w:rsidRPr="00B536F5" w:rsidTr="001F3A0F">
        <w:trPr>
          <w:trHeight w:val="751"/>
        </w:trPr>
        <w:tc>
          <w:tcPr>
            <w:tcW w:w="0" w:type="auto"/>
            <w:tcBorders>
              <w:top w:val="single" w:sz="4" w:space="0" w:color="auto"/>
              <w:bottom w:val="single" w:sz="4" w:space="0" w:color="auto"/>
            </w:tcBorders>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存栏</w:t>
            </w:r>
          </w:p>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变化</w:t>
            </w:r>
          </w:p>
        </w:tc>
        <w:tc>
          <w:tcPr>
            <w:tcW w:w="0" w:type="auto"/>
            <w:tcBorders>
              <w:top w:val="single" w:sz="4" w:space="0" w:color="auto"/>
              <w:bottom w:val="single" w:sz="4" w:space="0" w:color="auto"/>
            </w:tcBorders>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能繁母猪存栏</w:t>
            </w:r>
            <w:r w:rsidRPr="00B536F5">
              <w:rPr>
                <w:rFonts w:ascii="楷体_GB2312" w:cs="Times New Roman"/>
                <w:kern w:val="0"/>
                <w:szCs w:val="21"/>
              </w:rPr>
              <w:br/>
            </w:r>
            <w:r w:rsidRPr="00B536F5">
              <w:rPr>
                <w:rFonts w:ascii="楷体_GB2312" w:cs="Times New Roman" w:hint="eastAsia"/>
                <w:kern w:val="0"/>
                <w:szCs w:val="21"/>
              </w:rPr>
              <w:t>见底回升</w:t>
            </w:r>
          </w:p>
        </w:tc>
        <w:tc>
          <w:tcPr>
            <w:tcW w:w="0" w:type="auto"/>
            <w:tcBorders>
              <w:top w:val="single" w:sz="4" w:space="0" w:color="auto"/>
              <w:bottom w:val="single" w:sz="4" w:space="0" w:color="auto"/>
            </w:tcBorders>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商品猪存栏</w:t>
            </w:r>
          </w:p>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开始回升</w:t>
            </w:r>
          </w:p>
        </w:tc>
        <w:tc>
          <w:tcPr>
            <w:tcW w:w="0" w:type="auto"/>
            <w:tcBorders>
              <w:top w:val="single" w:sz="4" w:space="0" w:color="auto"/>
              <w:bottom w:val="single" w:sz="4" w:space="0" w:color="auto"/>
            </w:tcBorders>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商品猪出栏</w:t>
            </w:r>
          </w:p>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开始回升</w:t>
            </w:r>
          </w:p>
        </w:tc>
        <w:tc>
          <w:tcPr>
            <w:tcW w:w="0" w:type="auto"/>
            <w:tcBorders>
              <w:top w:val="single" w:sz="4" w:space="0" w:color="auto"/>
              <w:bottom w:val="single" w:sz="4" w:space="0" w:color="auto"/>
            </w:tcBorders>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母猪存栏</w:t>
            </w:r>
            <w:r w:rsidRPr="00B536F5">
              <w:rPr>
                <w:rFonts w:ascii="楷体_GB2312" w:cs="Times New Roman"/>
                <w:kern w:val="0"/>
                <w:szCs w:val="21"/>
              </w:rPr>
              <w:br/>
            </w:r>
            <w:r w:rsidRPr="00B536F5">
              <w:rPr>
                <w:rFonts w:ascii="楷体_GB2312" w:cs="Times New Roman" w:hint="eastAsia"/>
                <w:kern w:val="0"/>
                <w:szCs w:val="21"/>
              </w:rPr>
              <w:t>见顶回落</w:t>
            </w:r>
          </w:p>
        </w:tc>
        <w:tc>
          <w:tcPr>
            <w:tcW w:w="0" w:type="auto"/>
            <w:tcBorders>
              <w:top w:val="single" w:sz="4" w:space="0" w:color="auto"/>
              <w:bottom w:val="single" w:sz="4" w:space="0" w:color="auto"/>
            </w:tcBorders>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商品猪存栏</w:t>
            </w:r>
            <w:r w:rsidRPr="00B536F5">
              <w:rPr>
                <w:rFonts w:ascii="楷体_GB2312" w:cs="Times New Roman"/>
                <w:kern w:val="0"/>
                <w:szCs w:val="21"/>
              </w:rPr>
              <w:br/>
            </w:r>
            <w:r w:rsidRPr="00B536F5">
              <w:rPr>
                <w:rFonts w:ascii="楷体_GB2312" w:cs="Times New Roman" w:hint="eastAsia"/>
                <w:kern w:val="0"/>
                <w:szCs w:val="21"/>
              </w:rPr>
              <w:t>见顶回落</w:t>
            </w:r>
          </w:p>
        </w:tc>
      </w:tr>
      <w:tr w:rsidR="00B536F5" w:rsidRPr="00B536F5" w:rsidTr="001F3A0F">
        <w:trPr>
          <w:trHeight w:val="751"/>
        </w:trPr>
        <w:tc>
          <w:tcPr>
            <w:tcW w:w="0" w:type="auto"/>
            <w:tcBorders>
              <w:top w:val="single" w:sz="4" w:space="0" w:color="auto"/>
            </w:tcBorders>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时间点</w:t>
            </w:r>
          </w:p>
        </w:tc>
        <w:tc>
          <w:tcPr>
            <w:tcW w:w="0" w:type="auto"/>
            <w:tcBorders>
              <w:top w:val="single" w:sz="4" w:space="0" w:color="auto"/>
            </w:tcBorders>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2011年</w:t>
            </w:r>
          </w:p>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2-3月</w:t>
            </w:r>
          </w:p>
        </w:tc>
        <w:tc>
          <w:tcPr>
            <w:tcW w:w="0" w:type="auto"/>
            <w:tcBorders>
              <w:top w:val="single" w:sz="4" w:space="0" w:color="auto"/>
            </w:tcBorders>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2011年</w:t>
            </w:r>
          </w:p>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8-9月</w:t>
            </w:r>
          </w:p>
        </w:tc>
        <w:tc>
          <w:tcPr>
            <w:tcW w:w="0" w:type="auto"/>
            <w:tcBorders>
              <w:top w:val="single" w:sz="4" w:space="0" w:color="auto"/>
            </w:tcBorders>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2012年</w:t>
            </w:r>
          </w:p>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1月</w:t>
            </w:r>
          </w:p>
        </w:tc>
        <w:tc>
          <w:tcPr>
            <w:tcW w:w="0" w:type="auto"/>
            <w:tcBorders>
              <w:top w:val="single" w:sz="4" w:space="0" w:color="auto"/>
            </w:tcBorders>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T</w:t>
            </w:r>
          </w:p>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（1Q12之后）</w:t>
            </w:r>
          </w:p>
        </w:tc>
        <w:tc>
          <w:tcPr>
            <w:tcW w:w="0" w:type="auto"/>
            <w:tcBorders>
              <w:top w:val="single" w:sz="4" w:space="0" w:color="auto"/>
            </w:tcBorders>
            <w:vAlign w:val="center"/>
          </w:tcPr>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T+40周</w:t>
            </w:r>
          </w:p>
          <w:p w:rsidR="00B536F5" w:rsidRPr="00B536F5" w:rsidRDefault="00B536F5" w:rsidP="00230395">
            <w:pPr>
              <w:pStyle w:val="af2"/>
              <w:ind w:leftChars="0" w:left="0"/>
              <w:jc w:val="center"/>
              <w:rPr>
                <w:rFonts w:ascii="楷体_GB2312" w:cs="Times New Roman"/>
                <w:kern w:val="0"/>
                <w:szCs w:val="21"/>
              </w:rPr>
            </w:pPr>
            <w:r w:rsidRPr="00B536F5">
              <w:rPr>
                <w:rFonts w:ascii="楷体_GB2312" w:cs="Times New Roman" w:hint="eastAsia"/>
                <w:kern w:val="0"/>
                <w:szCs w:val="21"/>
              </w:rPr>
              <w:t>（4Q12）</w:t>
            </w:r>
          </w:p>
        </w:tc>
      </w:tr>
    </w:tbl>
    <w:p w:rsidR="00B536F5" w:rsidRPr="00B536F5" w:rsidRDefault="00B536F5" w:rsidP="00230395">
      <w:pPr>
        <w:pStyle w:val="af2"/>
        <w:ind w:leftChars="0" w:left="0"/>
        <w:rPr>
          <w:rFonts w:ascii="楷体_GB2312" w:cs="Times New Roman"/>
          <w:kern w:val="0"/>
          <w:szCs w:val="21"/>
        </w:rPr>
      </w:pPr>
    </w:p>
    <w:p w:rsidR="00097DFD" w:rsidRDefault="009E414F" w:rsidP="008B0962">
      <w:pPr>
        <w:pStyle w:val="1"/>
        <w:numPr>
          <w:ilvl w:val="0"/>
          <w:numId w:val="4"/>
        </w:numPr>
        <w:spacing w:beforeLines="50" w:afterLines="50" w:line="480" w:lineRule="auto"/>
        <w:ind w:left="2705"/>
        <w:rPr>
          <w:rFonts w:ascii="楷体_GB2312" w:eastAsia="楷体_GB2312" w:hAnsi="宋体" w:cs="楷体_GB2312"/>
          <w:sz w:val="21"/>
          <w:szCs w:val="21"/>
        </w:rPr>
      </w:pPr>
      <w:bookmarkStart w:id="43" w:name="_Toc313737755"/>
      <w:r w:rsidRPr="009E414F">
        <w:rPr>
          <w:rFonts w:ascii="楷体_GB2312" w:eastAsia="楷体_GB2312" w:hAnsi="宋体" w:cs="楷体_GB2312" w:hint="eastAsia"/>
          <w:sz w:val="21"/>
          <w:szCs w:val="21"/>
        </w:rPr>
        <w:t>化工行业</w:t>
      </w:r>
      <w:bookmarkEnd w:id="43"/>
    </w:p>
    <w:p w:rsidR="009E414F" w:rsidRPr="009E414F" w:rsidRDefault="009E414F" w:rsidP="009E414F">
      <w:pPr>
        <w:ind w:leftChars="1150" w:left="2415"/>
        <w:rPr>
          <w:rFonts w:ascii="楷体_GB2312" w:eastAsia="楷体_GB2312"/>
          <w:kern w:val="0"/>
        </w:rPr>
      </w:pPr>
      <w:r w:rsidRPr="009E414F">
        <w:rPr>
          <w:rFonts w:ascii="楷体_GB2312" w:eastAsia="楷体_GB2312" w:hint="eastAsia"/>
          <w:kern w:val="0"/>
        </w:rPr>
        <w:t>总体思路：化工行业覆盖面很广，下游众多，但目前A股上市公司总体上偏基础化工，下游客户为工业企业，表现出较明显的后周期性，因此较适合右侧投资。基于对2012年国内外经济形势的不看好，我们认为对投资化工行业股票总体上保持谨慎态度，并建议右侧投资，即可以在至少出现局部回暖后再投资。子行业和个股选择上，我们坚持“防御策略”，注重低估值、业绩的确定性高，而且公司有动力</w:t>
      </w:r>
      <w:r>
        <w:rPr>
          <w:rFonts w:ascii="楷体_GB2312" w:eastAsia="楷体_GB2312" w:hint="eastAsia"/>
          <w:kern w:val="0"/>
        </w:rPr>
        <w:t>。</w:t>
      </w:r>
    </w:p>
    <w:p w:rsidR="009E414F" w:rsidRPr="009E414F" w:rsidRDefault="009E414F" w:rsidP="009E414F">
      <w:pPr>
        <w:rPr>
          <w:rFonts w:ascii="楷体_GB2312" w:eastAsia="楷体_GB2312"/>
          <w:kern w:val="0"/>
        </w:rPr>
      </w:pPr>
    </w:p>
    <w:p w:rsidR="009E414F" w:rsidRPr="009E414F" w:rsidRDefault="009E414F" w:rsidP="00164BC2">
      <w:pPr>
        <w:pStyle w:val="ac"/>
        <w:numPr>
          <w:ilvl w:val="0"/>
          <w:numId w:val="11"/>
        </w:numPr>
        <w:ind w:firstLineChars="0"/>
        <w:rPr>
          <w:rFonts w:ascii="楷体_GB2312" w:eastAsia="楷体_GB2312"/>
          <w:b/>
          <w:kern w:val="0"/>
        </w:rPr>
      </w:pPr>
      <w:r w:rsidRPr="009E414F">
        <w:rPr>
          <w:rFonts w:ascii="楷体_GB2312" w:eastAsia="楷体_GB2312" w:hint="eastAsia"/>
          <w:b/>
          <w:kern w:val="0"/>
        </w:rPr>
        <w:t>首先看需求端：表现出需求较稳定的子行业</w:t>
      </w:r>
    </w:p>
    <w:p w:rsidR="009E414F" w:rsidRPr="009E414F" w:rsidRDefault="009E414F" w:rsidP="009E414F">
      <w:pPr>
        <w:pStyle w:val="ac"/>
        <w:ind w:left="2980" w:firstLineChars="0" w:firstLine="0"/>
        <w:rPr>
          <w:rFonts w:ascii="楷体_GB2312" w:eastAsia="楷体_GB2312"/>
          <w:b/>
          <w:kern w:val="0"/>
        </w:rPr>
      </w:pPr>
    </w:p>
    <w:p w:rsidR="009E414F" w:rsidRPr="009E414F" w:rsidRDefault="009E414F" w:rsidP="009E414F">
      <w:pPr>
        <w:ind w:leftChars="1200" w:left="2520"/>
        <w:rPr>
          <w:rFonts w:ascii="楷体_GB2312" w:eastAsia="楷体_GB2312"/>
          <w:kern w:val="0"/>
        </w:rPr>
      </w:pPr>
      <w:r w:rsidRPr="009E414F">
        <w:rPr>
          <w:rFonts w:ascii="楷体_GB2312" w:eastAsia="楷体_GB2312" w:hint="eastAsia"/>
          <w:kern w:val="0"/>
        </w:rPr>
        <w:t>1</w:t>
      </w:r>
      <w:r>
        <w:rPr>
          <w:rFonts w:ascii="楷体_GB2312" w:eastAsia="楷体_GB2312" w:hint="eastAsia"/>
          <w:kern w:val="0"/>
        </w:rPr>
        <w:t>、</w:t>
      </w:r>
      <w:r w:rsidRPr="009E414F">
        <w:rPr>
          <w:rFonts w:ascii="楷体_GB2312" w:eastAsia="楷体_GB2312" w:hint="eastAsia"/>
          <w:kern w:val="0"/>
        </w:rPr>
        <w:t>公司下游稳定，需求刚性的民用类。如与日常居民消费相关的，如基本食品和日化产品的相关的基本组分、添加剂、包装等；医药中间体，农药中间体则随农药的需求存在较大波动；维生素；涤纶毛条。作为重要农资的化肥和农药曾经被认为是需求稳定的行业，但是化肥中使用量最大的氮肥、磷肥属于大宗产品。国内产能严重过剩，而高价的钾肥产生了需求弹性，因此化肥行业出现较明显的周期性波动。我国农药总体处在产业链的偏低端。</w:t>
      </w:r>
    </w:p>
    <w:p w:rsidR="009E414F" w:rsidRPr="009E414F" w:rsidRDefault="009E414F" w:rsidP="009E414F">
      <w:pPr>
        <w:rPr>
          <w:rFonts w:ascii="楷体_GB2312" w:eastAsia="楷体_GB2312"/>
          <w:kern w:val="0"/>
        </w:rPr>
      </w:pPr>
    </w:p>
    <w:p w:rsidR="009E414F" w:rsidRPr="009E414F" w:rsidRDefault="009E414F" w:rsidP="009E414F">
      <w:pPr>
        <w:ind w:firstLineChars="1200" w:firstLine="2520"/>
        <w:rPr>
          <w:rFonts w:ascii="楷体_GB2312" w:eastAsia="楷体_GB2312"/>
          <w:kern w:val="0"/>
        </w:rPr>
      </w:pPr>
      <w:r w:rsidRPr="009E414F">
        <w:rPr>
          <w:rFonts w:ascii="楷体_GB2312" w:eastAsia="楷体_GB2312" w:hint="eastAsia"/>
          <w:kern w:val="0"/>
        </w:rPr>
        <w:t>2</w:t>
      </w:r>
      <w:r>
        <w:rPr>
          <w:rFonts w:ascii="楷体_GB2312" w:eastAsia="楷体_GB2312" w:hint="eastAsia"/>
          <w:kern w:val="0"/>
        </w:rPr>
        <w:t>、符合</w:t>
      </w:r>
      <w:r w:rsidRPr="009E414F">
        <w:rPr>
          <w:rFonts w:ascii="楷体_GB2312" w:eastAsia="楷体_GB2312" w:hint="eastAsia"/>
          <w:kern w:val="0"/>
        </w:rPr>
        <w:t>国家产业政策导向和中国产业发展方向</w:t>
      </w:r>
    </w:p>
    <w:p w:rsidR="009E414F" w:rsidRPr="009E414F" w:rsidRDefault="009E414F" w:rsidP="009E414F">
      <w:pPr>
        <w:ind w:leftChars="1250" w:left="3045" w:hangingChars="200" w:hanging="420"/>
        <w:rPr>
          <w:rFonts w:ascii="楷体_GB2312" w:eastAsia="楷体_GB2312"/>
          <w:kern w:val="0"/>
        </w:rPr>
      </w:pPr>
      <w:r w:rsidRPr="009E414F">
        <w:rPr>
          <w:rFonts w:ascii="楷体_GB2312" w:eastAsia="楷体_GB2312" w:hint="eastAsia"/>
          <w:kern w:val="0"/>
        </w:rPr>
        <w:lastRenderedPageBreak/>
        <w:t>1）新型脱硫剂。我国原油进口主要来自于中东、俄罗斯等含硫原油产区，未来随着进口原油比例不断上升，高硫原油的加工比例也将不断上升。成品油的含硫量要求也在不断提高，2010年起，部分地区开始供应硫含量不超过 350ppm的车用柴油，北京、上海、广州提前实施标准的城市已经或即将供应硫含量不超过50ppm的车用燃油。</w:t>
      </w:r>
    </w:p>
    <w:p w:rsidR="009E414F" w:rsidRPr="009E414F" w:rsidRDefault="009E414F" w:rsidP="009E414F">
      <w:pPr>
        <w:ind w:leftChars="1400" w:left="3255" w:hangingChars="150" w:hanging="315"/>
        <w:rPr>
          <w:rFonts w:ascii="楷体_GB2312" w:eastAsia="楷体_GB2312"/>
          <w:kern w:val="0"/>
        </w:rPr>
      </w:pPr>
      <w:r w:rsidRPr="009E414F">
        <w:rPr>
          <w:rFonts w:ascii="楷体_GB2312" w:eastAsia="楷体_GB2312" w:hint="eastAsia"/>
          <w:kern w:val="0"/>
        </w:rPr>
        <w:t>2）外墙</w:t>
      </w:r>
      <w:r>
        <w:rPr>
          <w:rFonts w:ascii="楷体_GB2312" w:eastAsia="楷体_GB2312" w:hint="eastAsia"/>
          <w:kern w:val="0"/>
        </w:rPr>
        <w:t>保温材料、阻燃材料。接连几起大火后，公安部决定国家将建筑外墙</w:t>
      </w:r>
      <w:r w:rsidRPr="009E414F">
        <w:rPr>
          <w:rFonts w:ascii="楷体_GB2312" w:eastAsia="楷体_GB2312" w:hint="eastAsia"/>
          <w:kern w:val="0"/>
        </w:rPr>
        <w:t>材料的阻燃标准提高，有望在2012年实施。这将带来保温材料的变革，目前广泛应用的 PS 板必将被 PU等其他材料替代。</w:t>
      </w:r>
    </w:p>
    <w:p w:rsidR="009E414F" w:rsidRPr="009E414F" w:rsidRDefault="009E414F" w:rsidP="009E414F">
      <w:pPr>
        <w:ind w:leftChars="1400" w:left="2940"/>
        <w:rPr>
          <w:rFonts w:ascii="楷体_GB2312" w:eastAsia="楷体_GB2312"/>
          <w:kern w:val="0"/>
        </w:rPr>
      </w:pPr>
      <w:r w:rsidRPr="009E414F">
        <w:rPr>
          <w:rFonts w:ascii="楷体_GB2312" w:eastAsia="楷体_GB2312" w:hint="eastAsia"/>
          <w:kern w:val="0"/>
        </w:rPr>
        <w:t>3）可降解塑料。全球可降解塑料消费量从 2008 年20万吨增加至2010 年 66.4 万吨，预计 2016 年将增至 233 万吨，CAGR 为 20.24%，而对比供给方，2010年全球产能 72.4 万吨，2015 年预计达 171 万吨，CAGR 18.8%，但预计仍无法满足需求的快速增长。</w:t>
      </w:r>
    </w:p>
    <w:p w:rsidR="009E414F" w:rsidRPr="009E414F" w:rsidRDefault="009E414F" w:rsidP="009E414F">
      <w:pPr>
        <w:rPr>
          <w:rFonts w:ascii="楷体_GB2312" w:eastAsia="楷体_GB2312"/>
          <w:kern w:val="0"/>
        </w:rPr>
      </w:pPr>
    </w:p>
    <w:p w:rsidR="009E414F" w:rsidRPr="009E414F" w:rsidRDefault="009E414F" w:rsidP="00164BC2">
      <w:pPr>
        <w:pStyle w:val="ac"/>
        <w:numPr>
          <w:ilvl w:val="0"/>
          <w:numId w:val="11"/>
        </w:numPr>
        <w:ind w:firstLineChars="0"/>
        <w:rPr>
          <w:rFonts w:ascii="楷体_GB2312" w:eastAsia="楷体_GB2312"/>
          <w:b/>
          <w:kern w:val="0"/>
        </w:rPr>
      </w:pPr>
      <w:r w:rsidRPr="009E414F">
        <w:rPr>
          <w:rFonts w:ascii="楷体_GB2312" w:eastAsia="楷体_GB2312" w:hint="eastAsia"/>
          <w:b/>
          <w:kern w:val="0"/>
        </w:rPr>
        <w:t>其次看供给端：本质就是行业竞争格局向有利方向发展</w:t>
      </w:r>
    </w:p>
    <w:p w:rsidR="009E414F" w:rsidRDefault="009E414F" w:rsidP="009E414F">
      <w:pPr>
        <w:ind w:firstLineChars="1150" w:firstLine="2415"/>
        <w:rPr>
          <w:rFonts w:ascii="楷体_GB2312" w:eastAsia="楷体_GB2312"/>
          <w:kern w:val="0"/>
        </w:rPr>
      </w:pPr>
    </w:p>
    <w:p w:rsidR="009E414F" w:rsidRPr="009E414F" w:rsidRDefault="009E414F" w:rsidP="009E414F">
      <w:pPr>
        <w:ind w:leftChars="1150" w:left="2415"/>
        <w:rPr>
          <w:rFonts w:ascii="楷体_GB2312" w:eastAsia="楷体_GB2312"/>
          <w:kern w:val="0"/>
        </w:rPr>
      </w:pPr>
      <w:r w:rsidRPr="009E414F">
        <w:rPr>
          <w:rFonts w:ascii="楷体_GB2312" w:eastAsia="楷体_GB2312" w:hint="eastAsia"/>
          <w:kern w:val="0"/>
        </w:rPr>
        <w:t>1</w:t>
      </w:r>
      <w:r>
        <w:rPr>
          <w:rFonts w:ascii="楷体_GB2312" w:eastAsia="楷体_GB2312" w:hint="eastAsia"/>
          <w:kern w:val="0"/>
        </w:rPr>
        <w:t>、</w:t>
      </w:r>
      <w:r w:rsidRPr="009E414F">
        <w:rPr>
          <w:rFonts w:ascii="楷体_GB2312" w:eastAsia="楷体_GB2312" w:hint="eastAsia"/>
          <w:kern w:val="0"/>
        </w:rPr>
        <w:t>产业链技术壁垒高，行业出现寡头垄断格局，如某些MDI；电子化学品尤其明显，包括液晶化学品、光学膜、陶瓷电容粉、铝电容用纸等，因为成本占比低而对品质影响大，导致产业链进入壁垒很高，因为新企业不容易进入，上下游往往都是寡头垄断的，盈利水平较高。</w:t>
      </w:r>
    </w:p>
    <w:p w:rsidR="009E414F" w:rsidRPr="009E414F" w:rsidRDefault="009E414F" w:rsidP="009E414F">
      <w:pPr>
        <w:rPr>
          <w:rFonts w:ascii="楷体_GB2312" w:eastAsia="楷体_GB2312"/>
          <w:kern w:val="0"/>
        </w:rPr>
      </w:pPr>
    </w:p>
    <w:p w:rsidR="009E414F" w:rsidRPr="009E414F" w:rsidRDefault="009E414F" w:rsidP="009E414F">
      <w:pPr>
        <w:ind w:leftChars="1150" w:left="2415"/>
        <w:rPr>
          <w:rFonts w:ascii="楷体_GB2312" w:eastAsia="楷体_GB2312"/>
          <w:kern w:val="0"/>
        </w:rPr>
      </w:pPr>
      <w:r w:rsidRPr="009E414F">
        <w:rPr>
          <w:rFonts w:ascii="楷体_GB2312" w:eastAsia="楷体_GB2312" w:hint="eastAsia"/>
          <w:kern w:val="0"/>
        </w:rPr>
        <w:t>2</w:t>
      </w:r>
      <w:r>
        <w:rPr>
          <w:rFonts w:ascii="楷体_GB2312" w:eastAsia="楷体_GB2312" w:hint="eastAsia"/>
          <w:kern w:val="0"/>
        </w:rPr>
        <w:t xml:space="preserve">、 </w:t>
      </w:r>
      <w:r w:rsidRPr="009E414F">
        <w:rPr>
          <w:rFonts w:ascii="楷体_GB2312" w:eastAsia="楷体_GB2312" w:hint="eastAsia"/>
          <w:kern w:val="0"/>
        </w:rPr>
        <w:t>关键原料资源壁垒高，行业出现集中趋势而产生的寡头垄断格局，最典型的是磷和钾。近一年来，磷矿石的资源趋向集中的趋势非常明显。牛市会很关注资源主题，但是熊市中对于资源属性较为淡化。我们更关注季节性的价格上涨和新政策出台的股价催化剂因素。</w:t>
      </w:r>
    </w:p>
    <w:p w:rsidR="009E414F" w:rsidRDefault="009E414F" w:rsidP="009E414F">
      <w:pPr>
        <w:ind w:firstLineChars="1150" w:firstLine="2415"/>
        <w:rPr>
          <w:rFonts w:ascii="楷体_GB2312" w:eastAsia="楷体_GB2312"/>
          <w:kern w:val="0"/>
        </w:rPr>
      </w:pPr>
    </w:p>
    <w:p w:rsidR="009E414F" w:rsidRPr="009E414F" w:rsidRDefault="009E414F" w:rsidP="009E414F">
      <w:pPr>
        <w:ind w:firstLineChars="1150" w:firstLine="2415"/>
        <w:rPr>
          <w:rFonts w:ascii="楷体_GB2312" w:eastAsia="楷体_GB2312"/>
          <w:kern w:val="0"/>
        </w:rPr>
      </w:pPr>
      <w:r w:rsidRPr="009E414F">
        <w:rPr>
          <w:rFonts w:ascii="楷体_GB2312" w:eastAsia="楷体_GB2312" w:hint="eastAsia"/>
          <w:kern w:val="0"/>
        </w:rPr>
        <w:t>图：国内磷矿石价格虽持续上涨，但对于国际仍然是折价</w:t>
      </w:r>
    </w:p>
    <w:p w:rsidR="009E414F" w:rsidRPr="009E414F" w:rsidRDefault="009E414F" w:rsidP="009E414F">
      <w:pPr>
        <w:rPr>
          <w:rFonts w:ascii="楷体_GB2312" w:eastAsia="楷体_GB2312"/>
          <w:kern w:val="0"/>
        </w:rPr>
      </w:pPr>
      <w:r>
        <w:rPr>
          <w:rFonts w:ascii="楷体_GB2312" w:eastAsia="楷体_GB2312" w:hint="eastAsia"/>
          <w:kern w:val="0"/>
        </w:rPr>
        <w:t xml:space="preserve">                         </w:t>
      </w:r>
      <w:r w:rsidRPr="009E414F">
        <w:rPr>
          <w:rFonts w:ascii="楷体_GB2312" w:eastAsia="楷体_GB2312"/>
          <w:noProof/>
          <w:kern w:val="0"/>
        </w:rPr>
        <w:drawing>
          <wp:inline distT="0" distB="0" distL="0" distR="0">
            <wp:extent cx="3242945" cy="1896745"/>
            <wp:effectExtent l="19050" t="0" r="0" b="0"/>
            <wp:docPr id="21" name="图片 1" descr="cid:image001.jpg@01CCC94A.62E6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1.jpg@01CCC94A.62E66150"/>
                    <pic:cNvPicPr>
                      <a:picLocks noChangeAspect="1" noChangeArrowheads="1"/>
                    </pic:cNvPicPr>
                  </pic:nvPicPr>
                  <pic:blipFill>
                    <a:blip r:embed="rId30" r:link="rId31"/>
                    <a:srcRect/>
                    <a:stretch>
                      <a:fillRect/>
                    </a:stretch>
                  </pic:blipFill>
                  <pic:spPr bwMode="auto">
                    <a:xfrm>
                      <a:off x="0" y="0"/>
                      <a:ext cx="3242945" cy="1896745"/>
                    </a:xfrm>
                    <a:prstGeom prst="rect">
                      <a:avLst/>
                    </a:prstGeom>
                    <a:noFill/>
                    <a:ln w="9525">
                      <a:noFill/>
                      <a:miter lim="800000"/>
                      <a:headEnd/>
                      <a:tailEnd/>
                    </a:ln>
                  </pic:spPr>
                </pic:pic>
              </a:graphicData>
            </a:graphic>
          </wp:inline>
        </w:drawing>
      </w:r>
      <w:r>
        <w:rPr>
          <w:rFonts w:ascii="楷体_GB2312" w:eastAsia="楷体_GB2312" w:hint="eastAsia"/>
          <w:kern w:val="0"/>
        </w:rPr>
        <w:t xml:space="preserve">              </w:t>
      </w:r>
    </w:p>
    <w:p w:rsidR="009E414F" w:rsidRPr="009E414F" w:rsidRDefault="009E414F" w:rsidP="009E414F">
      <w:pPr>
        <w:rPr>
          <w:rFonts w:ascii="楷体_GB2312" w:eastAsia="楷体_GB2312"/>
          <w:kern w:val="0"/>
        </w:rPr>
      </w:pPr>
    </w:p>
    <w:p w:rsidR="009E414F" w:rsidRPr="009E414F" w:rsidRDefault="009E414F" w:rsidP="009E414F">
      <w:pPr>
        <w:ind w:leftChars="1150" w:left="2415"/>
        <w:rPr>
          <w:rFonts w:ascii="楷体_GB2312" w:eastAsia="楷体_GB2312"/>
          <w:kern w:val="0"/>
        </w:rPr>
      </w:pPr>
      <w:r w:rsidRPr="009E414F">
        <w:rPr>
          <w:rFonts w:ascii="楷体_GB2312" w:eastAsia="楷体_GB2312" w:hint="eastAsia"/>
          <w:kern w:val="0"/>
        </w:rPr>
        <w:t>3</w:t>
      </w:r>
      <w:r>
        <w:rPr>
          <w:rFonts w:ascii="楷体_GB2312" w:eastAsia="楷体_GB2312" w:hint="eastAsia"/>
          <w:kern w:val="0"/>
        </w:rPr>
        <w:t>、</w:t>
      </w:r>
      <w:r w:rsidRPr="009E414F">
        <w:rPr>
          <w:rFonts w:ascii="楷体_GB2312" w:eastAsia="楷体_GB2312" w:hint="eastAsia"/>
          <w:kern w:val="0"/>
        </w:rPr>
        <w:t>因为环保标准提高、配额管制等因素导致行业出现整合的，如对导致温室效应的氟制冷剂的管控、农药不断的生产污染减少和产品毒性降低的要求。这种投资要密切关注国内外政策的变化，是最容易产生短期性爆发式机会的领域。</w:t>
      </w:r>
    </w:p>
    <w:p w:rsidR="009E414F" w:rsidRPr="009E414F" w:rsidRDefault="009E414F" w:rsidP="009E414F">
      <w:pPr>
        <w:rPr>
          <w:rFonts w:ascii="楷体_GB2312" w:eastAsia="楷体_GB2312"/>
          <w:kern w:val="0"/>
        </w:rPr>
      </w:pPr>
    </w:p>
    <w:p w:rsidR="009E414F" w:rsidRPr="009E414F" w:rsidRDefault="009E414F" w:rsidP="009E414F">
      <w:pPr>
        <w:ind w:leftChars="1150" w:left="2415"/>
        <w:rPr>
          <w:rFonts w:ascii="楷体_GB2312" w:eastAsia="楷体_GB2312"/>
          <w:kern w:val="0"/>
        </w:rPr>
      </w:pPr>
      <w:r w:rsidRPr="009E414F">
        <w:rPr>
          <w:rFonts w:ascii="楷体_GB2312" w:eastAsia="楷体_GB2312" w:hint="eastAsia"/>
          <w:kern w:val="0"/>
        </w:rPr>
        <w:t>4</w:t>
      </w:r>
      <w:r>
        <w:rPr>
          <w:rFonts w:ascii="楷体_GB2312" w:eastAsia="楷体_GB2312" w:hint="eastAsia"/>
          <w:kern w:val="0"/>
        </w:rPr>
        <w:t>、</w:t>
      </w:r>
      <w:r w:rsidRPr="009E414F">
        <w:rPr>
          <w:rFonts w:ascii="楷体_GB2312" w:eastAsia="楷体_GB2312" w:hint="eastAsia"/>
          <w:kern w:val="0"/>
        </w:rPr>
        <w:t>重大原料工艺路线的变化，主要是煤化工、天然气、LPG产业。特别是我国煤化工有天然的资源禀赋，如果取得技术突破，品质与石化产品相当，市场空间巨大。</w:t>
      </w:r>
    </w:p>
    <w:p w:rsidR="009E414F" w:rsidRPr="009E414F" w:rsidRDefault="009E414F" w:rsidP="009E414F">
      <w:pPr>
        <w:ind w:firstLineChars="1250" w:firstLine="2625"/>
        <w:rPr>
          <w:rFonts w:ascii="楷体_GB2312" w:eastAsia="楷体_GB2312"/>
          <w:kern w:val="0"/>
        </w:rPr>
      </w:pPr>
      <w:r w:rsidRPr="009E414F">
        <w:rPr>
          <w:rFonts w:ascii="楷体_GB2312" w:eastAsia="楷体_GB2312" w:hint="eastAsia"/>
          <w:kern w:val="0"/>
        </w:rPr>
        <w:lastRenderedPageBreak/>
        <w:t>图表：我国乙二醇的进口依存度达70%</w:t>
      </w:r>
    </w:p>
    <w:p w:rsidR="009E414F" w:rsidRPr="009E414F" w:rsidRDefault="009E414F" w:rsidP="009E414F">
      <w:pPr>
        <w:rPr>
          <w:rFonts w:ascii="楷体_GB2312" w:eastAsia="楷体_GB2312"/>
          <w:kern w:val="0"/>
        </w:rPr>
      </w:pPr>
      <w:r>
        <w:rPr>
          <w:rFonts w:ascii="楷体_GB2312" w:eastAsia="楷体_GB2312" w:hint="eastAsia"/>
          <w:kern w:val="0"/>
        </w:rPr>
        <w:t xml:space="preserve">                          </w:t>
      </w:r>
      <w:r w:rsidRPr="009E414F">
        <w:rPr>
          <w:rFonts w:ascii="楷体_GB2312" w:eastAsia="楷体_GB2312"/>
          <w:noProof/>
          <w:kern w:val="0"/>
        </w:rPr>
        <w:drawing>
          <wp:inline distT="0" distB="0" distL="0" distR="0">
            <wp:extent cx="3479800" cy="1837055"/>
            <wp:effectExtent l="19050" t="0" r="6350" b="0"/>
            <wp:docPr id="22" name="图片 2" descr="cid:image002.jpg@01CCC94A.62E6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jpg@01CCC94A.62E66150"/>
                    <pic:cNvPicPr>
                      <a:picLocks noChangeAspect="1" noChangeArrowheads="1"/>
                    </pic:cNvPicPr>
                  </pic:nvPicPr>
                  <pic:blipFill>
                    <a:blip r:embed="rId32" r:link="rId33"/>
                    <a:srcRect/>
                    <a:stretch>
                      <a:fillRect/>
                    </a:stretch>
                  </pic:blipFill>
                  <pic:spPr bwMode="auto">
                    <a:xfrm>
                      <a:off x="0" y="0"/>
                      <a:ext cx="3479800" cy="1837055"/>
                    </a:xfrm>
                    <a:prstGeom prst="rect">
                      <a:avLst/>
                    </a:prstGeom>
                    <a:noFill/>
                    <a:ln w="9525">
                      <a:noFill/>
                      <a:miter lim="800000"/>
                      <a:headEnd/>
                      <a:tailEnd/>
                    </a:ln>
                  </pic:spPr>
                </pic:pic>
              </a:graphicData>
            </a:graphic>
          </wp:inline>
        </w:drawing>
      </w:r>
      <w:r>
        <w:rPr>
          <w:rFonts w:ascii="楷体_GB2312" w:eastAsia="楷体_GB2312" w:hint="eastAsia"/>
          <w:kern w:val="0"/>
        </w:rPr>
        <w:t xml:space="preserve">       </w:t>
      </w:r>
    </w:p>
    <w:p w:rsidR="009E414F" w:rsidRPr="009E414F" w:rsidRDefault="009E414F" w:rsidP="009E414F">
      <w:pPr>
        <w:rPr>
          <w:rFonts w:ascii="楷体_GB2312" w:eastAsia="楷体_GB2312"/>
          <w:kern w:val="0"/>
        </w:rPr>
      </w:pPr>
    </w:p>
    <w:p w:rsidR="009E414F" w:rsidRPr="009E414F" w:rsidRDefault="009E414F" w:rsidP="00164BC2">
      <w:pPr>
        <w:pStyle w:val="ac"/>
        <w:numPr>
          <w:ilvl w:val="0"/>
          <w:numId w:val="11"/>
        </w:numPr>
        <w:ind w:firstLineChars="0"/>
        <w:rPr>
          <w:rFonts w:ascii="楷体_GB2312" w:eastAsia="楷体_GB2312"/>
          <w:b/>
          <w:kern w:val="0"/>
        </w:rPr>
      </w:pPr>
      <w:r w:rsidRPr="009E414F">
        <w:rPr>
          <w:rFonts w:ascii="楷体_GB2312" w:eastAsia="楷体_GB2312" w:hint="eastAsia"/>
          <w:b/>
          <w:kern w:val="0"/>
        </w:rPr>
        <w:t>在经济和股市的双低迷中，上市公司的意图容易发生异化。</w:t>
      </w:r>
    </w:p>
    <w:p w:rsidR="009E414F" w:rsidRPr="009E414F" w:rsidRDefault="009E414F" w:rsidP="009E414F">
      <w:pPr>
        <w:ind w:leftChars="1250" w:left="2625"/>
        <w:rPr>
          <w:rFonts w:ascii="楷体_GB2312" w:eastAsia="楷体_GB2312"/>
          <w:kern w:val="0"/>
        </w:rPr>
      </w:pPr>
      <w:r>
        <w:rPr>
          <w:rFonts w:ascii="楷体_GB2312" w:eastAsia="楷体_GB2312" w:hint="eastAsia"/>
          <w:kern w:val="0"/>
        </w:rPr>
        <w:t>因</w:t>
      </w:r>
      <w:r w:rsidRPr="009E414F">
        <w:rPr>
          <w:rFonts w:ascii="楷体_GB2312" w:eastAsia="楷体_GB2312" w:hint="eastAsia"/>
          <w:kern w:val="0"/>
        </w:rPr>
        <w:t>此，我们比以往更关注上市公司态度这一因素。我们会关注股价催化剂，并注意到熊市中利好兑现往往成为减仓时点的特点。</w:t>
      </w:r>
    </w:p>
    <w:p w:rsidR="00230395" w:rsidRPr="009E414F" w:rsidRDefault="00230395" w:rsidP="00230395">
      <w:pPr>
        <w:autoSpaceDE w:val="0"/>
        <w:autoSpaceDN w:val="0"/>
        <w:adjustRightInd w:val="0"/>
        <w:spacing w:after="240" w:line="320" w:lineRule="exact"/>
        <w:ind w:firstLineChars="1050" w:firstLine="2205"/>
        <w:jc w:val="left"/>
        <w:rPr>
          <w:rFonts w:ascii="楷体_GB2312" w:eastAsia="楷体_GB2312"/>
          <w:kern w:val="0"/>
        </w:rPr>
      </w:pPr>
    </w:p>
    <w:p w:rsidR="00097DFD" w:rsidRDefault="00230395" w:rsidP="008B0962">
      <w:pPr>
        <w:pStyle w:val="1"/>
        <w:numPr>
          <w:ilvl w:val="0"/>
          <w:numId w:val="4"/>
        </w:numPr>
        <w:spacing w:beforeLines="50" w:afterLines="50" w:line="480" w:lineRule="auto"/>
        <w:ind w:left="2705"/>
        <w:rPr>
          <w:rFonts w:ascii="楷体_GB2312" w:eastAsia="楷体_GB2312"/>
          <w:bCs w:val="0"/>
          <w:kern w:val="0"/>
          <w:sz w:val="21"/>
          <w:szCs w:val="21"/>
        </w:rPr>
      </w:pPr>
      <w:bookmarkStart w:id="44" w:name="_Toc313737756"/>
      <w:r w:rsidRPr="00230395">
        <w:rPr>
          <w:rFonts w:ascii="楷体_GB2312" w:eastAsia="楷体_GB2312" w:hint="eastAsia"/>
          <w:bCs w:val="0"/>
          <w:kern w:val="0"/>
          <w:sz w:val="21"/>
          <w:szCs w:val="21"/>
        </w:rPr>
        <w:t>机械行业</w:t>
      </w:r>
      <w:bookmarkEnd w:id="44"/>
    </w:p>
    <w:p w:rsidR="00230395" w:rsidRPr="00230395" w:rsidRDefault="00230395" w:rsidP="00230395">
      <w:pPr>
        <w:autoSpaceDE w:val="0"/>
        <w:autoSpaceDN w:val="0"/>
        <w:adjustRightInd w:val="0"/>
        <w:spacing w:after="240" w:line="320" w:lineRule="exact"/>
        <w:ind w:firstLineChars="1050" w:firstLine="2205"/>
        <w:jc w:val="left"/>
        <w:rPr>
          <w:rFonts w:ascii="楷体_GB2312" w:eastAsia="楷体_GB2312"/>
          <w:kern w:val="0"/>
        </w:rPr>
      </w:pPr>
      <w:r w:rsidRPr="00230395">
        <w:rPr>
          <w:rFonts w:ascii="楷体_GB2312" w:eastAsia="楷体_GB2312" w:hint="eastAsia"/>
          <w:kern w:val="0"/>
        </w:rPr>
        <w:t>一、机械行业</w:t>
      </w:r>
      <w:r w:rsidR="00BF2955">
        <w:rPr>
          <w:rFonts w:ascii="楷体_GB2312" w:eastAsia="楷体_GB2312" w:hint="eastAsia"/>
          <w:kern w:val="0"/>
        </w:rPr>
        <w:t>行业趋势</w:t>
      </w:r>
    </w:p>
    <w:p w:rsidR="00230395" w:rsidRPr="00230395" w:rsidRDefault="00230395" w:rsidP="00164BC2">
      <w:pPr>
        <w:numPr>
          <w:ilvl w:val="0"/>
          <w:numId w:val="5"/>
        </w:numPr>
        <w:tabs>
          <w:tab w:val="clear" w:pos="2040"/>
          <w:tab w:val="num" w:pos="2487"/>
        </w:tabs>
        <w:autoSpaceDE w:val="0"/>
        <w:autoSpaceDN w:val="0"/>
        <w:adjustRightInd w:val="0"/>
        <w:spacing w:after="240" w:line="320" w:lineRule="exact"/>
        <w:ind w:leftChars="1050" w:left="2562" w:hanging="357"/>
        <w:jc w:val="left"/>
        <w:rPr>
          <w:rFonts w:ascii="楷体_GB2312" w:eastAsia="楷体_GB2312"/>
          <w:kern w:val="0"/>
        </w:rPr>
      </w:pPr>
      <w:r w:rsidRPr="00230395">
        <w:rPr>
          <w:rFonts w:ascii="楷体_GB2312" w:eastAsia="楷体_GB2312" w:hint="eastAsia"/>
          <w:kern w:val="0"/>
        </w:rPr>
        <w:t>经济增速放缓，机械行业景气回落。2010年以来，随着房地产调控政策不断加码，4万亿投资驱动的基建高峰逝去，再加上欧债危机不断深化，中国经济面临投资、出口双重放缓带来的增长压力。机械行业作为中游投资品，其景气程度与下游各个应用行业的需求景气变动紧密相关。因此，在投资与出口增速放缓，经济面临转型升级的背景下，以工程机械、港口设备、船舶工业、重型设备等为代表的重化工装备行业面临需求放缓、产能过剩的局面。</w:t>
      </w:r>
    </w:p>
    <w:p w:rsidR="00230395" w:rsidRPr="00230395" w:rsidRDefault="00230395" w:rsidP="00164BC2">
      <w:pPr>
        <w:numPr>
          <w:ilvl w:val="0"/>
          <w:numId w:val="5"/>
        </w:numPr>
        <w:tabs>
          <w:tab w:val="clear" w:pos="2040"/>
          <w:tab w:val="num" w:pos="2487"/>
        </w:tabs>
        <w:autoSpaceDE w:val="0"/>
        <w:autoSpaceDN w:val="0"/>
        <w:adjustRightInd w:val="0"/>
        <w:spacing w:after="240" w:line="320" w:lineRule="exact"/>
        <w:ind w:leftChars="1050" w:left="2562" w:hanging="357"/>
        <w:jc w:val="left"/>
        <w:rPr>
          <w:rFonts w:ascii="楷体_GB2312" w:eastAsia="楷体_GB2312"/>
          <w:kern w:val="0"/>
        </w:rPr>
      </w:pPr>
      <w:r w:rsidRPr="00230395">
        <w:rPr>
          <w:rFonts w:ascii="楷体_GB2312" w:eastAsia="楷体_GB2312" w:hint="eastAsia"/>
          <w:kern w:val="0"/>
        </w:rPr>
        <w:t>增长模式面临转型，机械行业酝酿新机遇。由于过去10年经历的投资和出口拉动的增长模式面临日益严峻的资源能源瓶颈、人工成本上升和环境恶化的多重压力，以出口和基建、地产投资为主导的经济增长模式面临转型，与之而来的是相关的建筑机械、港口机械也随之进入了成熟期。在我们看来，未来10年中国经济转型升级的主导产业还未可知，但是可以确定的是我们必须逐步解决当前面临的能源、资源、环境等等挑战。相关的机械设备行业，如能源装备、环保设备将有大的发展；同时，传统装备企业为了长期生存发展，也必将逐步进行业务转型和产业升级，相关的成套设备EPC总包、工业气体服务、核心零部件等行业同样面临良好的发展机遇。</w:t>
      </w:r>
    </w:p>
    <w:p w:rsidR="00230395" w:rsidRPr="00230395" w:rsidRDefault="00230395" w:rsidP="00164BC2">
      <w:pPr>
        <w:numPr>
          <w:ilvl w:val="0"/>
          <w:numId w:val="5"/>
        </w:numPr>
        <w:tabs>
          <w:tab w:val="clear" w:pos="2040"/>
          <w:tab w:val="num" w:pos="2487"/>
        </w:tabs>
        <w:autoSpaceDE w:val="0"/>
        <w:autoSpaceDN w:val="0"/>
        <w:adjustRightInd w:val="0"/>
        <w:spacing w:after="240" w:line="320" w:lineRule="exact"/>
        <w:ind w:leftChars="1050" w:left="2562" w:hanging="357"/>
        <w:jc w:val="left"/>
        <w:rPr>
          <w:rFonts w:ascii="楷体_GB2312" w:eastAsia="楷体_GB2312"/>
          <w:kern w:val="0"/>
        </w:rPr>
      </w:pPr>
      <w:r w:rsidRPr="00230395">
        <w:rPr>
          <w:rFonts w:ascii="楷体_GB2312" w:eastAsia="楷体_GB2312" w:hint="eastAsia"/>
          <w:kern w:val="0"/>
        </w:rPr>
        <w:t>能源装备是长期投资主线。作为全球第二大经济体和制造中心，中国未来经济增长面临的能源约束挑战是十分巨大的。富煤少油的国情以及碳排放的长期压力下，中国未来能源结构中清洁能源的占比提升是大概率事件。不过，中短期内中国以石化能源为主的能源消费模式还难以改变，清洁能源的发展也需经历技术的突破和市场化的推进。相应的，我们未来3-5年最看好的四个能源装备方向，分别是新型煤化工装备、煤炭机械、天然气装备和海洋工程装备。</w:t>
      </w:r>
    </w:p>
    <w:p w:rsidR="00230395" w:rsidRPr="00230395" w:rsidRDefault="00230395" w:rsidP="00164BC2">
      <w:pPr>
        <w:numPr>
          <w:ilvl w:val="0"/>
          <w:numId w:val="5"/>
        </w:numPr>
        <w:tabs>
          <w:tab w:val="clear" w:pos="2040"/>
          <w:tab w:val="num" w:pos="2487"/>
        </w:tabs>
        <w:autoSpaceDE w:val="0"/>
        <w:autoSpaceDN w:val="0"/>
        <w:adjustRightInd w:val="0"/>
        <w:spacing w:after="240" w:line="320" w:lineRule="exact"/>
        <w:ind w:leftChars="1050" w:left="2562" w:hanging="357"/>
        <w:jc w:val="left"/>
        <w:rPr>
          <w:rFonts w:ascii="楷体_GB2312" w:eastAsia="楷体_GB2312"/>
          <w:kern w:val="0"/>
        </w:rPr>
      </w:pPr>
      <w:r w:rsidRPr="00230395">
        <w:rPr>
          <w:rFonts w:ascii="楷体_GB2312" w:eastAsia="楷体_GB2312" w:hint="eastAsia"/>
          <w:kern w:val="0"/>
        </w:rPr>
        <w:lastRenderedPageBreak/>
        <w:t>传统机械行业转型升级是必然趋势。重化工发展阶段中成长性较好的机械行业，包括船舶、建筑机械、通用设备等领域的相关企业，由于下游行业的成熟导致的需求放缓，这类企业将面临成长瓶颈，如果不进行业务的转型或者产品的升级，那未来的发展空间将不断缩窄。我们看好以第三方主导的工业气体服务行业，以核心设备为主导的EPC总包模式，机器替代人工的相关装备行业以及基础部件和设备的进口替代四大方向的企业。</w:t>
      </w:r>
    </w:p>
    <w:p w:rsidR="00230395" w:rsidRPr="00230395" w:rsidRDefault="00230395" w:rsidP="00164BC2">
      <w:pPr>
        <w:numPr>
          <w:ilvl w:val="0"/>
          <w:numId w:val="5"/>
        </w:numPr>
        <w:tabs>
          <w:tab w:val="clear" w:pos="2040"/>
          <w:tab w:val="num" w:pos="2487"/>
        </w:tabs>
        <w:autoSpaceDE w:val="0"/>
        <w:autoSpaceDN w:val="0"/>
        <w:adjustRightInd w:val="0"/>
        <w:spacing w:after="240" w:line="320" w:lineRule="exact"/>
        <w:ind w:leftChars="1050" w:left="2562" w:hanging="357"/>
        <w:jc w:val="left"/>
        <w:rPr>
          <w:rFonts w:ascii="楷体_GB2312" w:eastAsia="楷体_GB2312"/>
          <w:kern w:val="0"/>
        </w:rPr>
      </w:pPr>
      <w:r w:rsidRPr="00BF2955">
        <w:rPr>
          <w:rFonts w:ascii="楷体_GB2312" w:eastAsia="楷体_GB2312" w:hint="eastAsia"/>
          <w:b/>
          <w:kern w:val="0"/>
        </w:rPr>
        <w:t>2012年机械行业配置建议</w:t>
      </w:r>
      <w:r w:rsidRPr="00230395">
        <w:rPr>
          <w:rFonts w:ascii="楷体_GB2312" w:eastAsia="楷体_GB2312" w:hint="eastAsia"/>
          <w:kern w:val="0"/>
        </w:rPr>
        <w:t>：防守+反击。从防守角度来看，2012年国内外经济存在诸多不确定性因素，宏观经济下行风险依然较大，中央经济工作会议表述的积极的财政政策和稳健的货币政策也没有大的变化，我们建议</w:t>
      </w:r>
      <w:r w:rsidR="009E414F">
        <w:rPr>
          <w:rFonts w:ascii="楷体_GB2312" w:eastAsia="楷体_GB2312" w:hint="eastAsia"/>
          <w:kern w:val="0"/>
        </w:rPr>
        <w:t>重点配置行业需求稳定、业绩增长确定性强、估值水平合理的行业龙头</w:t>
      </w:r>
      <w:r w:rsidRPr="00230395">
        <w:rPr>
          <w:rFonts w:ascii="楷体_GB2312" w:eastAsia="楷体_GB2312" w:hint="eastAsia"/>
          <w:kern w:val="0"/>
        </w:rPr>
        <w:t>。</w:t>
      </w:r>
    </w:p>
    <w:p w:rsidR="00230395" w:rsidRPr="00230395" w:rsidRDefault="00230395" w:rsidP="009E414F">
      <w:pPr>
        <w:autoSpaceDE w:val="0"/>
        <w:autoSpaceDN w:val="0"/>
        <w:adjustRightInd w:val="0"/>
        <w:spacing w:after="240" w:line="320" w:lineRule="exact"/>
        <w:ind w:firstLineChars="1050" w:firstLine="2205"/>
        <w:jc w:val="left"/>
        <w:rPr>
          <w:rFonts w:ascii="楷体_GB2312" w:eastAsia="楷体_GB2312"/>
          <w:kern w:val="0"/>
        </w:rPr>
      </w:pPr>
      <w:r w:rsidRPr="00230395">
        <w:rPr>
          <w:rFonts w:ascii="楷体_GB2312" w:eastAsia="楷体_GB2312" w:hint="eastAsia"/>
          <w:kern w:val="0"/>
        </w:rPr>
        <w:t>二、长线布局能源装备与转型升级企业</w:t>
      </w:r>
    </w:p>
    <w:p w:rsidR="00230395" w:rsidRPr="00BF2955" w:rsidRDefault="00230395" w:rsidP="00BF2955">
      <w:pPr>
        <w:autoSpaceDE w:val="0"/>
        <w:autoSpaceDN w:val="0"/>
        <w:adjustRightInd w:val="0"/>
        <w:spacing w:after="240" w:line="320" w:lineRule="exact"/>
        <w:ind w:firstLineChars="1050" w:firstLine="2214"/>
        <w:jc w:val="left"/>
        <w:rPr>
          <w:rFonts w:ascii="楷体_GB2312" w:eastAsia="楷体_GB2312"/>
          <w:b/>
          <w:kern w:val="0"/>
        </w:rPr>
      </w:pPr>
      <w:r w:rsidRPr="00BF2955">
        <w:rPr>
          <w:rFonts w:ascii="楷体_GB2312" w:eastAsia="楷体_GB2312" w:hint="eastAsia"/>
          <w:b/>
          <w:kern w:val="0"/>
        </w:rPr>
        <w:t>海洋工程装备：承接国际产业转移，巨量投资拉动海工装备需求</w:t>
      </w:r>
    </w:p>
    <w:p w:rsidR="00230395" w:rsidRPr="00230395" w:rsidRDefault="00230395" w:rsidP="00164BC2">
      <w:pPr>
        <w:numPr>
          <w:ilvl w:val="0"/>
          <w:numId w:val="5"/>
        </w:numPr>
        <w:tabs>
          <w:tab w:val="clear" w:pos="2040"/>
          <w:tab w:val="num" w:pos="2487"/>
        </w:tabs>
        <w:autoSpaceDE w:val="0"/>
        <w:autoSpaceDN w:val="0"/>
        <w:adjustRightInd w:val="0"/>
        <w:spacing w:after="240" w:line="320" w:lineRule="exact"/>
        <w:ind w:leftChars="1000" w:left="2457" w:hanging="357"/>
        <w:jc w:val="left"/>
        <w:rPr>
          <w:rFonts w:ascii="楷体_GB2312" w:eastAsia="楷体_GB2312"/>
          <w:kern w:val="0"/>
        </w:rPr>
      </w:pPr>
      <w:r w:rsidRPr="00230395">
        <w:rPr>
          <w:rFonts w:ascii="楷体_GB2312" w:eastAsia="楷体_GB2312" w:hint="eastAsia"/>
          <w:kern w:val="0"/>
        </w:rPr>
        <w:t>高油价推升海工装备需求。2011年以来，国际油价在欧债危机、利比亚战争等因素影响下，出现了几次较大幅度的波动，但每次波动的低点基本上都维持在80美元/桶之上，目前布伦特原油现货价格仍维持在100美元/桶左右。我们预计2012年国际油价有望在100美元以上的高位运行。高油价推升了国际石油巨头对海工设备的需求。据Douglas-Westwood预计，未来5年全球深海能源开发项目约投资2050亿美元，与过去5年相比，投资金额剧增79%。另一方面，海洋石油平台利用率持续上升。按照ODS的统计数据，11月份西南欧地区自升式钻井平台日费率指数上升到446点、这是2009年9月份以来的最高点，平台利用率100%、这是2009年5月份以来的最高点；</w:t>
      </w:r>
      <w:smartTag w:uri="urn:schemas-microsoft-com:office:smarttags" w:element="chmetcnv">
        <w:smartTagPr>
          <w:attr w:name="UnitName" w:val="英尺"/>
          <w:attr w:name="SourceValue" w:val="5000"/>
          <w:attr w:name="HasSpace" w:val="False"/>
          <w:attr w:name="Negative" w:val="False"/>
          <w:attr w:name="NumberType" w:val="1"/>
          <w:attr w:name="TCSC" w:val="0"/>
        </w:smartTagPr>
        <w:r w:rsidRPr="00230395">
          <w:rPr>
            <w:rFonts w:ascii="楷体_GB2312" w:eastAsia="楷体_GB2312" w:hint="eastAsia"/>
            <w:kern w:val="0"/>
          </w:rPr>
          <w:t>5000英尺</w:t>
        </w:r>
      </w:smartTag>
      <w:r w:rsidRPr="00230395">
        <w:rPr>
          <w:rFonts w:ascii="楷体_GB2312" w:eastAsia="楷体_GB2312" w:hint="eastAsia"/>
          <w:kern w:val="0"/>
        </w:rPr>
        <w:t>以上的半潜式钻井平台日费率指数温和上涨到698点、平台利用率也接近100%。较高的平台利用率是催生新单的必要条件，目前接近100%的超高平台利用率水平预示未来新单需求依旧旺盛。</w:t>
      </w:r>
    </w:p>
    <w:p w:rsidR="00230395" w:rsidRPr="00230395" w:rsidRDefault="00230395" w:rsidP="00164BC2">
      <w:pPr>
        <w:numPr>
          <w:ilvl w:val="0"/>
          <w:numId w:val="5"/>
        </w:numPr>
        <w:tabs>
          <w:tab w:val="clear" w:pos="2040"/>
          <w:tab w:val="num" w:pos="2487"/>
        </w:tabs>
        <w:autoSpaceDE w:val="0"/>
        <w:autoSpaceDN w:val="0"/>
        <w:adjustRightInd w:val="0"/>
        <w:spacing w:after="240" w:line="320" w:lineRule="exact"/>
        <w:ind w:leftChars="1000" w:left="2457" w:hanging="357"/>
        <w:jc w:val="left"/>
        <w:rPr>
          <w:rFonts w:ascii="楷体_GB2312" w:eastAsia="楷体_GB2312"/>
          <w:kern w:val="0"/>
        </w:rPr>
      </w:pPr>
      <w:r w:rsidRPr="00230395">
        <w:rPr>
          <w:rFonts w:ascii="楷体_GB2312" w:eastAsia="楷体_GB2312" w:hint="eastAsia"/>
          <w:kern w:val="0"/>
        </w:rPr>
        <w:t>海工装备产业向中国转移趋势开始显现。海工装备产业向中国持续转移。从造船行业经验来看，我国成功地承接了全球第四次造船产业转移，市场份额从不到5%、世界第四位提升到40%、世界第一位。船舶制造企业承建海工装备，有其天然的优势。随着我国对海工产业支持政策的颁布和落实，全球海工装备制造中心将向中国转移；按照“十二五”规划的目标，我国海工装备全球市场份额将持续提升，预计到2015年有望达到20%。未来5年，全球海洋工程装备市场规模将达到年均700～800亿美元左右。</w:t>
      </w:r>
    </w:p>
    <w:p w:rsidR="00230395" w:rsidRPr="00230395" w:rsidRDefault="00230395" w:rsidP="00164BC2">
      <w:pPr>
        <w:numPr>
          <w:ilvl w:val="0"/>
          <w:numId w:val="5"/>
        </w:numPr>
        <w:tabs>
          <w:tab w:val="clear" w:pos="2040"/>
          <w:tab w:val="num" w:pos="2487"/>
        </w:tabs>
        <w:autoSpaceDE w:val="0"/>
        <w:autoSpaceDN w:val="0"/>
        <w:adjustRightInd w:val="0"/>
        <w:spacing w:after="240" w:line="320" w:lineRule="exact"/>
        <w:ind w:leftChars="1000" w:left="2457" w:hanging="357"/>
        <w:jc w:val="left"/>
        <w:rPr>
          <w:rFonts w:ascii="楷体_GB2312" w:eastAsia="楷体_GB2312"/>
          <w:kern w:val="0"/>
        </w:rPr>
      </w:pPr>
      <w:r w:rsidRPr="00230395">
        <w:rPr>
          <w:rFonts w:ascii="楷体_GB2312" w:eastAsia="楷体_GB2312" w:hint="eastAsia"/>
          <w:kern w:val="0"/>
        </w:rPr>
        <w:t>政策支持力度大， “十二五”国内海工市场投资高增长。2010年10月发布的《国务院关于加快培育和发展战略性新兴产业的决定》中，高端装备制造产业被确定为我国现阶段重点培育和发展的七大战略性新兴产业，到2020年将发展成为国民经济的支柱产业；而在装备制造业中，海工装备被首次重点提及：“面向海洋资源开发，大力发展海洋工程装备”。以中海油为首的石油开发企业“十二五”期间将大幅提高海工装备的投资采购规模。按照中海油初步规划规划，“十二五”期间投入300亿元建造第二批的深水海洋工程装备，这将比“十一五”已经总投资150亿元增加1倍。再加上以前未获得海上油气勘探开发权的中石油、中石化在获得开发权后，中石油就计划500～600亿元，带来的“十二五”海工装备总体需求增速超过100％。</w:t>
      </w:r>
    </w:p>
    <w:p w:rsidR="00230395" w:rsidRPr="00230395" w:rsidRDefault="00230395" w:rsidP="00230395">
      <w:pPr>
        <w:autoSpaceDE w:val="0"/>
        <w:autoSpaceDN w:val="0"/>
        <w:adjustRightInd w:val="0"/>
        <w:ind w:left="2455" w:firstLineChars="100" w:firstLine="210"/>
        <w:jc w:val="left"/>
        <w:rPr>
          <w:rFonts w:ascii="楷体_GB2312" w:eastAsia="楷体_GB2312"/>
          <w:kern w:val="0"/>
        </w:rPr>
      </w:pPr>
      <w:r w:rsidRPr="00230395">
        <w:rPr>
          <w:rFonts w:ascii="楷体_GB2312" w:eastAsia="楷体_GB2312" w:hint="eastAsia"/>
          <w:kern w:val="0"/>
        </w:rPr>
        <w:t>表1  2011年中国新接海工设备订单情况</w:t>
      </w:r>
    </w:p>
    <w:tbl>
      <w:tblPr>
        <w:tblW w:w="7531" w:type="dxa"/>
        <w:tblInd w:w="2886" w:type="dxa"/>
        <w:tblBorders>
          <w:bottom w:val="single" w:sz="12" w:space="0" w:color="000000"/>
        </w:tblBorders>
        <w:tblLook w:val="0000"/>
      </w:tblPr>
      <w:tblGrid>
        <w:gridCol w:w="2042"/>
        <w:gridCol w:w="1843"/>
        <w:gridCol w:w="1842"/>
        <w:gridCol w:w="1804"/>
      </w:tblGrid>
      <w:tr w:rsidR="00230395" w:rsidRPr="00230395" w:rsidTr="002E3949">
        <w:trPr>
          <w:trHeight w:val="326"/>
        </w:trPr>
        <w:tc>
          <w:tcPr>
            <w:tcW w:w="2042" w:type="dxa"/>
            <w:tcBorders>
              <w:top w:val="single" w:sz="4" w:space="0" w:color="000000"/>
              <w:bottom w:val="single" w:sz="4" w:space="0" w:color="000000"/>
            </w:tcBorders>
            <w:shd w:val="clear" w:color="auto" w:fill="auto"/>
            <w:noWrap/>
            <w:vAlign w:val="center"/>
          </w:tcPr>
          <w:p w:rsidR="00230395" w:rsidRPr="00230395" w:rsidRDefault="00230395" w:rsidP="002E3949">
            <w:pPr>
              <w:widowControl/>
              <w:jc w:val="left"/>
              <w:rPr>
                <w:rFonts w:ascii="楷体_GB2312" w:eastAsia="楷体_GB2312"/>
                <w:kern w:val="0"/>
              </w:rPr>
            </w:pPr>
          </w:p>
        </w:tc>
        <w:tc>
          <w:tcPr>
            <w:tcW w:w="1843" w:type="dxa"/>
            <w:tcBorders>
              <w:top w:val="single" w:sz="4" w:space="0" w:color="000000"/>
              <w:bottom w:val="single" w:sz="4" w:space="0" w:color="000000"/>
            </w:tcBorders>
            <w:shd w:val="clear" w:color="auto" w:fill="auto"/>
            <w:noWrap/>
            <w:vAlign w:val="center"/>
          </w:tcPr>
          <w:p w:rsidR="00230395" w:rsidRPr="00230395" w:rsidRDefault="00230395" w:rsidP="002E3949">
            <w:pPr>
              <w:widowControl/>
              <w:jc w:val="left"/>
              <w:rPr>
                <w:rFonts w:ascii="楷体_GB2312" w:eastAsia="楷体_GB2312"/>
                <w:kern w:val="0"/>
              </w:rPr>
            </w:pPr>
            <w:r w:rsidRPr="00230395">
              <w:rPr>
                <w:rFonts w:ascii="楷体_GB2312" w:eastAsia="楷体_GB2312"/>
                <w:kern w:val="0"/>
              </w:rPr>
              <w:t>自升式钻井平台</w:t>
            </w:r>
          </w:p>
        </w:tc>
        <w:tc>
          <w:tcPr>
            <w:tcW w:w="1842" w:type="dxa"/>
            <w:tcBorders>
              <w:top w:val="single" w:sz="4" w:space="0" w:color="000000"/>
              <w:bottom w:val="single" w:sz="4" w:space="0" w:color="000000"/>
            </w:tcBorders>
            <w:shd w:val="clear" w:color="auto" w:fill="auto"/>
            <w:noWrap/>
            <w:vAlign w:val="center"/>
          </w:tcPr>
          <w:p w:rsidR="00230395" w:rsidRPr="00230395" w:rsidRDefault="00230395" w:rsidP="002E3949">
            <w:pPr>
              <w:widowControl/>
              <w:jc w:val="left"/>
              <w:rPr>
                <w:rFonts w:ascii="楷体_GB2312" w:eastAsia="楷体_GB2312"/>
                <w:kern w:val="0"/>
              </w:rPr>
            </w:pPr>
            <w:r w:rsidRPr="00230395">
              <w:rPr>
                <w:rFonts w:ascii="楷体_GB2312" w:eastAsia="楷体_GB2312"/>
                <w:kern w:val="0"/>
              </w:rPr>
              <w:t>半潜式钻井平台</w:t>
            </w:r>
          </w:p>
        </w:tc>
        <w:tc>
          <w:tcPr>
            <w:tcW w:w="1804" w:type="dxa"/>
            <w:tcBorders>
              <w:top w:val="single" w:sz="4" w:space="0" w:color="000000"/>
              <w:bottom w:val="single" w:sz="4" w:space="0" w:color="000000"/>
            </w:tcBorders>
            <w:shd w:val="clear" w:color="auto" w:fill="auto"/>
            <w:vAlign w:val="center"/>
          </w:tcPr>
          <w:p w:rsidR="00230395" w:rsidRPr="00230395" w:rsidRDefault="00230395" w:rsidP="002E3949">
            <w:pPr>
              <w:widowControl/>
              <w:jc w:val="center"/>
              <w:rPr>
                <w:rFonts w:ascii="楷体_GB2312" w:eastAsia="楷体_GB2312"/>
                <w:kern w:val="0"/>
              </w:rPr>
            </w:pPr>
            <w:r w:rsidRPr="00230395">
              <w:rPr>
                <w:rFonts w:ascii="楷体_GB2312" w:eastAsia="楷体_GB2312"/>
                <w:kern w:val="0"/>
              </w:rPr>
              <w:t>钻井船</w:t>
            </w:r>
          </w:p>
        </w:tc>
      </w:tr>
      <w:tr w:rsidR="00230395" w:rsidRPr="00230395" w:rsidTr="002E3949">
        <w:trPr>
          <w:trHeight w:val="326"/>
        </w:trPr>
        <w:tc>
          <w:tcPr>
            <w:tcW w:w="2042" w:type="dxa"/>
            <w:tcBorders>
              <w:top w:val="single" w:sz="4" w:space="0" w:color="000000"/>
            </w:tcBorders>
            <w:shd w:val="clear" w:color="auto" w:fill="auto"/>
            <w:vAlign w:val="center"/>
          </w:tcPr>
          <w:p w:rsidR="00230395" w:rsidRPr="00230395" w:rsidRDefault="00230395" w:rsidP="002E3949">
            <w:pPr>
              <w:widowControl/>
              <w:jc w:val="left"/>
              <w:rPr>
                <w:rFonts w:ascii="楷体_GB2312" w:eastAsia="楷体_GB2312"/>
                <w:kern w:val="0"/>
              </w:rPr>
            </w:pPr>
            <w:r w:rsidRPr="00230395">
              <w:rPr>
                <w:rFonts w:ascii="楷体_GB2312" w:eastAsia="楷体_GB2312"/>
                <w:kern w:val="0"/>
              </w:rPr>
              <w:t>大船重工</w:t>
            </w:r>
          </w:p>
        </w:tc>
        <w:tc>
          <w:tcPr>
            <w:tcW w:w="1843" w:type="dxa"/>
            <w:tcBorders>
              <w:top w:val="single" w:sz="4" w:space="0" w:color="000000"/>
            </w:tcBorders>
            <w:shd w:val="clear" w:color="auto" w:fill="auto"/>
            <w:vAlign w:val="center"/>
          </w:tcPr>
          <w:p w:rsidR="00230395" w:rsidRPr="00230395" w:rsidRDefault="00230395" w:rsidP="002E3949">
            <w:pPr>
              <w:widowControl/>
              <w:jc w:val="right"/>
              <w:rPr>
                <w:rFonts w:ascii="楷体_GB2312" w:eastAsia="楷体_GB2312"/>
                <w:kern w:val="0"/>
              </w:rPr>
            </w:pPr>
            <w:r w:rsidRPr="00230395">
              <w:rPr>
                <w:rFonts w:ascii="楷体_GB2312" w:eastAsia="楷体_GB2312"/>
                <w:kern w:val="0"/>
              </w:rPr>
              <w:t>4</w:t>
            </w:r>
          </w:p>
        </w:tc>
        <w:tc>
          <w:tcPr>
            <w:tcW w:w="1842" w:type="dxa"/>
            <w:tcBorders>
              <w:top w:val="single" w:sz="4" w:space="0" w:color="000000"/>
            </w:tcBorders>
            <w:shd w:val="clear" w:color="auto" w:fill="auto"/>
            <w:vAlign w:val="center"/>
          </w:tcPr>
          <w:p w:rsidR="00230395" w:rsidRPr="00230395" w:rsidRDefault="00230395" w:rsidP="002E3949">
            <w:pPr>
              <w:widowControl/>
              <w:jc w:val="right"/>
              <w:rPr>
                <w:rFonts w:ascii="楷体_GB2312" w:eastAsia="楷体_GB2312"/>
                <w:kern w:val="0"/>
              </w:rPr>
            </w:pPr>
            <w:r w:rsidRPr="00230395">
              <w:rPr>
                <w:rFonts w:ascii="楷体_GB2312" w:eastAsia="楷体_GB2312"/>
                <w:kern w:val="0"/>
              </w:rPr>
              <w:t>1</w:t>
            </w:r>
          </w:p>
        </w:tc>
        <w:tc>
          <w:tcPr>
            <w:tcW w:w="1804" w:type="dxa"/>
            <w:tcBorders>
              <w:top w:val="single" w:sz="4" w:space="0" w:color="000000"/>
            </w:tcBorders>
            <w:shd w:val="clear" w:color="auto" w:fill="auto"/>
            <w:vAlign w:val="center"/>
          </w:tcPr>
          <w:p w:rsidR="00230395" w:rsidRPr="00230395" w:rsidRDefault="00230395" w:rsidP="002E3949">
            <w:pPr>
              <w:widowControl/>
              <w:jc w:val="right"/>
              <w:rPr>
                <w:rFonts w:ascii="楷体_GB2312" w:eastAsia="楷体_GB2312"/>
                <w:kern w:val="0"/>
              </w:rPr>
            </w:pPr>
          </w:p>
        </w:tc>
      </w:tr>
      <w:tr w:rsidR="00230395" w:rsidRPr="00230395" w:rsidTr="002E3949">
        <w:trPr>
          <w:trHeight w:val="326"/>
        </w:trPr>
        <w:tc>
          <w:tcPr>
            <w:tcW w:w="2042" w:type="dxa"/>
            <w:shd w:val="clear" w:color="auto" w:fill="auto"/>
            <w:vAlign w:val="center"/>
          </w:tcPr>
          <w:p w:rsidR="00230395" w:rsidRPr="00230395" w:rsidRDefault="00230395" w:rsidP="002E3949">
            <w:pPr>
              <w:widowControl/>
              <w:jc w:val="left"/>
              <w:rPr>
                <w:rFonts w:ascii="楷体_GB2312" w:eastAsia="楷体_GB2312"/>
                <w:kern w:val="0"/>
              </w:rPr>
            </w:pPr>
            <w:r w:rsidRPr="00230395">
              <w:rPr>
                <w:rFonts w:ascii="楷体_GB2312" w:eastAsia="楷体_GB2312"/>
                <w:kern w:val="0"/>
              </w:rPr>
              <w:t>中远船务</w:t>
            </w:r>
          </w:p>
        </w:tc>
        <w:tc>
          <w:tcPr>
            <w:tcW w:w="1843" w:type="dxa"/>
            <w:shd w:val="clear" w:color="auto" w:fill="auto"/>
            <w:vAlign w:val="center"/>
          </w:tcPr>
          <w:p w:rsidR="00230395" w:rsidRPr="00230395" w:rsidRDefault="00230395" w:rsidP="002E3949">
            <w:pPr>
              <w:widowControl/>
              <w:jc w:val="right"/>
              <w:rPr>
                <w:rFonts w:ascii="楷体_GB2312" w:eastAsia="楷体_GB2312"/>
                <w:kern w:val="0"/>
              </w:rPr>
            </w:pPr>
            <w:r w:rsidRPr="00230395">
              <w:rPr>
                <w:rFonts w:ascii="楷体_GB2312" w:eastAsia="楷体_GB2312"/>
                <w:kern w:val="0"/>
              </w:rPr>
              <w:t>4</w:t>
            </w:r>
          </w:p>
        </w:tc>
        <w:tc>
          <w:tcPr>
            <w:tcW w:w="1842" w:type="dxa"/>
            <w:shd w:val="clear" w:color="auto" w:fill="auto"/>
            <w:vAlign w:val="center"/>
          </w:tcPr>
          <w:p w:rsidR="00230395" w:rsidRPr="00230395" w:rsidRDefault="00230395" w:rsidP="002E3949">
            <w:pPr>
              <w:widowControl/>
              <w:jc w:val="right"/>
              <w:rPr>
                <w:rFonts w:ascii="楷体_GB2312" w:eastAsia="楷体_GB2312"/>
                <w:kern w:val="0"/>
              </w:rPr>
            </w:pPr>
            <w:r w:rsidRPr="00230395">
              <w:rPr>
                <w:rFonts w:ascii="楷体_GB2312" w:eastAsia="楷体_GB2312"/>
                <w:kern w:val="0"/>
              </w:rPr>
              <w:t>2+2</w:t>
            </w:r>
          </w:p>
        </w:tc>
        <w:tc>
          <w:tcPr>
            <w:tcW w:w="1804" w:type="dxa"/>
            <w:shd w:val="clear" w:color="auto" w:fill="auto"/>
            <w:vAlign w:val="center"/>
          </w:tcPr>
          <w:p w:rsidR="00230395" w:rsidRPr="00230395" w:rsidRDefault="00230395" w:rsidP="002E3949">
            <w:pPr>
              <w:widowControl/>
              <w:jc w:val="right"/>
              <w:rPr>
                <w:rFonts w:ascii="楷体_GB2312" w:eastAsia="楷体_GB2312"/>
                <w:kern w:val="0"/>
              </w:rPr>
            </w:pPr>
            <w:r w:rsidRPr="00230395">
              <w:rPr>
                <w:rFonts w:ascii="楷体_GB2312" w:eastAsia="楷体_GB2312"/>
                <w:kern w:val="0"/>
              </w:rPr>
              <w:t>1</w:t>
            </w:r>
          </w:p>
        </w:tc>
      </w:tr>
      <w:tr w:rsidR="00230395" w:rsidRPr="00230395" w:rsidTr="002E3949">
        <w:trPr>
          <w:trHeight w:val="326"/>
        </w:trPr>
        <w:tc>
          <w:tcPr>
            <w:tcW w:w="2042" w:type="dxa"/>
            <w:shd w:val="clear" w:color="auto" w:fill="auto"/>
            <w:vAlign w:val="center"/>
          </w:tcPr>
          <w:p w:rsidR="00230395" w:rsidRPr="00230395" w:rsidRDefault="00230395" w:rsidP="002E3949">
            <w:pPr>
              <w:widowControl/>
              <w:jc w:val="left"/>
              <w:rPr>
                <w:rFonts w:ascii="楷体_GB2312" w:eastAsia="楷体_GB2312"/>
                <w:kern w:val="0"/>
              </w:rPr>
            </w:pPr>
            <w:r w:rsidRPr="00230395">
              <w:rPr>
                <w:rFonts w:ascii="楷体_GB2312" w:eastAsia="楷体_GB2312"/>
                <w:kern w:val="0"/>
              </w:rPr>
              <w:t>中集来福士</w:t>
            </w:r>
          </w:p>
        </w:tc>
        <w:tc>
          <w:tcPr>
            <w:tcW w:w="1843" w:type="dxa"/>
            <w:shd w:val="clear" w:color="auto" w:fill="auto"/>
            <w:vAlign w:val="center"/>
          </w:tcPr>
          <w:p w:rsidR="00230395" w:rsidRPr="00230395" w:rsidRDefault="00230395" w:rsidP="002E3949">
            <w:pPr>
              <w:widowControl/>
              <w:jc w:val="right"/>
              <w:rPr>
                <w:rFonts w:ascii="楷体_GB2312" w:eastAsia="楷体_GB2312"/>
                <w:kern w:val="0"/>
              </w:rPr>
            </w:pPr>
          </w:p>
        </w:tc>
        <w:tc>
          <w:tcPr>
            <w:tcW w:w="1842" w:type="dxa"/>
            <w:shd w:val="clear" w:color="auto" w:fill="auto"/>
            <w:vAlign w:val="center"/>
          </w:tcPr>
          <w:p w:rsidR="00230395" w:rsidRPr="00230395" w:rsidRDefault="00230395" w:rsidP="002E3949">
            <w:pPr>
              <w:widowControl/>
              <w:jc w:val="right"/>
              <w:rPr>
                <w:rFonts w:ascii="楷体_GB2312" w:eastAsia="楷体_GB2312"/>
                <w:kern w:val="0"/>
              </w:rPr>
            </w:pPr>
            <w:r w:rsidRPr="00230395">
              <w:rPr>
                <w:rFonts w:ascii="楷体_GB2312" w:eastAsia="楷体_GB2312"/>
                <w:kern w:val="0"/>
              </w:rPr>
              <w:t>1</w:t>
            </w:r>
          </w:p>
        </w:tc>
        <w:tc>
          <w:tcPr>
            <w:tcW w:w="1804" w:type="dxa"/>
            <w:shd w:val="clear" w:color="auto" w:fill="auto"/>
            <w:vAlign w:val="center"/>
          </w:tcPr>
          <w:p w:rsidR="00230395" w:rsidRPr="00230395" w:rsidRDefault="00230395" w:rsidP="002E3949">
            <w:pPr>
              <w:widowControl/>
              <w:jc w:val="right"/>
              <w:rPr>
                <w:rFonts w:ascii="楷体_GB2312" w:eastAsia="楷体_GB2312"/>
                <w:kern w:val="0"/>
              </w:rPr>
            </w:pPr>
          </w:p>
        </w:tc>
      </w:tr>
      <w:tr w:rsidR="00230395" w:rsidRPr="00230395" w:rsidTr="002E3949">
        <w:trPr>
          <w:trHeight w:val="326"/>
        </w:trPr>
        <w:tc>
          <w:tcPr>
            <w:tcW w:w="2042" w:type="dxa"/>
            <w:shd w:val="clear" w:color="auto" w:fill="auto"/>
            <w:vAlign w:val="center"/>
          </w:tcPr>
          <w:p w:rsidR="00230395" w:rsidRPr="00230395" w:rsidRDefault="00230395" w:rsidP="002E3949">
            <w:pPr>
              <w:widowControl/>
              <w:jc w:val="left"/>
              <w:rPr>
                <w:rFonts w:ascii="楷体_GB2312" w:eastAsia="楷体_GB2312"/>
                <w:kern w:val="0"/>
              </w:rPr>
            </w:pPr>
            <w:r w:rsidRPr="00230395">
              <w:rPr>
                <w:rFonts w:ascii="楷体_GB2312" w:eastAsia="楷体_GB2312"/>
                <w:kern w:val="0"/>
              </w:rPr>
              <w:t>中船集团</w:t>
            </w:r>
          </w:p>
        </w:tc>
        <w:tc>
          <w:tcPr>
            <w:tcW w:w="1843" w:type="dxa"/>
            <w:shd w:val="clear" w:color="auto" w:fill="auto"/>
            <w:vAlign w:val="center"/>
          </w:tcPr>
          <w:p w:rsidR="00230395" w:rsidRPr="00230395" w:rsidRDefault="00230395" w:rsidP="002E3949">
            <w:pPr>
              <w:widowControl/>
              <w:jc w:val="right"/>
              <w:rPr>
                <w:rFonts w:ascii="楷体_GB2312" w:eastAsia="楷体_GB2312"/>
                <w:kern w:val="0"/>
              </w:rPr>
            </w:pPr>
            <w:r w:rsidRPr="00230395">
              <w:rPr>
                <w:rFonts w:ascii="楷体_GB2312" w:eastAsia="楷体_GB2312"/>
                <w:kern w:val="0"/>
              </w:rPr>
              <w:t>2+3</w:t>
            </w:r>
          </w:p>
        </w:tc>
        <w:tc>
          <w:tcPr>
            <w:tcW w:w="1842" w:type="dxa"/>
            <w:shd w:val="clear" w:color="auto" w:fill="auto"/>
            <w:vAlign w:val="center"/>
          </w:tcPr>
          <w:p w:rsidR="00230395" w:rsidRPr="00230395" w:rsidRDefault="00230395" w:rsidP="002E3949">
            <w:pPr>
              <w:widowControl/>
              <w:jc w:val="left"/>
              <w:rPr>
                <w:rFonts w:ascii="楷体_GB2312" w:eastAsia="楷体_GB2312"/>
                <w:kern w:val="0"/>
              </w:rPr>
            </w:pPr>
          </w:p>
        </w:tc>
        <w:tc>
          <w:tcPr>
            <w:tcW w:w="1804" w:type="dxa"/>
            <w:shd w:val="clear" w:color="auto" w:fill="auto"/>
            <w:vAlign w:val="center"/>
          </w:tcPr>
          <w:p w:rsidR="00230395" w:rsidRPr="00230395" w:rsidRDefault="00230395" w:rsidP="002E3949">
            <w:pPr>
              <w:widowControl/>
              <w:jc w:val="right"/>
              <w:rPr>
                <w:rFonts w:ascii="楷体_GB2312" w:eastAsia="楷体_GB2312"/>
                <w:kern w:val="0"/>
              </w:rPr>
            </w:pPr>
            <w:r w:rsidRPr="00230395">
              <w:rPr>
                <w:rFonts w:ascii="楷体_GB2312" w:eastAsia="楷体_GB2312"/>
                <w:kern w:val="0"/>
              </w:rPr>
              <w:t>2+2</w:t>
            </w:r>
          </w:p>
        </w:tc>
      </w:tr>
      <w:tr w:rsidR="00230395" w:rsidRPr="00230395" w:rsidTr="002E3949">
        <w:trPr>
          <w:trHeight w:val="326"/>
        </w:trPr>
        <w:tc>
          <w:tcPr>
            <w:tcW w:w="2042" w:type="dxa"/>
            <w:shd w:val="clear" w:color="auto" w:fill="auto"/>
            <w:noWrap/>
            <w:vAlign w:val="center"/>
          </w:tcPr>
          <w:p w:rsidR="00230395" w:rsidRPr="00230395" w:rsidRDefault="00230395" w:rsidP="002E3949">
            <w:pPr>
              <w:widowControl/>
              <w:jc w:val="left"/>
              <w:rPr>
                <w:rFonts w:ascii="楷体_GB2312" w:eastAsia="楷体_GB2312"/>
                <w:kern w:val="0"/>
              </w:rPr>
            </w:pPr>
            <w:r w:rsidRPr="00230395">
              <w:rPr>
                <w:rFonts w:ascii="楷体_GB2312" w:eastAsia="楷体_GB2312"/>
                <w:kern w:val="0"/>
              </w:rPr>
              <w:t>招商局重工</w:t>
            </w:r>
          </w:p>
        </w:tc>
        <w:tc>
          <w:tcPr>
            <w:tcW w:w="1843" w:type="dxa"/>
            <w:shd w:val="clear" w:color="auto" w:fill="auto"/>
            <w:vAlign w:val="center"/>
          </w:tcPr>
          <w:p w:rsidR="00230395" w:rsidRPr="00230395" w:rsidRDefault="00230395" w:rsidP="002E3949">
            <w:pPr>
              <w:widowControl/>
              <w:jc w:val="right"/>
              <w:rPr>
                <w:rFonts w:ascii="楷体_GB2312" w:eastAsia="楷体_GB2312"/>
                <w:kern w:val="0"/>
              </w:rPr>
            </w:pPr>
            <w:r w:rsidRPr="00230395">
              <w:rPr>
                <w:rFonts w:ascii="楷体_GB2312" w:eastAsia="楷体_GB2312"/>
                <w:kern w:val="0"/>
              </w:rPr>
              <w:t>3+2</w:t>
            </w:r>
          </w:p>
        </w:tc>
        <w:tc>
          <w:tcPr>
            <w:tcW w:w="1842" w:type="dxa"/>
            <w:shd w:val="clear" w:color="auto" w:fill="auto"/>
            <w:vAlign w:val="center"/>
          </w:tcPr>
          <w:p w:rsidR="00230395" w:rsidRPr="00230395" w:rsidRDefault="00230395" w:rsidP="002E3949">
            <w:pPr>
              <w:widowControl/>
              <w:jc w:val="right"/>
              <w:rPr>
                <w:rFonts w:ascii="楷体_GB2312" w:eastAsia="楷体_GB2312"/>
                <w:kern w:val="0"/>
              </w:rPr>
            </w:pPr>
          </w:p>
        </w:tc>
        <w:tc>
          <w:tcPr>
            <w:tcW w:w="1804" w:type="dxa"/>
            <w:shd w:val="clear" w:color="auto" w:fill="auto"/>
            <w:vAlign w:val="center"/>
          </w:tcPr>
          <w:p w:rsidR="00230395" w:rsidRPr="00230395" w:rsidRDefault="00230395" w:rsidP="002E3949">
            <w:pPr>
              <w:widowControl/>
              <w:jc w:val="right"/>
              <w:rPr>
                <w:rFonts w:ascii="楷体_GB2312" w:eastAsia="楷体_GB2312"/>
                <w:kern w:val="0"/>
              </w:rPr>
            </w:pPr>
          </w:p>
        </w:tc>
      </w:tr>
      <w:tr w:rsidR="00230395" w:rsidRPr="00230395" w:rsidTr="002E3949">
        <w:trPr>
          <w:trHeight w:val="326"/>
        </w:trPr>
        <w:tc>
          <w:tcPr>
            <w:tcW w:w="2042" w:type="dxa"/>
            <w:shd w:val="clear" w:color="auto" w:fill="auto"/>
            <w:noWrap/>
            <w:vAlign w:val="center"/>
          </w:tcPr>
          <w:p w:rsidR="00230395" w:rsidRPr="00230395" w:rsidRDefault="00230395" w:rsidP="002E3949">
            <w:pPr>
              <w:widowControl/>
              <w:jc w:val="left"/>
              <w:rPr>
                <w:rFonts w:ascii="楷体_GB2312" w:eastAsia="楷体_GB2312"/>
                <w:kern w:val="0"/>
              </w:rPr>
            </w:pPr>
            <w:r w:rsidRPr="00230395">
              <w:rPr>
                <w:rFonts w:ascii="楷体_GB2312" w:eastAsia="楷体_GB2312"/>
                <w:kern w:val="0"/>
              </w:rPr>
              <w:t>太平洋海洋工程（舟山）</w:t>
            </w:r>
          </w:p>
        </w:tc>
        <w:tc>
          <w:tcPr>
            <w:tcW w:w="1843" w:type="dxa"/>
            <w:shd w:val="clear" w:color="auto" w:fill="auto"/>
            <w:vAlign w:val="center"/>
          </w:tcPr>
          <w:p w:rsidR="00230395" w:rsidRPr="00230395" w:rsidRDefault="00230395" w:rsidP="002E3949">
            <w:pPr>
              <w:widowControl/>
              <w:jc w:val="right"/>
              <w:rPr>
                <w:rFonts w:ascii="楷体_GB2312" w:eastAsia="楷体_GB2312"/>
                <w:kern w:val="0"/>
              </w:rPr>
            </w:pPr>
            <w:r w:rsidRPr="00230395">
              <w:rPr>
                <w:rFonts w:ascii="楷体_GB2312" w:eastAsia="楷体_GB2312"/>
                <w:kern w:val="0"/>
              </w:rPr>
              <w:t>1+1</w:t>
            </w:r>
          </w:p>
        </w:tc>
        <w:tc>
          <w:tcPr>
            <w:tcW w:w="1842" w:type="dxa"/>
            <w:shd w:val="clear" w:color="auto" w:fill="auto"/>
            <w:vAlign w:val="center"/>
          </w:tcPr>
          <w:p w:rsidR="00230395" w:rsidRPr="00230395" w:rsidRDefault="00230395" w:rsidP="002E3949">
            <w:pPr>
              <w:widowControl/>
              <w:jc w:val="right"/>
              <w:rPr>
                <w:rFonts w:ascii="楷体_GB2312" w:eastAsia="楷体_GB2312"/>
                <w:kern w:val="0"/>
              </w:rPr>
            </w:pPr>
          </w:p>
        </w:tc>
        <w:tc>
          <w:tcPr>
            <w:tcW w:w="1804" w:type="dxa"/>
            <w:shd w:val="clear" w:color="auto" w:fill="auto"/>
            <w:vAlign w:val="center"/>
          </w:tcPr>
          <w:p w:rsidR="00230395" w:rsidRPr="00230395" w:rsidRDefault="00230395" w:rsidP="002E3949">
            <w:pPr>
              <w:widowControl/>
              <w:jc w:val="right"/>
              <w:rPr>
                <w:rFonts w:ascii="楷体_GB2312" w:eastAsia="楷体_GB2312"/>
                <w:kern w:val="0"/>
              </w:rPr>
            </w:pPr>
          </w:p>
        </w:tc>
      </w:tr>
      <w:tr w:rsidR="00230395" w:rsidRPr="00230395" w:rsidTr="002E3949">
        <w:trPr>
          <w:trHeight w:val="326"/>
        </w:trPr>
        <w:tc>
          <w:tcPr>
            <w:tcW w:w="2042" w:type="dxa"/>
            <w:shd w:val="clear" w:color="auto" w:fill="auto"/>
            <w:noWrap/>
            <w:vAlign w:val="center"/>
          </w:tcPr>
          <w:p w:rsidR="00230395" w:rsidRPr="00230395" w:rsidRDefault="00230395" w:rsidP="002E3949">
            <w:pPr>
              <w:widowControl/>
              <w:jc w:val="left"/>
              <w:rPr>
                <w:rFonts w:ascii="楷体_GB2312" w:eastAsia="楷体_GB2312"/>
                <w:kern w:val="0"/>
              </w:rPr>
            </w:pPr>
            <w:r w:rsidRPr="00230395">
              <w:rPr>
                <w:rFonts w:ascii="楷体_GB2312" w:eastAsia="楷体_GB2312"/>
                <w:kern w:val="0"/>
              </w:rPr>
              <w:t>惠生重工</w:t>
            </w:r>
          </w:p>
        </w:tc>
        <w:tc>
          <w:tcPr>
            <w:tcW w:w="1843" w:type="dxa"/>
            <w:shd w:val="clear" w:color="auto" w:fill="auto"/>
            <w:vAlign w:val="center"/>
          </w:tcPr>
          <w:p w:rsidR="00230395" w:rsidRPr="00230395" w:rsidRDefault="00230395" w:rsidP="002E3949">
            <w:pPr>
              <w:widowControl/>
              <w:jc w:val="right"/>
              <w:rPr>
                <w:rFonts w:ascii="楷体_GB2312" w:eastAsia="楷体_GB2312"/>
                <w:kern w:val="0"/>
              </w:rPr>
            </w:pPr>
            <w:r w:rsidRPr="00230395">
              <w:rPr>
                <w:rFonts w:ascii="楷体_GB2312" w:eastAsia="楷体_GB2312"/>
                <w:kern w:val="0"/>
              </w:rPr>
              <w:t>1</w:t>
            </w:r>
          </w:p>
        </w:tc>
        <w:tc>
          <w:tcPr>
            <w:tcW w:w="1842" w:type="dxa"/>
            <w:shd w:val="clear" w:color="auto" w:fill="auto"/>
            <w:vAlign w:val="center"/>
          </w:tcPr>
          <w:p w:rsidR="00230395" w:rsidRPr="00230395" w:rsidRDefault="00230395" w:rsidP="002E3949">
            <w:pPr>
              <w:widowControl/>
              <w:jc w:val="right"/>
              <w:rPr>
                <w:rFonts w:ascii="楷体_GB2312" w:eastAsia="楷体_GB2312"/>
                <w:kern w:val="0"/>
              </w:rPr>
            </w:pPr>
          </w:p>
        </w:tc>
        <w:tc>
          <w:tcPr>
            <w:tcW w:w="1804" w:type="dxa"/>
            <w:shd w:val="clear" w:color="auto" w:fill="auto"/>
            <w:vAlign w:val="center"/>
          </w:tcPr>
          <w:p w:rsidR="00230395" w:rsidRPr="00230395" w:rsidRDefault="00230395" w:rsidP="002E3949">
            <w:pPr>
              <w:widowControl/>
              <w:jc w:val="right"/>
              <w:rPr>
                <w:rFonts w:ascii="楷体_GB2312" w:eastAsia="楷体_GB2312"/>
                <w:kern w:val="0"/>
              </w:rPr>
            </w:pPr>
          </w:p>
        </w:tc>
      </w:tr>
      <w:tr w:rsidR="00230395" w:rsidRPr="00230395" w:rsidTr="002E3949">
        <w:trPr>
          <w:trHeight w:val="326"/>
        </w:trPr>
        <w:tc>
          <w:tcPr>
            <w:tcW w:w="2042" w:type="dxa"/>
            <w:tcBorders>
              <w:bottom w:val="single" w:sz="6" w:space="0" w:color="000000"/>
            </w:tcBorders>
            <w:shd w:val="clear" w:color="auto" w:fill="auto"/>
            <w:noWrap/>
            <w:vAlign w:val="center"/>
          </w:tcPr>
          <w:p w:rsidR="00230395" w:rsidRPr="00230395" w:rsidRDefault="00230395" w:rsidP="002E3949">
            <w:pPr>
              <w:widowControl/>
              <w:jc w:val="right"/>
              <w:rPr>
                <w:rFonts w:ascii="楷体_GB2312" w:eastAsia="楷体_GB2312"/>
                <w:kern w:val="0"/>
              </w:rPr>
            </w:pPr>
          </w:p>
        </w:tc>
        <w:tc>
          <w:tcPr>
            <w:tcW w:w="1843" w:type="dxa"/>
            <w:tcBorders>
              <w:bottom w:val="single" w:sz="6" w:space="0" w:color="000000"/>
            </w:tcBorders>
            <w:shd w:val="clear" w:color="auto" w:fill="auto"/>
            <w:vAlign w:val="center"/>
          </w:tcPr>
          <w:p w:rsidR="00230395" w:rsidRPr="00230395" w:rsidRDefault="00230395" w:rsidP="002E3949">
            <w:pPr>
              <w:widowControl/>
              <w:jc w:val="right"/>
              <w:rPr>
                <w:rFonts w:ascii="楷体_GB2312" w:eastAsia="楷体_GB2312"/>
                <w:kern w:val="0"/>
              </w:rPr>
            </w:pPr>
            <w:r w:rsidRPr="00230395">
              <w:rPr>
                <w:rFonts w:ascii="楷体_GB2312" w:eastAsia="楷体_GB2312"/>
                <w:kern w:val="0"/>
              </w:rPr>
              <w:t>15+6</w:t>
            </w:r>
          </w:p>
        </w:tc>
        <w:tc>
          <w:tcPr>
            <w:tcW w:w="1842" w:type="dxa"/>
            <w:tcBorders>
              <w:bottom w:val="single" w:sz="6" w:space="0" w:color="000000"/>
            </w:tcBorders>
            <w:shd w:val="clear" w:color="auto" w:fill="auto"/>
            <w:vAlign w:val="center"/>
          </w:tcPr>
          <w:p w:rsidR="00230395" w:rsidRPr="00230395" w:rsidRDefault="00230395" w:rsidP="002E3949">
            <w:pPr>
              <w:widowControl/>
              <w:jc w:val="right"/>
              <w:rPr>
                <w:rFonts w:ascii="楷体_GB2312" w:eastAsia="楷体_GB2312"/>
                <w:kern w:val="0"/>
              </w:rPr>
            </w:pPr>
            <w:r w:rsidRPr="00230395">
              <w:rPr>
                <w:rFonts w:ascii="楷体_GB2312" w:eastAsia="楷体_GB2312"/>
                <w:kern w:val="0"/>
              </w:rPr>
              <w:t>4+2</w:t>
            </w:r>
          </w:p>
        </w:tc>
        <w:tc>
          <w:tcPr>
            <w:tcW w:w="1804" w:type="dxa"/>
            <w:tcBorders>
              <w:bottom w:val="single" w:sz="6" w:space="0" w:color="000000"/>
            </w:tcBorders>
            <w:shd w:val="clear" w:color="auto" w:fill="auto"/>
            <w:vAlign w:val="center"/>
          </w:tcPr>
          <w:p w:rsidR="00230395" w:rsidRPr="00230395" w:rsidRDefault="00230395" w:rsidP="002E3949">
            <w:pPr>
              <w:widowControl/>
              <w:jc w:val="right"/>
              <w:rPr>
                <w:rFonts w:ascii="楷体_GB2312" w:eastAsia="楷体_GB2312"/>
                <w:kern w:val="0"/>
              </w:rPr>
            </w:pPr>
            <w:r w:rsidRPr="00230395">
              <w:rPr>
                <w:rFonts w:ascii="楷体_GB2312" w:eastAsia="楷体_GB2312"/>
                <w:kern w:val="0"/>
              </w:rPr>
              <w:t>3+2</w:t>
            </w:r>
          </w:p>
        </w:tc>
      </w:tr>
    </w:tbl>
    <w:p w:rsidR="00230395" w:rsidRPr="00230395" w:rsidRDefault="00230395" w:rsidP="00230395">
      <w:pPr>
        <w:autoSpaceDE w:val="0"/>
        <w:autoSpaceDN w:val="0"/>
        <w:adjustRightInd w:val="0"/>
        <w:spacing w:after="240" w:line="320" w:lineRule="exact"/>
        <w:ind w:left="2457"/>
        <w:jc w:val="left"/>
        <w:rPr>
          <w:rFonts w:ascii="楷体_GB2312" w:eastAsia="楷体_GB2312"/>
          <w:kern w:val="0"/>
        </w:rPr>
      </w:pPr>
      <w:r w:rsidRPr="00230395">
        <w:rPr>
          <w:rFonts w:ascii="楷体_GB2312" w:eastAsia="楷体_GB2312" w:hint="eastAsia"/>
          <w:kern w:val="0"/>
        </w:rPr>
        <w:t xml:space="preserve">   数据来源：中海油战略部</w:t>
      </w:r>
    </w:p>
    <w:p w:rsidR="00230395" w:rsidRPr="00230395" w:rsidRDefault="00230395" w:rsidP="00230395">
      <w:pPr>
        <w:autoSpaceDE w:val="0"/>
        <w:autoSpaceDN w:val="0"/>
        <w:adjustRightInd w:val="0"/>
        <w:spacing w:after="240" w:line="320" w:lineRule="exact"/>
        <w:ind w:left="2457"/>
        <w:jc w:val="left"/>
        <w:rPr>
          <w:rFonts w:ascii="楷体_GB2312" w:eastAsia="楷体_GB2312"/>
          <w:kern w:val="0"/>
        </w:rPr>
      </w:pPr>
    </w:p>
    <w:p w:rsidR="00230395" w:rsidRPr="00BF2955" w:rsidRDefault="00230395" w:rsidP="00BF2955">
      <w:pPr>
        <w:autoSpaceDE w:val="0"/>
        <w:autoSpaceDN w:val="0"/>
        <w:adjustRightInd w:val="0"/>
        <w:spacing w:after="240" w:line="320" w:lineRule="exact"/>
        <w:ind w:firstLineChars="1050" w:firstLine="2214"/>
        <w:jc w:val="left"/>
        <w:rPr>
          <w:rFonts w:ascii="楷体_GB2312" w:eastAsia="楷体_GB2312"/>
          <w:b/>
          <w:kern w:val="0"/>
        </w:rPr>
      </w:pPr>
      <w:r w:rsidRPr="00BF2955">
        <w:rPr>
          <w:rFonts w:ascii="楷体_GB2312" w:eastAsia="楷体_GB2312" w:hint="eastAsia"/>
          <w:b/>
          <w:kern w:val="0"/>
        </w:rPr>
        <w:t>煤化工设备：投资高峰来临，压力容器企业有望受益</w:t>
      </w:r>
    </w:p>
    <w:p w:rsidR="00230395" w:rsidRPr="00230395" w:rsidRDefault="00230395" w:rsidP="00164BC2">
      <w:pPr>
        <w:numPr>
          <w:ilvl w:val="0"/>
          <w:numId w:val="5"/>
        </w:numPr>
        <w:tabs>
          <w:tab w:val="clear" w:pos="2040"/>
          <w:tab w:val="num" w:pos="2487"/>
        </w:tabs>
        <w:autoSpaceDE w:val="0"/>
        <w:autoSpaceDN w:val="0"/>
        <w:adjustRightInd w:val="0"/>
        <w:spacing w:after="240" w:line="320" w:lineRule="exact"/>
        <w:ind w:leftChars="1000" w:left="2457" w:hanging="357"/>
        <w:jc w:val="left"/>
        <w:rPr>
          <w:rFonts w:ascii="楷体_GB2312" w:eastAsia="楷体_GB2312"/>
          <w:kern w:val="0"/>
        </w:rPr>
      </w:pPr>
      <w:r w:rsidRPr="00230395">
        <w:rPr>
          <w:rFonts w:ascii="楷体_GB2312" w:eastAsia="楷体_GB2312" w:hint="eastAsia"/>
          <w:kern w:val="0"/>
        </w:rPr>
        <w:t>煤化工投资进入加速期。</w:t>
      </w:r>
      <w:r w:rsidRPr="00230395">
        <w:rPr>
          <w:rFonts w:ascii="楷体_GB2312" w:eastAsia="楷体_GB2312"/>
          <w:kern w:val="0"/>
        </w:rPr>
        <w:t>现代煤化工主要是指煤制烯烃、煤制天然气、煤制油和煤制乙二醇等对煤炭进行清洁利用和深加工的化工产业。我国在现代煤化工技术研发与经营领域已达国际领先水平。神华包头60万吨煤制烯烃项目是世界首套、全球最大的同类项目，采用大连化物所DMTO技术，自</w:t>
      </w:r>
      <w:smartTag w:uri="urn:schemas-microsoft-com:office:smarttags" w:element="chsdate">
        <w:smartTagPr>
          <w:attr w:name="Year" w:val="2011"/>
          <w:attr w:name="Month" w:val="1"/>
          <w:attr w:name="Day" w:val="1"/>
          <w:attr w:name="IsLunarDate" w:val="False"/>
          <w:attr w:name="IsROCDate" w:val="False"/>
        </w:smartTagPr>
        <w:r w:rsidRPr="00230395">
          <w:rPr>
            <w:rFonts w:ascii="楷体_GB2312" w:eastAsia="楷体_GB2312"/>
            <w:kern w:val="0"/>
          </w:rPr>
          <w:t>2011年1月1日</w:t>
        </w:r>
      </w:smartTag>
      <w:r w:rsidRPr="00230395">
        <w:rPr>
          <w:rFonts w:ascii="楷体_GB2312" w:eastAsia="楷体_GB2312"/>
          <w:kern w:val="0"/>
        </w:rPr>
        <w:t>正式商业化运行以来，运转良好，内部收益率达18%。预计</w:t>
      </w:r>
      <w:r w:rsidRPr="00230395">
        <w:rPr>
          <w:rFonts w:ascii="楷体_GB2312" w:eastAsia="楷体_GB2312"/>
          <w:kern w:val="0"/>
        </w:rPr>
        <w:t>“</w:t>
      </w:r>
      <w:r w:rsidRPr="00230395">
        <w:rPr>
          <w:rFonts w:ascii="楷体_GB2312" w:eastAsia="楷体_GB2312"/>
          <w:kern w:val="0"/>
        </w:rPr>
        <w:t>十二五</w:t>
      </w:r>
      <w:r w:rsidRPr="00230395">
        <w:rPr>
          <w:rFonts w:ascii="楷体_GB2312" w:eastAsia="楷体_GB2312"/>
          <w:kern w:val="0"/>
        </w:rPr>
        <w:t>”</w:t>
      </w:r>
      <w:r w:rsidRPr="00230395">
        <w:rPr>
          <w:rFonts w:ascii="楷体_GB2312" w:eastAsia="楷体_GB2312"/>
          <w:kern w:val="0"/>
        </w:rPr>
        <w:t>期间现代煤化工项目实际投资额将达</w:t>
      </w:r>
      <w:r w:rsidRPr="00230395">
        <w:rPr>
          <w:rFonts w:ascii="楷体_GB2312" w:eastAsia="楷体_GB2312" w:hint="eastAsia"/>
          <w:kern w:val="0"/>
        </w:rPr>
        <w:t>6000-8000</w:t>
      </w:r>
      <w:r w:rsidRPr="00230395">
        <w:rPr>
          <w:rFonts w:ascii="楷体_GB2312" w:eastAsia="楷体_GB2312"/>
          <w:kern w:val="0"/>
        </w:rPr>
        <w:t>亿元，呈现逐年增加的</w:t>
      </w:r>
      <w:r w:rsidRPr="00230395">
        <w:rPr>
          <w:rFonts w:ascii="楷体_GB2312" w:eastAsia="楷体_GB2312" w:hint="eastAsia"/>
          <w:kern w:val="0"/>
        </w:rPr>
        <w:t>趋势，预计</w:t>
      </w:r>
      <w:r w:rsidRPr="00230395">
        <w:rPr>
          <w:rFonts w:ascii="楷体_GB2312" w:eastAsia="楷体_GB2312"/>
          <w:kern w:val="0"/>
        </w:rPr>
        <w:t>2012~2013年是投资增速的高峰期。</w:t>
      </w:r>
    </w:p>
    <w:p w:rsidR="00230395" w:rsidRPr="00230395" w:rsidRDefault="00230395" w:rsidP="00164BC2">
      <w:pPr>
        <w:numPr>
          <w:ilvl w:val="0"/>
          <w:numId w:val="5"/>
        </w:numPr>
        <w:tabs>
          <w:tab w:val="clear" w:pos="2040"/>
          <w:tab w:val="num" w:pos="2487"/>
        </w:tabs>
        <w:autoSpaceDE w:val="0"/>
        <w:autoSpaceDN w:val="0"/>
        <w:adjustRightInd w:val="0"/>
        <w:spacing w:after="240" w:line="320" w:lineRule="exact"/>
        <w:ind w:leftChars="1000" w:left="2457" w:hanging="357"/>
        <w:jc w:val="left"/>
        <w:rPr>
          <w:rFonts w:ascii="楷体_GB2312" w:eastAsia="楷体_GB2312"/>
          <w:kern w:val="0"/>
        </w:rPr>
      </w:pPr>
      <w:r w:rsidRPr="00230395">
        <w:rPr>
          <w:rFonts w:ascii="楷体_GB2312" w:eastAsia="楷体_GB2312" w:hint="eastAsia"/>
          <w:kern w:val="0"/>
        </w:rPr>
        <w:t>设备投资占总投资的45%。根据相关专业机构研究，现代煤化工项目的工艺流程越长设备投资所占的比重就越大。根据各类煤化工代表性项目的设备投资比例测算，“十二五”期间现代煤化工设备需求达3000-4000亿元。从投资金额角度，压力容器占设备比例最大，平均约45%；换热器和各种机泵次之，各占约15%；空分设备约占10%；管系占5%。</w:t>
      </w:r>
    </w:p>
    <w:p w:rsidR="00230395" w:rsidRPr="00230395" w:rsidRDefault="00230395" w:rsidP="00164BC2">
      <w:pPr>
        <w:pStyle w:val="af4"/>
        <w:numPr>
          <w:ilvl w:val="0"/>
          <w:numId w:val="5"/>
        </w:numPr>
        <w:tabs>
          <w:tab w:val="clear" w:pos="2040"/>
          <w:tab w:val="num" w:pos="2487"/>
        </w:tabs>
        <w:autoSpaceDE w:val="0"/>
        <w:autoSpaceDN w:val="0"/>
        <w:adjustRightInd w:val="0"/>
        <w:spacing w:after="240" w:line="320" w:lineRule="exact"/>
        <w:ind w:left="2457"/>
        <w:jc w:val="left"/>
        <w:rPr>
          <w:rFonts w:ascii="楷体_GB2312" w:hAnsi="Times New Roman" w:cs="Times New Roman"/>
          <w:color w:val="auto"/>
          <w:spacing w:val="0"/>
          <w:kern w:val="0"/>
          <w:szCs w:val="21"/>
        </w:rPr>
      </w:pPr>
      <w:r w:rsidRPr="00230395">
        <w:rPr>
          <w:rFonts w:ascii="楷体_GB2312" w:hAnsi="Times New Roman" w:cs="Times New Roman" w:hint="eastAsia"/>
          <w:color w:val="auto"/>
          <w:spacing w:val="0"/>
          <w:kern w:val="0"/>
          <w:szCs w:val="21"/>
        </w:rPr>
        <w:t>行业准入标准有望2012年初出台。</w:t>
      </w:r>
      <w:r w:rsidRPr="00230395">
        <w:rPr>
          <w:rFonts w:ascii="楷体_GB2312" w:hAnsi="Times New Roman" w:cs="Times New Roman"/>
          <w:color w:val="auto"/>
          <w:spacing w:val="0"/>
          <w:kern w:val="0"/>
          <w:szCs w:val="21"/>
        </w:rPr>
        <w:t>预计201</w:t>
      </w:r>
      <w:r w:rsidRPr="00230395">
        <w:rPr>
          <w:rFonts w:ascii="楷体_GB2312" w:hAnsi="Times New Roman" w:cs="Times New Roman" w:hint="eastAsia"/>
          <w:color w:val="auto"/>
          <w:spacing w:val="0"/>
          <w:kern w:val="0"/>
          <w:szCs w:val="21"/>
        </w:rPr>
        <w:t>2年初国家</w:t>
      </w:r>
      <w:r w:rsidRPr="00230395">
        <w:rPr>
          <w:rFonts w:ascii="楷体_GB2312" w:hAnsi="Times New Roman" w:cs="Times New Roman"/>
          <w:color w:val="auto"/>
          <w:spacing w:val="0"/>
          <w:kern w:val="0"/>
          <w:szCs w:val="21"/>
        </w:rPr>
        <w:t>将出台</w:t>
      </w:r>
      <w:r w:rsidRPr="00230395">
        <w:rPr>
          <w:rFonts w:ascii="楷体_GB2312" w:hAnsi="Times New Roman" w:cs="Times New Roman" w:hint="eastAsia"/>
          <w:color w:val="auto"/>
          <w:spacing w:val="0"/>
          <w:kern w:val="0"/>
          <w:szCs w:val="21"/>
        </w:rPr>
        <w:t>“</w:t>
      </w:r>
      <w:r w:rsidRPr="00230395">
        <w:rPr>
          <w:rFonts w:ascii="楷体_GB2312" w:hAnsi="Times New Roman" w:cs="Times New Roman"/>
          <w:color w:val="auto"/>
          <w:spacing w:val="0"/>
          <w:kern w:val="0"/>
          <w:szCs w:val="21"/>
        </w:rPr>
        <w:t>十二五</w:t>
      </w:r>
      <w:r w:rsidRPr="00230395">
        <w:rPr>
          <w:rFonts w:ascii="楷体_GB2312" w:hAnsi="Times New Roman" w:cs="Times New Roman" w:hint="eastAsia"/>
          <w:color w:val="auto"/>
          <w:spacing w:val="0"/>
          <w:kern w:val="0"/>
          <w:szCs w:val="21"/>
        </w:rPr>
        <w:t>”</w:t>
      </w:r>
      <w:r w:rsidRPr="00230395">
        <w:rPr>
          <w:rFonts w:ascii="楷体_GB2312" w:hAnsi="Times New Roman" w:cs="Times New Roman"/>
          <w:color w:val="auto"/>
          <w:spacing w:val="0"/>
          <w:kern w:val="0"/>
          <w:szCs w:val="21"/>
        </w:rPr>
        <w:t>期间煤炭深加工行业的准入标准。我们判断，标准出台后，对现代煤化工项目的审批将有明晰的指标作为依据，符合标准的项目可陆续获得国家发改委的批文。预计2012年1季度就可有包括神华的煤制烯烃和煤制油以及新疆地区的煤制天然气等在内的数个项目正式启动，对煤化工装备板块的订单将有明显的推动作用。</w:t>
      </w:r>
    </w:p>
    <w:p w:rsidR="00230395" w:rsidRPr="00230395" w:rsidRDefault="00097DFD" w:rsidP="00230395">
      <w:pPr>
        <w:autoSpaceDE w:val="0"/>
        <w:autoSpaceDN w:val="0"/>
        <w:adjustRightInd w:val="0"/>
        <w:spacing w:after="240" w:line="320" w:lineRule="exact"/>
        <w:ind w:left="2457"/>
        <w:jc w:val="left"/>
        <w:rPr>
          <w:rFonts w:ascii="楷体_GB2312" w:eastAsia="楷体_GB2312"/>
          <w:kern w:val="0"/>
        </w:rPr>
      </w:pPr>
      <w:r>
        <w:rPr>
          <w:rFonts w:ascii="楷体_GB2312" w:eastAsia="楷体_GB2312"/>
          <w:kern w:val="0"/>
        </w:rPr>
        <w:pict>
          <v:shapetype id="_x0000_t32" coordsize="21600,21600" o:spt="32" o:oned="t" path="m,l21600,21600e" filled="f">
            <v:path arrowok="t" fillok="f" o:connecttype="none"/>
            <o:lock v:ext="edit" shapetype="t"/>
          </v:shapetype>
          <v:shape id="_x0000_s1032" type="#_x0000_t32" style="position:absolute;left:0;text-align:left;margin-left:271.6pt;margin-top:27.45pt;width:252.1pt;height:0;z-index:251666432" o:connectortype="straight"/>
        </w:pict>
      </w:r>
      <w:r>
        <w:rPr>
          <w:rFonts w:ascii="楷体_GB2312" w:eastAsia="楷体_GB2312"/>
          <w:kern w:val="0"/>
        </w:rPr>
        <w:pict>
          <v:shape id="_x0000_s1033" type="#_x0000_t32" style="position:absolute;left:0;text-align:left;margin-left:271.6pt;margin-top:188.35pt;width:252.1pt;height:0;z-index:251667456" o:connectortype="straight"/>
        </w:pict>
      </w:r>
      <w:r>
        <w:rPr>
          <w:rFonts w:ascii="楷体_GB2312" w:eastAsia="楷体_GB2312"/>
          <w:kern w:val="0"/>
        </w:rPr>
        <w:pict>
          <v:shape id="_x0000_s1031" type="#_x0000_t32" style="position:absolute;left:0;text-align:left;margin-left:-.55pt;margin-top:188.35pt;width:252.1pt;height:0;z-index:251665408" o:connectortype="straight"/>
        </w:pict>
      </w:r>
      <w:r>
        <w:rPr>
          <w:rFonts w:ascii="楷体_GB2312" w:eastAsia="楷体_GB2312"/>
          <w:kern w:val="0"/>
        </w:rPr>
        <w:pict>
          <v:shape id="_x0000_s1030" type="#_x0000_t32" style="position:absolute;left:0;text-align:left;margin-left:-.55pt;margin-top:27.45pt;width:252.1pt;height:0;z-index:251664384" o:connectortype="straight"/>
        </w:pict>
      </w:r>
      <w:r>
        <w:rPr>
          <w:rFonts w:ascii="楷体_GB2312" w:eastAsia="楷体_GB2312"/>
          <w:kern w:val="0"/>
        </w:rPr>
        <w:pict>
          <v:shapetype id="_x0000_t202" coordsize="21600,21600" o:spt="202" path="m,l,21600r21600,l21600,xe">
            <v:stroke joinstyle="miter"/>
            <v:path gradientshapeok="t" o:connecttype="rect"/>
          </v:shapetype>
          <v:shape id="_x0000_s1029" type="#_x0000_t202" style="position:absolute;left:0;text-align:left;margin-left:270.2pt;margin-top:5.45pt;width:253.5pt;height:22pt;z-index:251663360" filled="f" stroked="f">
            <v:textbox>
              <w:txbxContent>
                <w:p w:rsidR="00F5321D" w:rsidRPr="00884DDD" w:rsidRDefault="00F5321D" w:rsidP="00230395">
                  <w:pPr>
                    <w:rPr>
                      <w:b/>
                    </w:rPr>
                  </w:pPr>
                  <w:r w:rsidRPr="00884DDD">
                    <w:rPr>
                      <w:rFonts w:hint="eastAsia"/>
                      <w:b/>
                    </w:rPr>
                    <w:t>图</w:t>
                  </w:r>
                  <w:r>
                    <w:rPr>
                      <w:rFonts w:hint="eastAsia"/>
                      <w:b/>
                    </w:rPr>
                    <w:t>2</w:t>
                  </w:r>
                  <w:r w:rsidRPr="00884DDD">
                    <w:rPr>
                      <w:rFonts w:hint="eastAsia"/>
                      <w:b/>
                    </w:rPr>
                    <w:t xml:space="preserve"> </w:t>
                  </w:r>
                  <w:r>
                    <w:rPr>
                      <w:rFonts w:hint="eastAsia"/>
                      <w:b/>
                    </w:rPr>
                    <w:t>“</w:t>
                  </w:r>
                  <w:r w:rsidRPr="00884DDD">
                    <w:rPr>
                      <w:rFonts w:hint="eastAsia"/>
                      <w:b/>
                    </w:rPr>
                    <w:t>十二五</w:t>
                  </w:r>
                  <w:r>
                    <w:rPr>
                      <w:rFonts w:hint="eastAsia"/>
                      <w:b/>
                    </w:rPr>
                    <w:t>”</w:t>
                  </w:r>
                  <w:r w:rsidRPr="00884DDD">
                    <w:rPr>
                      <w:rFonts w:hint="eastAsia"/>
                      <w:b/>
                    </w:rPr>
                    <w:t>煤化工</w:t>
                  </w:r>
                  <w:r>
                    <w:rPr>
                      <w:rFonts w:hint="eastAsia"/>
                      <w:b/>
                    </w:rPr>
                    <w:t>设备需求构成</w:t>
                  </w:r>
                </w:p>
              </w:txbxContent>
            </v:textbox>
          </v:shape>
        </w:pict>
      </w:r>
      <w:r>
        <w:rPr>
          <w:rFonts w:ascii="楷体_GB2312" w:eastAsia="楷体_GB2312"/>
          <w:kern w:val="0"/>
        </w:rPr>
        <w:pict>
          <v:shape id="_x0000_s1028" type="#_x0000_t202" style="position:absolute;left:0;text-align:left;margin-left:-.55pt;margin-top:5.45pt;width:253.5pt;height:22pt;z-index:251662336" filled="f" stroked="f">
            <v:textbox>
              <w:txbxContent>
                <w:p w:rsidR="00F5321D" w:rsidRPr="00884DDD" w:rsidRDefault="00F5321D" w:rsidP="00230395">
                  <w:pPr>
                    <w:rPr>
                      <w:b/>
                    </w:rPr>
                  </w:pPr>
                  <w:r w:rsidRPr="00884DDD">
                    <w:rPr>
                      <w:rFonts w:hint="eastAsia"/>
                      <w:b/>
                    </w:rPr>
                    <w:t>图</w:t>
                  </w:r>
                  <w:r w:rsidRPr="00884DDD">
                    <w:rPr>
                      <w:rFonts w:hint="eastAsia"/>
                      <w:b/>
                    </w:rPr>
                    <w:t xml:space="preserve">1  </w:t>
                  </w:r>
                  <w:r>
                    <w:rPr>
                      <w:rFonts w:hint="eastAsia"/>
                      <w:b/>
                    </w:rPr>
                    <w:t>“</w:t>
                  </w:r>
                  <w:r w:rsidRPr="00884DDD">
                    <w:rPr>
                      <w:rFonts w:hint="eastAsia"/>
                      <w:b/>
                    </w:rPr>
                    <w:t>十二五</w:t>
                  </w:r>
                  <w:r>
                    <w:rPr>
                      <w:rFonts w:hint="eastAsia"/>
                      <w:b/>
                    </w:rPr>
                    <w:t>”</w:t>
                  </w:r>
                  <w:r w:rsidRPr="00884DDD">
                    <w:rPr>
                      <w:rFonts w:hint="eastAsia"/>
                      <w:b/>
                    </w:rPr>
                    <w:t>煤化工项目投资预测</w:t>
                  </w:r>
                </w:p>
              </w:txbxContent>
            </v:textbox>
          </v:shape>
        </w:pict>
      </w:r>
      <w:r>
        <w:rPr>
          <w:rFonts w:ascii="楷体_GB2312" w:eastAsia="楷体_GB2312"/>
          <w:kern w:val="0"/>
        </w:rPr>
        <w:pict>
          <v:shape id="_x0000_s1026" type="#_x0000_t202" style="position:absolute;left:0;text-align:left;margin-left:-.55pt;margin-top:27.45pt;width:252.1pt;height:160.9pt;z-index:251660288;mso-wrap-style:none" filled="f" stroked="f">
            <v:textbox style="mso-fit-shape-to-text:t">
              <w:txbxContent>
                <w:p w:rsidR="00F5321D" w:rsidRDefault="00F5321D" w:rsidP="00230395">
                  <w:r>
                    <w:rPr>
                      <w:rFonts w:cs="Arial"/>
                      <w:noProof/>
                    </w:rPr>
                    <w:drawing>
                      <wp:inline distT="0" distB="0" distL="0" distR="0">
                        <wp:extent cx="3019425" cy="1952625"/>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3019425" cy="1952625"/>
                                </a:xfrm>
                                <a:prstGeom prst="rect">
                                  <a:avLst/>
                                </a:prstGeom>
                                <a:noFill/>
                                <a:ln w="9525">
                                  <a:noFill/>
                                  <a:miter lim="800000"/>
                                  <a:headEnd/>
                                  <a:tailEnd/>
                                </a:ln>
                              </pic:spPr>
                            </pic:pic>
                          </a:graphicData>
                        </a:graphic>
                      </wp:inline>
                    </w:drawing>
                  </w:r>
                </w:p>
              </w:txbxContent>
            </v:textbox>
          </v:shape>
        </w:pict>
      </w:r>
      <w:r>
        <w:rPr>
          <w:rFonts w:ascii="楷体_GB2312" w:eastAsia="楷体_GB2312"/>
          <w:kern w:val="0"/>
        </w:rPr>
        <w:pict>
          <v:shape id="_x0000_s1027" type="#_x0000_t202" style="position:absolute;left:0;text-align:left;margin-left:270.2pt;margin-top:27.45pt;width:253.5pt;height:162.75pt;z-index:251661312" filled="f" stroked="f">
            <v:textbox>
              <w:txbxContent>
                <w:p w:rsidR="00F5321D" w:rsidRDefault="00F5321D" w:rsidP="00230395">
                  <w:r>
                    <w:rPr>
                      <w:rFonts w:cs="Arial"/>
                      <w:noProof/>
                    </w:rPr>
                    <w:drawing>
                      <wp:inline distT="0" distB="0" distL="0" distR="0">
                        <wp:extent cx="3028950" cy="1914525"/>
                        <wp:effectExtent l="0" t="0" r="0"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3028950" cy="1914525"/>
                                </a:xfrm>
                                <a:prstGeom prst="rect">
                                  <a:avLst/>
                                </a:prstGeom>
                                <a:noFill/>
                                <a:ln w="9525">
                                  <a:noFill/>
                                  <a:miter lim="800000"/>
                                  <a:headEnd/>
                                  <a:tailEnd/>
                                </a:ln>
                              </pic:spPr>
                            </pic:pic>
                          </a:graphicData>
                        </a:graphic>
                      </wp:inline>
                    </w:drawing>
                  </w:r>
                </w:p>
              </w:txbxContent>
            </v:textbox>
          </v:shape>
        </w:pict>
      </w:r>
    </w:p>
    <w:p w:rsidR="00230395" w:rsidRPr="00230395" w:rsidRDefault="00230395" w:rsidP="00230395">
      <w:pPr>
        <w:autoSpaceDE w:val="0"/>
        <w:autoSpaceDN w:val="0"/>
        <w:adjustRightInd w:val="0"/>
        <w:spacing w:after="240" w:line="320" w:lineRule="exact"/>
        <w:ind w:left="2457"/>
        <w:jc w:val="left"/>
        <w:rPr>
          <w:rFonts w:ascii="楷体_GB2312" w:eastAsia="楷体_GB2312"/>
          <w:kern w:val="0"/>
        </w:rPr>
      </w:pPr>
    </w:p>
    <w:p w:rsidR="00230395" w:rsidRPr="00230395" w:rsidRDefault="00230395" w:rsidP="00230395">
      <w:pPr>
        <w:autoSpaceDE w:val="0"/>
        <w:autoSpaceDN w:val="0"/>
        <w:adjustRightInd w:val="0"/>
        <w:spacing w:after="240" w:line="320" w:lineRule="exact"/>
        <w:ind w:left="2457"/>
        <w:jc w:val="left"/>
        <w:rPr>
          <w:rFonts w:ascii="楷体_GB2312" w:eastAsia="楷体_GB2312"/>
          <w:kern w:val="0"/>
        </w:rPr>
      </w:pPr>
    </w:p>
    <w:p w:rsidR="00230395" w:rsidRPr="00230395" w:rsidRDefault="00230395" w:rsidP="00230395">
      <w:pPr>
        <w:autoSpaceDE w:val="0"/>
        <w:autoSpaceDN w:val="0"/>
        <w:adjustRightInd w:val="0"/>
        <w:spacing w:after="240" w:line="320" w:lineRule="exact"/>
        <w:ind w:left="2457"/>
        <w:jc w:val="left"/>
        <w:rPr>
          <w:rFonts w:ascii="楷体_GB2312" w:eastAsia="楷体_GB2312"/>
          <w:kern w:val="0"/>
        </w:rPr>
      </w:pPr>
    </w:p>
    <w:p w:rsidR="00230395" w:rsidRPr="00230395" w:rsidRDefault="00230395" w:rsidP="00230395">
      <w:pPr>
        <w:autoSpaceDE w:val="0"/>
        <w:autoSpaceDN w:val="0"/>
        <w:adjustRightInd w:val="0"/>
        <w:spacing w:after="240" w:line="320" w:lineRule="exact"/>
        <w:ind w:left="2457"/>
        <w:jc w:val="left"/>
        <w:rPr>
          <w:rFonts w:ascii="楷体_GB2312" w:eastAsia="楷体_GB2312"/>
          <w:kern w:val="0"/>
        </w:rPr>
      </w:pPr>
    </w:p>
    <w:p w:rsidR="00230395" w:rsidRPr="00230395" w:rsidRDefault="00230395" w:rsidP="00230395">
      <w:pPr>
        <w:autoSpaceDE w:val="0"/>
        <w:autoSpaceDN w:val="0"/>
        <w:adjustRightInd w:val="0"/>
        <w:spacing w:after="240" w:line="320" w:lineRule="exact"/>
        <w:jc w:val="left"/>
        <w:rPr>
          <w:rFonts w:ascii="楷体_GB2312" w:eastAsia="楷体_GB2312"/>
          <w:kern w:val="0"/>
        </w:rPr>
      </w:pPr>
    </w:p>
    <w:p w:rsidR="00230395" w:rsidRPr="00230395" w:rsidRDefault="00230395" w:rsidP="00230395">
      <w:pPr>
        <w:autoSpaceDE w:val="0"/>
        <w:autoSpaceDN w:val="0"/>
        <w:adjustRightInd w:val="0"/>
        <w:spacing w:after="240" w:line="320" w:lineRule="exact"/>
        <w:jc w:val="left"/>
        <w:rPr>
          <w:rFonts w:ascii="楷体_GB2312" w:eastAsia="楷体_GB2312"/>
          <w:kern w:val="0"/>
        </w:rPr>
      </w:pPr>
    </w:p>
    <w:p w:rsidR="00230395" w:rsidRPr="00230395" w:rsidRDefault="00230395" w:rsidP="00230395">
      <w:pPr>
        <w:autoSpaceDE w:val="0"/>
        <w:autoSpaceDN w:val="0"/>
        <w:adjustRightInd w:val="0"/>
        <w:spacing w:after="240" w:line="320" w:lineRule="exact"/>
        <w:jc w:val="left"/>
        <w:rPr>
          <w:rFonts w:ascii="楷体_GB2312" w:eastAsia="楷体_GB2312"/>
          <w:kern w:val="0"/>
        </w:rPr>
      </w:pPr>
      <w:r w:rsidRPr="00230395">
        <w:rPr>
          <w:rFonts w:ascii="楷体_GB2312" w:eastAsia="楷体_GB2312" w:hint="eastAsia"/>
          <w:kern w:val="0"/>
        </w:rPr>
        <w:t>数据来源：国信证券研究所                                     数据来源：《现代煤化工》</w:t>
      </w:r>
    </w:p>
    <w:p w:rsidR="00230395" w:rsidRPr="00BF2955" w:rsidRDefault="00230395" w:rsidP="00BF2955">
      <w:pPr>
        <w:autoSpaceDE w:val="0"/>
        <w:autoSpaceDN w:val="0"/>
        <w:adjustRightInd w:val="0"/>
        <w:spacing w:after="240" w:line="320" w:lineRule="exact"/>
        <w:ind w:firstLineChars="1050" w:firstLine="2214"/>
        <w:jc w:val="left"/>
        <w:rPr>
          <w:rFonts w:ascii="楷体_GB2312" w:eastAsia="楷体_GB2312"/>
          <w:b/>
          <w:kern w:val="0"/>
        </w:rPr>
      </w:pPr>
      <w:r w:rsidRPr="00BF2955">
        <w:rPr>
          <w:rFonts w:ascii="楷体_GB2312" w:eastAsia="楷体_GB2312" w:hint="eastAsia"/>
          <w:b/>
          <w:kern w:val="0"/>
        </w:rPr>
        <w:t>煤炭机械：需求稳定增长，行业加速整合</w:t>
      </w:r>
    </w:p>
    <w:p w:rsidR="00230395" w:rsidRPr="00230395" w:rsidRDefault="00230395" w:rsidP="00164BC2">
      <w:pPr>
        <w:numPr>
          <w:ilvl w:val="0"/>
          <w:numId w:val="5"/>
        </w:numPr>
        <w:tabs>
          <w:tab w:val="clear" w:pos="2040"/>
          <w:tab w:val="num" w:pos="2487"/>
        </w:tabs>
        <w:autoSpaceDE w:val="0"/>
        <w:autoSpaceDN w:val="0"/>
        <w:adjustRightInd w:val="0"/>
        <w:spacing w:after="240" w:line="320" w:lineRule="exact"/>
        <w:ind w:leftChars="1000" w:left="2457" w:hanging="357"/>
        <w:jc w:val="left"/>
        <w:rPr>
          <w:rFonts w:ascii="楷体_GB2312" w:eastAsia="楷体_GB2312"/>
          <w:kern w:val="0"/>
        </w:rPr>
      </w:pPr>
      <w:r w:rsidRPr="00230395">
        <w:rPr>
          <w:rFonts w:ascii="楷体_GB2312" w:eastAsia="楷体_GB2312" w:hint="eastAsia"/>
          <w:kern w:val="0"/>
        </w:rPr>
        <w:t>煤炭行业收入、盈利保持稳定增长。煤炭作为能源品的地位相比世界平均水平更加重要，消费量远超过石油和天然气，而且煤炭消费量仍处在快速上升的趋势之中。今年前十个月，我国原煤产量保持了12.2%的增长速度，相比远高于石油1.28%的增速。今年前九个月，煤矿采选业主营收入同比增长达42.97%，利润同比增长为33.87%，行业保持良好的盈利状态。这也为煤炭生产企业进行设备投资提供了最基本的保障。</w:t>
      </w:r>
    </w:p>
    <w:p w:rsidR="00230395" w:rsidRPr="00230395" w:rsidRDefault="00230395" w:rsidP="00164BC2">
      <w:pPr>
        <w:numPr>
          <w:ilvl w:val="0"/>
          <w:numId w:val="5"/>
        </w:numPr>
        <w:tabs>
          <w:tab w:val="clear" w:pos="2040"/>
          <w:tab w:val="num" w:pos="2487"/>
        </w:tabs>
        <w:autoSpaceDE w:val="0"/>
        <w:autoSpaceDN w:val="0"/>
        <w:adjustRightInd w:val="0"/>
        <w:spacing w:after="240" w:line="320" w:lineRule="exact"/>
        <w:ind w:leftChars="1000" w:left="2457" w:hanging="357"/>
        <w:jc w:val="left"/>
        <w:rPr>
          <w:rFonts w:ascii="楷体_GB2312" w:eastAsia="楷体_GB2312"/>
          <w:kern w:val="0"/>
        </w:rPr>
      </w:pPr>
      <w:r w:rsidRPr="00230395">
        <w:rPr>
          <w:rFonts w:ascii="楷体_GB2312" w:eastAsia="楷体_GB2312" w:hint="eastAsia"/>
          <w:kern w:val="0"/>
        </w:rPr>
        <w:t>未来五年行业增速有望保持20%。煤机行业未来五年的需求主要来自新矿投资采购、现有生产线机械化率提升以及更新换代三个方面。其中，新煤矿建设约需求预计1012.49亿元，煤矿整合后提高机械化率预计带来2194.89亿元需求，煤机更新换代需求1991.56亿元。则2011-2015年市场需求将为5198.94亿元，年复合增长率在20%左右。煤炭业“十二五”规划和安全生产规划的出台有力保证了煤机行业未来几年的增长，而地方政府的积极态度和避险系统建设完成截止时间提前至2013年年中或加速行业未来的增长。</w:t>
      </w:r>
    </w:p>
    <w:p w:rsidR="00230395" w:rsidRPr="00230395" w:rsidRDefault="00230395" w:rsidP="00164BC2">
      <w:pPr>
        <w:numPr>
          <w:ilvl w:val="0"/>
          <w:numId w:val="5"/>
        </w:numPr>
        <w:tabs>
          <w:tab w:val="clear" w:pos="2040"/>
          <w:tab w:val="num" w:pos="2487"/>
        </w:tabs>
        <w:autoSpaceDE w:val="0"/>
        <w:autoSpaceDN w:val="0"/>
        <w:adjustRightInd w:val="0"/>
        <w:spacing w:after="240" w:line="320" w:lineRule="exact"/>
        <w:ind w:leftChars="1000" w:left="2457" w:hanging="357"/>
        <w:jc w:val="left"/>
        <w:rPr>
          <w:rFonts w:ascii="楷体_GB2312" w:eastAsia="楷体_GB2312"/>
          <w:kern w:val="0"/>
        </w:rPr>
      </w:pPr>
      <w:r w:rsidRPr="00230395">
        <w:rPr>
          <w:rFonts w:ascii="楷体_GB2312" w:eastAsia="楷体_GB2312" w:hint="eastAsia"/>
          <w:kern w:val="0"/>
        </w:rPr>
        <w:t>救生</w:t>
      </w:r>
      <w:proofErr w:type="gramStart"/>
      <w:r w:rsidRPr="00230395">
        <w:rPr>
          <w:rFonts w:ascii="楷体_GB2312" w:eastAsia="楷体_GB2312" w:hint="eastAsia"/>
          <w:kern w:val="0"/>
        </w:rPr>
        <w:t>舱市场</w:t>
      </w:r>
      <w:proofErr w:type="gramEnd"/>
      <w:r w:rsidRPr="00230395">
        <w:rPr>
          <w:rFonts w:ascii="楷体_GB2312" w:eastAsia="楷体_GB2312" w:hint="eastAsia"/>
          <w:kern w:val="0"/>
        </w:rPr>
        <w:t>有望启动，市场容量近500</w:t>
      </w:r>
      <w:r w:rsidR="009A4AEB">
        <w:rPr>
          <w:rFonts w:ascii="楷体_GB2312" w:eastAsia="楷体_GB2312" w:hint="eastAsia"/>
          <w:kern w:val="0"/>
        </w:rPr>
        <w:t>亿元</w:t>
      </w:r>
      <w:r w:rsidRPr="00230395">
        <w:rPr>
          <w:rFonts w:ascii="楷体_GB2312" w:eastAsia="楷体_GB2312" w:hint="eastAsia"/>
          <w:kern w:val="0"/>
        </w:rPr>
        <w:t>。井下避险系统已成为国内煤矿安全工作的新的投入重点：11年3月下旬，国家安监总局和国家煤矿安监局联合下发了《煤矿井下安全避险“六大系统”建设完善基本规范（试行）》的通知。按照要求，2012年6月底前，所有煤（岩）与瓦斯（二氧化碳）突出矿井，中央企业和国有重点煤矿中的高瓦斯、开采容易自燃煤层的矿井，要完成紧急避险系统的建设完善工作，所有煤矿须于2013年6月底前全部完成改善工作。据不完全统计，国内煤矿大约有8,000座，则平均单产约为30,000吨/月，假设井下作业人员平均效率为5吨/工，按4班计算，则同一时刻苦平均井下作数人数为50人。假设有50%的煤矿采用移动救生舱，按每座煤矿配套使用4台最大容量16人的救生舱，单价150万元计算，则市场容量接近500亿元。</w:t>
      </w:r>
    </w:p>
    <w:p w:rsidR="00230395" w:rsidRPr="00230395" w:rsidRDefault="00230395" w:rsidP="00164BC2">
      <w:pPr>
        <w:numPr>
          <w:ilvl w:val="0"/>
          <w:numId w:val="5"/>
        </w:numPr>
        <w:tabs>
          <w:tab w:val="clear" w:pos="2040"/>
          <w:tab w:val="num" w:pos="2487"/>
        </w:tabs>
        <w:autoSpaceDE w:val="0"/>
        <w:autoSpaceDN w:val="0"/>
        <w:adjustRightInd w:val="0"/>
        <w:spacing w:after="240" w:line="320" w:lineRule="exact"/>
        <w:ind w:leftChars="1000" w:left="2457" w:hanging="357"/>
        <w:jc w:val="left"/>
        <w:rPr>
          <w:rFonts w:ascii="楷体_GB2312" w:eastAsia="楷体_GB2312"/>
          <w:kern w:val="0"/>
        </w:rPr>
      </w:pPr>
      <w:r w:rsidRPr="00230395">
        <w:rPr>
          <w:rFonts w:ascii="楷体_GB2312" w:eastAsia="楷体_GB2312" w:hint="eastAsia"/>
          <w:kern w:val="0"/>
        </w:rPr>
        <w:t>行业整合加速，龙头企业竞争力看好。2010年煤炭机械行业前10名企业合计市场份额仅有27%。制约企业市场份额提升的因素既有客户的采购习惯/偏好，也有煤机企业自身产品技术实力的问题。在2012年行业整体需求仍保持增长，但增长减速的背景下，企业如何应对竞争，整合国内外部资源，夯实市场地位，值得关注。2011年4季度，国际领先的煤机巨头并购中国的昔日煤机巨头，这是煤机业从分散走向集中的标志，也意味着将从简单竞争走向复杂竞争。2010年下半年以来上市郑煤机、山东矿机、林州重机等一批煤机企业上市，煤机行业的竞争格局还未发生重大变化。我们认为从久益环球收购国际煤机以及卡特匹勒的一系列举动来看，煤机行业将很快从分散的小企业竞争走向集中的大企业竞争，产品竞争也将由零散的产品、配件发展到成套、服务。</w:t>
      </w:r>
    </w:p>
    <w:p w:rsidR="00FB499A" w:rsidRDefault="00FB499A" w:rsidP="00230395">
      <w:pPr>
        <w:autoSpaceDE w:val="0"/>
        <w:autoSpaceDN w:val="0"/>
        <w:adjustRightInd w:val="0"/>
        <w:spacing w:after="240" w:line="320" w:lineRule="exact"/>
        <w:jc w:val="left"/>
        <w:rPr>
          <w:rFonts w:ascii="楷体_GB2312" w:eastAsia="楷体_GB2312"/>
          <w:kern w:val="0"/>
        </w:rPr>
      </w:pPr>
    </w:p>
    <w:p w:rsidR="00FB499A" w:rsidRDefault="00FB499A" w:rsidP="00230395">
      <w:pPr>
        <w:autoSpaceDE w:val="0"/>
        <w:autoSpaceDN w:val="0"/>
        <w:adjustRightInd w:val="0"/>
        <w:spacing w:after="240" w:line="320" w:lineRule="exact"/>
        <w:jc w:val="left"/>
        <w:rPr>
          <w:rFonts w:ascii="楷体_GB2312" w:eastAsia="楷体_GB2312"/>
          <w:kern w:val="0"/>
        </w:rPr>
      </w:pPr>
    </w:p>
    <w:p w:rsidR="00FB499A" w:rsidRDefault="00FB499A" w:rsidP="00230395">
      <w:pPr>
        <w:autoSpaceDE w:val="0"/>
        <w:autoSpaceDN w:val="0"/>
        <w:adjustRightInd w:val="0"/>
        <w:spacing w:after="240" w:line="320" w:lineRule="exact"/>
        <w:jc w:val="left"/>
        <w:rPr>
          <w:rFonts w:ascii="楷体_GB2312" w:eastAsia="楷体_GB2312"/>
          <w:kern w:val="0"/>
        </w:rPr>
      </w:pPr>
    </w:p>
    <w:p w:rsidR="00230395" w:rsidRPr="00230395" w:rsidRDefault="00097DFD" w:rsidP="00230395">
      <w:pPr>
        <w:autoSpaceDE w:val="0"/>
        <w:autoSpaceDN w:val="0"/>
        <w:adjustRightInd w:val="0"/>
        <w:spacing w:after="240" w:line="320" w:lineRule="exact"/>
        <w:jc w:val="left"/>
        <w:rPr>
          <w:rFonts w:ascii="楷体_GB2312" w:eastAsia="楷体_GB2312"/>
          <w:kern w:val="0"/>
        </w:rPr>
      </w:pPr>
      <w:r>
        <w:rPr>
          <w:rFonts w:ascii="楷体_GB2312" w:eastAsia="楷体_GB2312"/>
          <w:kern w:val="0"/>
        </w:rPr>
        <w:lastRenderedPageBreak/>
        <w:pict>
          <v:shape id="_x0000_s1037" type="#_x0000_t202" style="position:absolute;margin-left:262.7pt;margin-top:7.75pt;width:253.5pt;height:22pt;z-index:251671552" filled="f" stroked="f">
            <v:textbox>
              <w:txbxContent>
                <w:p w:rsidR="00F5321D" w:rsidRPr="00884DDD" w:rsidRDefault="00F5321D" w:rsidP="00230395">
                  <w:pPr>
                    <w:rPr>
                      <w:b/>
                    </w:rPr>
                  </w:pPr>
                  <w:r w:rsidRPr="00884DDD">
                    <w:rPr>
                      <w:rFonts w:hint="eastAsia"/>
                      <w:b/>
                    </w:rPr>
                    <w:t>图</w:t>
                  </w:r>
                  <w:r>
                    <w:rPr>
                      <w:rFonts w:hint="eastAsia"/>
                      <w:b/>
                    </w:rPr>
                    <w:t xml:space="preserve">4 </w:t>
                  </w:r>
                  <w:r w:rsidRPr="00884DDD">
                    <w:rPr>
                      <w:rFonts w:hint="eastAsia"/>
                      <w:b/>
                    </w:rPr>
                    <w:t xml:space="preserve"> </w:t>
                  </w:r>
                  <w:r>
                    <w:rPr>
                      <w:rFonts w:hint="eastAsia"/>
                      <w:b/>
                    </w:rPr>
                    <w:t>前</w:t>
                  </w:r>
                  <w:r>
                    <w:rPr>
                      <w:rFonts w:hint="eastAsia"/>
                      <w:b/>
                    </w:rPr>
                    <w:t>10</w:t>
                  </w:r>
                  <w:r>
                    <w:rPr>
                      <w:rFonts w:hint="eastAsia"/>
                      <w:b/>
                    </w:rPr>
                    <w:t>大煤机企业销售收入和市场份额</w:t>
                  </w:r>
                </w:p>
              </w:txbxContent>
            </v:textbox>
          </v:shape>
        </w:pict>
      </w:r>
      <w:r>
        <w:rPr>
          <w:rFonts w:ascii="楷体_GB2312" w:eastAsia="楷体_GB2312"/>
          <w:kern w:val="0"/>
        </w:rPr>
        <w:pict>
          <v:shape id="_x0000_s1036" type="#_x0000_t202" style="position:absolute;margin-left:-3.55pt;margin-top:7.75pt;width:253.5pt;height:22pt;z-index:251670528" filled="f" stroked="f">
            <v:textbox>
              <w:txbxContent>
                <w:p w:rsidR="00F5321D" w:rsidRPr="00884DDD" w:rsidRDefault="00F5321D" w:rsidP="00230395">
                  <w:pPr>
                    <w:rPr>
                      <w:b/>
                    </w:rPr>
                  </w:pPr>
                  <w:r w:rsidRPr="00884DDD">
                    <w:rPr>
                      <w:rFonts w:hint="eastAsia"/>
                      <w:b/>
                    </w:rPr>
                    <w:t>图</w:t>
                  </w:r>
                  <w:r>
                    <w:rPr>
                      <w:rFonts w:hint="eastAsia"/>
                      <w:b/>
                    </w:rPr>
                    <w:t xml:space="preserve">3 </w:t>
                  </w:r>
                  <w:r w:rsidRPr="00884DDD">
                    <w:rPr>
                      <w:rFonts w:hint="eastAsia"/>
                      <w:b/>
                    </w:rPr>
                    <w:t xml:space="preserve"> </w:t>
                  </w:r>
                  <w:r>
                    <w:rPr>
                      <w:rFonts w:hint="eastAsia"/>
                      <w:b/>
                    </w:rPr>
                    <w:t>煤炭行业固定资产投资构成</w:t>
                  </w:r>
                </w:p>
              </w:txbxContent>
            </v:textbox>
          </v:shape>
        </w:pict>
      </w:r>
    </w:p>
    <w:p w:rsidR="00230395" w:rsidRPr="00230395" w:rsidRDefault="00097DFD" w:rsidP="00230395">
      <w:pPr>
        <w:autoSpaceDE w:val="0"/>
        <w:autoSpaceDN w:val="0"/>
        <w:adjustRightInd w:val="0"/>
        <w:spacing w:after="240" w:line="320" w:lineRule="exact"/>
        <w:jc w:val="left"/>
        <w:rPr>
          <w:rFonts w:ascii="楷体_GB2312" w:eastAsia="楷体_GB2312"/>
          <w:kern w:val="0"/>
        </w:rPr>
      </w:pPr>
      <w:r>
        <w:rPr>
          <w:rFonts w:ascii="楷体_GB2312" w:eastAsia="楷体_GB2312"/>
          <w:kern w:val="0"/>
        </w:rPr>
        <w:pict>
          <v:shape id="_x0000_s1040" type="#_x0000_t32" style="position:absolute;margin-left:269.45pt;margin-top:5.2pt;width:252.1pt;height:0;z-index:251674624" o:connectortype="straight"/>
        </w:pict>
      </w:r>
      <w:r>
        <w:rPr>
          <w:rFonts w:ascii="楷体_GB2312" w:eastAsia="楷体_GB2312"/>
          <w:kern w:val="0"/>
        </w:rPr>
        <w:pict>
          <v:shape id="_x0000_s1041" type="#_x0000_t32" style="position:absolute;margin-left:269.45pt;margin-top:166.1pt;width:252.1pt;height:0;z-index:251675648" o:connectortype="straight"/>
        </w:pict>
      </w:r>
      <w:r>
        <w:rPr>
          <w:rFonts w:ascii="楷体_GB2312" w:eastAsia="楷体_GB2312"/>
          <w:kern w:val="0"/>
        </w:rPr>
        <w:pict>
          <v:shape id="_x0000_s1038" type="#_x0000_t32" style="position:absolute;margin-left:.95pt;margin-top:5.2pt;width:252.1pt;height:0;z-index:251672576" o:connectortype="straight"/>
        </w:pict>
      </w:r>
      <w:r>
        <w:rPr>
          <w:rFonts w:ascii="楷体_GB2312" w:eastAsia="楷体_GB2312"/>
          <w:kern w:val="0"/>
        </w:rPr>
        <w:pict>
          <v:shape id="_x0000_s1034" type="#_x0000_t202" style="position:absolute;margin-left:-3.55pt;margin-top:1.75pt;width:252.9pt;height:153.5pt;z-index:251668480;mso-wrap-style:none" filled="f" stroked="f">
            <v:textbox style="mso-fit-shape-to-text:t">
              <w:txbxContent>
                <w:p w:rsidR="00F5321D" w:rsidRDefault="00F5321D" w:rsidP="00230395">
                  <w:r>
                    <w:rPr>
                      <w:rFonts w:hint="eastAsia"/>
                      <w:noProof/>
                    </w:rPr>
                    <w:drawing>
                      <wp:inline distT="0" distB="0" distL="0" distR="0">
                        <wp:extent cx="3028950" cy="1857375"/>
                        <wp:effectExtent l="1905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3028950" cy="1857375"/>
                                </a:xfrm>
                                <a:prstGeom prst="rect">
                                  <a:avLst/>
                                </a:prstGeom>
                                <a:noFill/>
                                <a:ln w="9525">
                                  <a:noFill/>
                                  <a:miter lim="800000"/>
                                  <a:headEnd/>
                                  <a:tailEnd/>
                                </a:ln>
                              </pic:spPr>
                            </pic:pic>
                          </a:graphicData>
                        </a:graphic>
                      </wp:inline>
                    </w:drawing>
                  </w:r>
                </w:p>
              </w:txbxContent>
            </v:textbox>
          </v:shape>
        </w:pict>
      </w:r>
      <w:r>
        <w:rPr>
          <w:rFonts w:ascii="楷体_GB2312" w:eastAsia="楷体_GB2312"/>
          <w:kern w:val="0"/>
        </w:rPr>
        <w:pict>
          <v:shape id="_x0000_s1035" type="#_x0000_t202" style="position:absolute;margin-left:262.7pt;margin-top:1.75pt;width:253.5pt;height:156.75pt;z-index:251669504" filled="f" stroked="f">
            <v:textbox>
              <w:txbxContent>
                <w:p w:rsidR="00F5321D" w:rsidRDefault="00F5321D" w:rsidP="00230395">
                  <w:r>
                    <w:rPr>
                      <w:rFonts w:hint="eastAsia"/>
                      <w:noProof/>
                    </w:rPr>
                    <w:drawing>
                      <wp:inline distT="0" distB="0" distL="0" distR="0">
                        <wp:extent cx="3019425" cy="1781175"/>
                        <wp:effectExtent l="19050" t="0" r="952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3019425" cy="1781175"/>
                                </a:xfrm>
                                <a:prstGeom prst="rect">
                                  <a:avLst/>
                                </a:prstGeom>
                                <a:noFill/>
                                <a:ln w="9525">
                                  <a:noFill/>
                                  <a:miter lim="800000"/>
                                  <a:headEnd/>
                                  <a:tailEnd/>
                                </a:ln>
                              </pic:spPr>
                            </pic:pic>
                          </a:graphicData>
                        </a:graphic>
                      </wp:inline>
                    </w:drawing>
                  </w:r>
                </w:p>
              </w:txbxContent>
            </v:textbox>
          </v:shape>
        </w:pict>
      </w:r>
    </w:p>
    <w:p w:rsidR="00230395" w:rsidRPr="00230395" w:rsidRDefault="00230395" w:rsidP="00230395">
      <w:pPr>
        <w:autoSpaceDE w:val="0"/>
        <w:autoSpaceDN w:val="0"/>
        <w:adjustRightInd w:val="0"/>
        <w:spacing w:after="240" w:line="320" w:lineRule="exact"/>
        <w:jc w:val="left"/>
        <w:rPr>
          <w:rFonts w:ascii="楷体_GB2312" w:eastAsia="楷体_GB2312"/>
          <w:kern w:val="0"/>
        </w:rPr>
      </w:pPr>
    </w:p>
    <w:p w:rsidR="00230395" w:rsidRPr="00230395" w:rsidRDefault="00230395" w:rsidP="00230395">
      <w:pPr>
        <w:autoSpaceDE w:val="0"/>
        <w:autoSpaceDN w:val="0"/>
        <w:adjustRightInd w:val="0"/>
        <w:spacing w:after="240" w:line="320" w:lineRule="exact"/>
        <w:jc w:val="left"/>
        <w:rPr>
          <w:rFonts w:ascii="楷体_GB2312" w:eastAsia="楷体_GB2312"/>
          <w:kern w:val="0"/>
        </w:rPr>
      </w:pPr>
    </w:p>
    <w:p w:rsidR="00230395" w:rsidRPr="00230395" w:rsidRDefault="00230395" w:rsidP="00230395">
      <w:pPr>
        <w:autoSpaceDE w:val="0"/>
        <w:autoSpaceDN w:val="0"/>
        <w:adjustRightInd w:val="0"/>
        <w:spacing w:after="240" w:line="320" w:lineRule="exact"/>
        <w:jc w:val="left"/>
        <w:rPr>
          <w:rFonts w:ascii="楷体_GB2312" w:eastAsia="楷体_GB2312"/>
          <w:kern w:val="0"/>
        </w:rPr>
      </w:pPr>
    </w:p>
    <w:p w:rsidR="00230395" w:rsidRPr="00230395" w:rsidRDefault="00230395" w:rsidP="00230395">
      <w:pPr>
        <w:autoSpaceDE w:val="0"/>
        <w:autoSpaceDN w:val="0"/>
        <w:adjustRightInd w:val="0"/>
        <w:spacing w:after="240" w:line="320" w:lineRule="exact"/>
        <w:jc w:val="left"/>
        <w:rPr>
          <w:rFonts w:ascii="楷体_GB2312" w:eastAsia="楷体_GB2312"/>
          <w:kern w:val="0"/>
        </w:rPr>
      </w:pPr>
    </w:p>
    <w:p w:rsidR="00230395" w:rsidRPr="00230395" w:rsidRDefault="00097DFD" w:rsidP="00230395">
      <w:pPr>
        <w:autoSpaceDE w:val="0"/>
        <w:autoSpaceDN w:val="0"/>
        <w:adjustRightInd w:val="0"/>
        <w:spacing w:after="240" w:line="320" w:lineRule="exact"/>
        <w:jc w:val="left"/>
        <w:rPr>
          <w:rFonts w:ascii="楷体_GB2312" w:eastAsia="楷体_GB2312"/>
          <w:kern w:val="0"/>
        </w:rPr>
      </w:pPr>
      <w:r>
        <w:rPr>
          <w:rFonts w:ascii="楷体_GB2312" w:eastAsia="楷体_GB2312"/>
          <w:kern w:val="0"/>
        </w:rPr>
        <w:pict>
          <v:shape id="_x0000_s1039" type="#_x0000_t32" style="position:absolute;margin-left:.95pt;margin-top:26.1pt;width:252.1pt;height:0;z-index:251673600" o:connectortype="straight"/>
        </w:pict>
      </w:r>
    </w:p>
    <w:p w:rsidR="00230395" w:rsidRPr="00230395" w:rsidRDefault="00230395" w:rsidP="00230395">
      <w:pPr>
        <w:autoSpaceDE w:val="0"/>
        <w:autoSpaceDN w:val="0"/>
        <w:adjustRightInd w:val="0"/>
        <w:spacing w:after="240" w:line="320" w:lineRule="exact"/>
        <w:jc w:val="left"/>
        <w:rPr>
          <w:rFonts w:ascii="楷体_GB2312" w:eastAsia="楷体_GB2312"/>
          <w:kern w:val="0"/>
        </w:rPr>
      </w:pPr>
      <w:r w:rsidRPr="00230395">
        <w:rPr>
          <w:rFonts w:ascii="楷体_GB2312" w:eastAsia="楷体_GB2312" w:hint="eastAsia"/>
          <w:kern w:val="0"/>
        </w:rPr>
        <w:t>数据来源: 国家统计局                                        数据来源: 煤机行业协会</w:t>
      </w:r>
    </w:p>
    <w:p w:rsidR="00230395" w:rsidRPr="00BF2955" w:rsidRDefault="00230395" w:rsidP="00BF2955">
      <w:pPr>
        <w:autoSpaceDE w:val="0"/>
        <w:autoSpaceDN w:val="0"/>
        <w:adjustRightInd w:val="0"/>
        <w:spacing w:after="240" w:line="320" w:lineRule="exact"/>
        <w:ind w:firstLineChars="1050" w:firstLine="2214"/>
        <w:jc w:val="left"/>
        <w:rPr>
          <w:rFonts w:ascii="楷体_GB2312" w:eastAsia="楷体_GB2312"/>
          <w:b/>
          <w:kern w:val="0"/>
        </w:rPr>
      </w:pPr>
      <w:r w:rsidRPr="00BF2955">
        <w:rPr>
          <w:rFonts w:ascii="楷体_GB2312" w:eastAsia="楷体_GB2312" w:hint="eastAsia"/>
          <w:b/>
          <w:kern w:val="0"/>
        </w:rPr>
        <w:t>工业气体：通用设备转型的新蓝海</w:t>
      </w:r>
    </w:p>
    <w:p w:rsidR="00230395" w:rsidRPr="00230395" w:rsidRDefault="00230395" w:rsidP="00164BC2">
      <w:pPr>
        <w:numPr>
          <w:ilvl w:val="0"/>
          <w:numId w:val="5"/>
        </w:numPr>
        <w:tabs>
          <w:tab w:val="clear" w:pos="2040"/>
          <w:tab w:val="num" w:pos="2487"/>
        </w:tabs>
        <w:autoSpaceDE w:val="0"/>
        <w:autoSpaceDN w:val="0"/>
        <w:adjustRightInd w:val="0"/>
        <w:spacing w:after="240" w:line="320" w:lineRule="exact"/>
        <w:ind w:leftChars="1000" w:left="2457" w:hanging="357"/>
        <w:jc w:val="left"/>
        <w:rPr>
          <w:rFonts w:ascii="楷体_GB2312" w:eastAsia="楷体_GB2312"/>
          <w:kern w:val="0"/>
        </w:rPr>
      </w:pPr>
      <w:r w:rsidRPr="00230395">
        <w:rPr>
          <w:rFonts w:ascii="楷体_GB2312" w:eastAsia="楷体_GB2312" w:hint="eastAsia"/>
          <w:kern w:val="0"/>
        </w:rPr>
        <w:t>市场化程度正不断提升。工业气体用途广泛，其下游包括冶金、化学、焊接、电子、玻璃、食品、热处理及其他行业。冶金及化工消耗的工业气体种类及数量为各个行业之首，合计约占60%；而使用量最高的产品则为氧气及氮气。根据美国SAI统计，2010年中国工业气体需求规模约为377亿元，其中用户企业自有设备供气供合193亿元，外部的销售市场达到184亿元。由于现场制气和管道供气在成本上的优势，不断有企业将存量空分设备转让给供气商进行经营，或者新建项目时由供气商购买设备建设供气，因此其市场化程度不断提高。外部供气（即市场化的部分）占全部需求的比重，已经从2008年的41%上升到2010年的49%，SAI进一步预计2015年这一比例可达到55%。这意味着专业气体商能获得比行业平均更快的增长速度。</w:t>
      </w:r>
    </w:p>
    <w:p w:rsidR="00230395" w:rsidRPr="00230395" w:rsidRDefault="00230395" w:rsidP="00164BC2">
      <w:pPr>
        <w:numPr>
          <w:ilvl w:val="0"/>
          <w:numId w:val="5"/>
        </w:numPr>
        <w:tabs>
          <w:tab w:val="clear" w:pos="2040"/>
          <w:tab w:val="num" w:pos="2487"/>
        </w:tabs>
        <w:autoSpaceDE w:val="0"/>
        <w:autoSpaceDN w:val="0"/>
        <w:adjustRightInd w:val="0"/>
        <w:spacing w:after="240" w:line="320" w:lineRule="exact"/>
        <w:ind w:leftChars="1000" w:left="2457" w:hanging="357"/>
        <w:jc w:val="left"/>
        <w:rPr>
          <w:rFonts w:ascii="楷体_GB2312" w:eastAsia="楷体_GB2312"/>
          <w:kern w:val="0"/>
        </w:rPr>
      </w:pPr>
      <w:r w:rsidRPr="00230395">
        <w:rPr>
          <w:rFonts w:ascii="楷体_GB2312" w:eastAsia="楷体_GB2312" w:hint="eastAsia"/>
          <w:kern w:val="0"/>
        </w:rPr>
        <w:t>设备企业转型工业气体有着明显优势。资金实力、行业积累、项目经验是工业气体商所必需的三大竞争要素。由于气体业务是长期经营的项目，并且需要较强的资金实力，因此最早开发国内气体市场的都是跨国企业。这些企业以现场制气的大装置为基础，通过“大客户保底销售</w:t>
      </w:r>
      <w:r w:rsidRPr="00230395">
        <w:rPr>
          <w:rFonts w:ascii="楷体_GB2312" w:eastAsia="楷体_GB2312"/>
          <w:kern w:val="0"/>
        </w:rPr>
        <w:t>+</w:t>
      </w:r>
      <w:r w:rsidRPr="00230395">
        <w:rPr>
          <w:rFonts w:ascii="楷体_GB2312" w:eastAsia="楷体_GB2312" w:hint="eastAsia"/>
          <w:kern w:val="0"/>
        </w:rPr>
        <w:t>零售市场供气”的模式，形成一定的区域分布，集中于沿海沿江的经济发达地区。本土企业在上述三个方面实现突破后，正在凭借灵活、贴近、成本有效控制等优势，迅速追赶。</w:t>
      </w:r>
    </w:p>
    <w:p w:rsidR="00230395" w:rsidRDefault="00230395" w:rsidP="00164BC2">
      <w:pPr>
        <w:numPr>
          <w:ilvl w:val="0"/>
          <w:numId w:val="5"/>
        </w:numPr>
        <w:tabs>
          <w:tab w:val="clear" w:pos="2040"/>
          <w:tab w:val="num" w:pos="2487"/>
        </w:tabs>
        <w:autoSpaceDE w:val="0"/>
        <w:autoSpaceDN w:val="0"/>
        <w:adjustRightInd w:val="0"/>
        <w:spacing w:after="240" w:line="320" w:lineRule="exact"/>
        <w:ind w:leftChars="1000" w:left="2457" w:hanging="357"/>
        <w:jc w:val="left"/>
        <w:rPr>
          <w:rFonts w:ascii="楷体_GB2312" w:eastAsia="楷体_GB2312"/>
          <w:kern w:val="0"/>
        </w:rPr>
      </w:pPr>
      <w:r w:rsidRPr="00230395">
        <w:rPr>
          <w:rFonts w:ascii="楷体_GB2312" w:eastAsia="楷体_GB2312" w:hint="eastAsia"/>
          <w:kern w:val="0"/>
        </w:rPr>
        <w:t>煤化工气体市场有望爆发。目前冶金行业已广泛接受了外部供气服务，而一些大型的煤化工项目供气正在启动，此类项目规模巨大，影响深远。以法液空集团为例，</w:t>
      </w:r>
      <w:r w:rsidRPr="00230395">
        <w:rPr>
          <w:rFonts w:ascii="楷体_GB2312" w:eastAsia="楷体_GB2312"/>
          <w:kern w:val="0"/>
        </w:rPr>
        <w:t>2011</w:t>
      </w:r>
      <w:r w:rsidRPr="00230395">
        <w:rPr>
          <w:rFonts w:ascii="楷体_GB2312" w:eastAsia="楷体_GB2312" w:hint="eastAsia"/>
          <w:kern w:val="0"/>
        </w:rPr>
        <w:t>年</w:t>
      </w:r>
      <w:r w:rsidRPr="00230395">
        <w:rPr>
          <w:rFonts w:ascii="楷体_GB2312" w:eastAsia="楷体_GB2312"/>
          <w:kern w:val="0"/>
        </w:rPr>
        <w:t>11</w:t>
      </w:r>
      <w:r w:rsidRPr="00230395">
        <w:rPr>
          <w:rFonts w:ascii="楷体_GB2312" w:eastAsia="楷体_GB2312" w:hint="eastAsia"/>
          <w:kern w:val="0"/>
        </w:rPr>
        <w:t>月与中国石化茂名公司签订协议成立合资公司，建设</w:t>
      </w:r>
      <w:r w:rsidRPr="00230395">
        <w:rPr>
          <w:rFonts w:ascii="楷体_GB2312" w:eastAsia="楷体_GB2312"/>
          <w:kern w:val="0"/>
        </w:rPr>
        <w:t>9</w:t>
      </w:r>
      <w:r w:rsidRPr="00230395">
        <w:rPr>
          <w:rFonts w:ascii="楷体_GB2312" w:eastAsia="楷体_GB2312" w:hint="eastAsia"/>
          <w:kern w:val="0"/>
        </w:rPr>
        <w:t>万方的空分设备为后者的煤制氢项目提供氧气和氮气。对于煤化工制备化肥，其工艺比较成熟，主要风险来自于产能利用率的波动，但目前化肥生产装置大型化趋势明显，单个项目所需的投资额巨大，因此企业逐渐接受以较高的购气价格对供气商的风险进行补偿。对于新型煤化工项其风险来自于技术方面，而随着一些示范项目的持续运行，工艺路线逐渐成熟，因此供气商对于该类项目的兴趣也正在提高。</w:t>
      </w:r>
    </w:p>
    <w:p w:rsidR="00FB499A" w:rsidRPr="00230395" w:rsidRDefault="00FB499A" w:rsidP="00FB499A">
      <w:pPr>
        <w:autoSpaceDE w:val="0"/>
        <w:autoSpaceDN w:val="0"/>
        <w:adjustRightInd w:val="0"/>
        <w:spacing w:after="240" w:line="320" w:lineRule="exact"/>
        <w:ind w:left="2457"/>
        <w:jc w:val="left"/>
        <w:rPr>
          <w:rFonts w:ascii="楷体_GB2312" w:eastAsia="楷体_GB2312"/>
          <w:kern w:val="0"/>
        </w:rPr>
      </w:pPr>
    </w:p>
    <w:p w:rsidR="00230395" w:rsidRPr="00230395" w:rsidRDefault="00097DFD" w:rsidP="00230395">
      <w:pPr>
        <w:autoSpaceDE w:val="0"/>
        <w:autoSpaceDN w:val="0"/>
        <w:adjustRightInd w:val="0"/>
        <w:spacing w:after="240" w:line="320" w:lineRule="exact"/>
        <w:jc w:val="left"/>
        <w:rPr>
          <w:rFonts w:ascii="楷体_GB2312" w:eastAsia="楷体_GB2312"/>
          <w:kern w:val="0"/>
        </w:rPr>
      </w:pPr>
      <w:r>
        <w:rPr>
          <w:rFonts w:ascii="楷体_GB2312" w:eastAsia="楷体_GB2312"/>
          <w:kern w:val="0"/>
        </w:rPr>
        <w:lastRenderedPageBreak/>
        <w:pict>
          <v:shape id="_x0000_s1048" type="#_x0000_t32" style="position:absolute;margin-left:271.7pt;margin-top:21.2pt;width:252.1pt;height:0;z-index:251682816" o:connectortype="straight"/>
        </w:pict>
      </w:r>
      <w:r>
        <w:rPr>
          <w:rFonts w:ascii="楷体_GB2312" w:eastAsia="楷体_GB2312"/>
          <w:kern w:val="0"/>
        </w:rPr>
        <w:pict>
          <v:shape id="_x0000_s1049" type="#_x0000_t32" style="position:absolute;margin-left:271.7pt;margin-top:182.1pt;width:252.1pt;height:0;z-index:251683840" o:connectortype="straight"/>
        </w:pict>
      </w:r>
      <w:r>
        <w:rPr>
          <w:rFonts w:ascii="楷体_GB2312" w:eastAsia="楷体_GB2312"/>
          <w:kern w:val="0"/>
        </w:rPr>
        <w:pict>
          <v:shape id="_x0000_s1046" type="#_x0000_t32" style="position:absolute;margin-left:-1.3pt;margin-top:21.2pt;width:252.1pt;height:0;z-index:251680768" o:connectortype="straight"/>
        </w:pict>
      </w:r>
      <w:r>
        <w:rPr>
          <w:rFonts w:ascii="楷体_GB2312" w:eastAsia="楷体_GB2312"/>
          <w:kern w:val="0"/>
        </w:rPr>
        <w:pict>
          <v:shape id="_x0000_s1045" type="#_x0000_t202" style="position:absolute;margin-left:271.7pt;margin-top:1.75pt;width:253.5pt;height:22pt;z-index:251679744" filled="f" stroked="f">
            <v:textbox>
              <w:txbxContent>
                <w:p w:rsidR="00F5321D" w:rsidRPr="00884DDD" w:rsidRDefault="00F5321D" w:rsidP="00230395">
                  <w:pPr>
                    <w:rPr>
                      <w:b/>
                    </w:rPr>
                  </w:pPr>
                  <w:r w:rsidRPr="00884DDD">
                    <w:rPr>
                      <w:rFonts w:hint="eastAsia"/>
                      <w:b/>
                    </w:rPr>
                    <w:t>图</w:t>
                  </w:r>
                  <w:r>
                    <w:rPr>
                      <w:rFonts w:hint="eastAsia"/>
                      <w:b/>
                    </w:rPr>
                    <w:t>6  2010</w:t>
                  </w:r>
                  <w:r>
                    <w:rPr>
                      <w:rFonts w:hint="eastAsia"/>
                      <w:b/>
                    </w:rPr>
                    <w:t>年国内气体商现场制气规模</w:t>
                  </w:r>
                </w:p>
              </w:txbxContent>
            </v:textbox>
          </v:shape>
        </w:pict>
      </w:r>
      <w:r>
        <w:rPr>
          <w:rFonts w:ascii="楷体_GB2312" w:eastAsia="楷体_GB2312"/>
          <w:kern w:val="0"/>
        </w:rPr>
        <w:pict>
          <v:shape id="_x0000_s1044" type="#_x0000_t202" style="position:absolute;margin-left:-6.55pt;margin-top:1.75pt;width:253.5pt;height:22pt;z-index:251678720" filled="f" stroked="f">
            <v:textbox>
              <w:txbxContent>
                <w:p w:rsidR="00F5321D" w:rsidRPr="00884DDD" w:rsidRDefault="00F5321D" w:rsidP="00230395">
                  <w:pPr>
                    <w:rPr>
                      <w:b/>
                    </w:rPr>
                  </w:pPr>
                  <w:r w:rsidRPr="00884DDD">
                    <w:rPr>
                      <w:rFonts w:hint="eastAsia"/>
                      <w:b/>
                    </w:rPr>
                    <w:t>图</w:t>
                  </w:r>
                  <w:r>
                    <w:rPr>
                      <w:rFonts w:hint="eastAsia"/>
                      <w:b/>
                    </w:rPr>
                    <w:t xml:space="preserve">5  </w:t>
                  </w:r>
                  <w:r>
                    <w:rPr>
                      <w:rFonts w:hint="eastAsia"/>
                      <w:b/>
                    </w:rPr>
                    <w:t>中国工业气体市场规模</w:t>
                  </w:r>
                </w:p>
              </w:txbxContent>
            </v:textbox>
          </v:shape>
        </w:pict>
      </w:r>
      <w:r>
        <w:rPr>
          <w:rFonts w:ascii="楷体_GB2312" w:eastAsia="楷体_GB2312"/>
          <w:kern w:val="0"/>
        </w:rPr>
        <w:pict>
          <v:shape id="_x0000_s1043" type="#_x0000_t202" style="position:absolute;margin-left:271.7pt;margin-top:23.75pt;width:255pt;height:155.25pt;z-index:251677696" filled="f" stroked="f">
            <v:textbox>
              <w:txbxContent>
                <w:p w:rsidR="00F5321D" w:rsidRDefault="00F5321D" w:rsidP="00230395">
                  <w:r>
                    <w:rPr>
                      <w:rFonts w:hint="eastAsia"/>
                      <w:noProof/>
                    </w:rPr>
                    <w:drawing>
                      <wp:inline distT="0" distB="0" distL="0" distR="0">
                        <wp:extent cx="3048000" cy="1838325"/>
                        <wp:effectExtent l="19050" t="0" r="0"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3048000" cy="1838325"/>
                                </a:xfrm>
                                <a:prstGeom prst="rect">
                                  <a:avLst/>
                                </a:prstGeom>
                                <a:noFill/>
                                <a:ln w="9525">
                                  <a:noFill/>
                                  <a:miter lim="800000"/>
                                  <a:headEnd/>
                                  <a:tailEnd/>
                                </a:ln>
                              </pic:spPr>
                            </pic:pic>
                          </a:graphicData>
                        </a:graphic>
                      </wp:inline>
                    </w:drawing>
                  </w:r>
                </w:p>
              </w:txbxContent>
            </v:textbox>
          </v:shape>
        </w:pict>
      </w:r>
      <w:r>
        <w:rPr>
          <w:rFonts w:ascii="楷体_GB2312" w:eastAsia="楷体_GB2312"/>
          <w:kern w:val="0"/>
        </w:rPr>
        <w:pict>
          <v:shape id="_x0000_s1042" type="#_x0000_t202" style="position:absolute;margin-left:1.7pt;margin-top:23.75pt;width:255pt;height:155.25pt;z-index:251676672" filled="f" stroked="f">
            <v:textbox>
              <w:txbxContent>
                <w:p w:rsidR="00F5321D" w:rsidRDefault="00F5321D" w:rsidP="00230395">
                  <w:r>
                    <w:rPr>
                      <w:rFonts w:hint="eastAsia"/>
                      <w:noProof/>
                    </w:rPr>
                    <w:drawing>
                      <wp:inline distT="0" distB="0" distL="0" distR="0">
                        <wp:extent cx="3048000" cy="1809750"/>
                        <wp:effectExtent l="19050" t="0" r="0"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3048000" cy="1809750"/>
                                </a:xfrm>
                                <a:prstGeom prst="rect">
                                  <a:avLst/>
                                </a:prstGeom>
                                <a:noFill/>
                                <a:ln w="9525">
                                  <a:noFill/>
                                  <a:miter lim="800000"/>
                                  <a:headEnd/>
                                  <a:tailEnd/>
                                </a:ln>
                              </pic:spPr>
                            </pic:pic>
                          </a:graphicData>
                        </a:graphic>
                      </wp:inline>
                    </w:drawing>
                  </w:r>
                </w:p>
              </w:txbxContent>
            </v:textbox>
          </v:shape>
        </w:pict>
      </w:r>
    </w:p>
    <w:p w:rsidR="00230395" w:rsidRPr="00230395" w:rsidRDefault="00230395" w:rsidP="00230395">
      <w:pPr>
        <w:autoSpaceDE w:val="0"/>
        <w:autoSpaceDN w:val="0"/>
        <w:adjustRightInd w:val="0"/>
        <w:spacing w:after="240" w:line="320" w:lineRule="exact"/>
        <w:jc w:val="left"/>
        <w:rPr>
          <w:rFonts w:ascii="楷体_GB2312" w:eastAsia="楷体_GB2312"/>
          <w:kern w:val="0"/>
        </w:rPr>
      </w:pPr>
    </w:p>
    <w:p w:rsidR="00230395" w:rsidRPr="00230395" w:rsidRDefault="00230395" w:rsidP="00230395">
      <w:pPr>
        <w:autoSpaceDE w:val="0"/>
        <w:autoSpaceDN w:val="0"/>
        <w:adjustRightInd w:val="0"/>
        <w:spacing w:after="240" w:line="320" w:lineRule="exact"/>
        <w:jc w:val="left"/>
        <w:rPr>
          <w:rFonts w:ascii="楷体_GB2312" w:eastAsia="楷体_GB2312"/>
          <w:kern w:val="0"/>
        </w:rPr>
      </w:pPr>
    </w:p>
    <w:p w:rsidR="00230395" w:rsidRPr="00230395" w:rsidRDefault="00230395" w:rsidP="00230395">
      <w:pPr>
        <w:autoSpaceDE w:val="0"/>
        <w:autoSpaceDN w:val="0"/>
        <w:adjustRightInd w:val="0"/>
        <w:spacing w:after="240" w:line="320" w:lineRule="exact"/>
        <w:jc w:val="left"/>
        <w:rPr>
          <w:rFonts w:ascii="楷体_GB2312" w:eastAsia="楷体_GB2312"/>
          <w:kern w:val="0"/>
        </w:rPr>
      </w:pPr>
    </w:p>
    <w:p w:rsidR="00230395" w:rsidRPr="00230395" w:rsidRDefault="00230395" w:rsidP="00230395">
      <w:pPr>
        <w:autoSpaceDE w:val="0"/>
        <w:autoSpaceDN w:val="0"/>
        <w:adjustRightInd w:val="0"/>
        <w:spacing w:after="240" w:line="320" w:lineRule="exact"/>
        <w:jc w:val="left"/>
        <w:rPr>
          <w:rFonts w:ascii="楷体_GB2312" w:eastAsia="楷体_GB2312"/>
          <w:kern w:val="0"/>
        </w:rPr>
      </w:pPr>
    </w:p>
    <w:p w:rsidR="00230395" w:rsidRPr="00230395" w:rsidRDefault="00230395" w:rsidP="00230395">
      <w:pPr>
        <w:autoSpaceDE w:val="0"/>
        <w:autoSpaceDN w:val="0"/>
        <w:adjustRightInd w:val="0"/>
        <w:spacing w:after="240" w:line="320" w:lineRule="exact"/>
        <w:jc w:val="left"/>
        <w:rPr>
          <w:rFonts w:ascii="楷体_GB2312" w:eastAsia="楷体_GB2312"/>
          <w:kern w:val="0"/>
        </w:rPr>
      </w:pPr>
    </w:p>
    <w:p w:rsidR="00230395" w:rsidRPr="00230395" w:rsidRDefault="00097DFD" w:rsidP="00230395">
      <w:pPr>
        <w:autoSpaceDE w:val="0"/>
        <w:autoSpaceDN w:val="0"/>
        <w:adjustRightInd w:val="0"/>
        <w:spacing w:after="240" w:line="320" w:lineRule="exact"/>
        <w:jc w:val="left"/>
        <w:rPr>
          <w:rFonts w:ascii="楷体_GB2312" w:eastAsia="楷体_GB2312"/>
          <w:kern w:val="0"/>
        </w:rPr>
      </w:pPr>
      <w:r>
        <w:rPr>
          <w:rFonts w:ascii="楷体_GB2312" w:eastAsia="楷体_GB2312"/>
          <w:kern w:val="0"/>
        </w:rPr>
        <w:pict>
          <v:shape id="_x0000_s1047" type="#_x0000_t32" style="position:absolute;margin-left:-1.3pt;margin-top:14.1pt;width:252.1pt;height:0;z-index:251681792" o:connectortype="straight"/>
        </w:pict>
      </w:r>
    </w:p>
    <w:p w:rsidR="00230395" w:rsidRPr="00230395" w:rsidRDefault="00230395" w:rsidP="00230395">
      <w:pPr>
        <w:autoSpaceDE w:val="0"/>
        <w:autoSpaceDN w:val="0"/>
        <w:adjustRightInd w:val="0"/>
        <w:jc w:val="left"/>
        <w:rPr>
          <w:rFonts w:ascii="楷体_GB2312" w:eastAsia="楷体_GB2312"/>
          <w:kern w:val="0"/>
        </w:rPr>
      </w:pPr>
      <w:r w:rsidRPr="00230395">
        <w:rPr>
          <w:rFonts w:ascii="楷体_GB2312" w:eastAsia="楷体_GB2312" w:hint="eastAsia"/>
          <w:kern w:val="0"/>
        </w:rPr>
        <w:t>数据来源: SAI                                                数据来源: SAI，各公司年报</w:t>
      </w:r>
    </w:p>
    <w:p w:rsidR="00B536F5" w:rsidRPr="00230395" w:rsidRDefault="00B536F5" w:rsidP="00B536F5">
      <w:pPr>
        <w:autoSpaceDE w:val="0"/>
        <w:autoSpaceDN w:val="0"/>
        <w:adjustRightInd w:val="0"/>
        <w:spacing w:line="320" w:lineRule="exact"/>
        <w:ind w:leftChars="1050" w:left="2205"/>
        <w:jc w:val="left"/>
        <w:rPr>
          <w:rFonts w:ascii="楷体_GB2312" w:eastAsia="楷体_GB2312"/>
          <w:kern w:val="0"/>
        </w:rPr>
      </w:pPr>
    </w:p>
    <w:p w:rsidR="00C205F5" w:rsidRPr="00230395" w:rsidRDefault="00C205F5" w:rsidP="00C205F5">
      <w:pPr>
        <w:autoSpaceDE w:val="0"/>
        <w:autoSpaceDN w:val="0"/>
        <w:adjustRightInd w:val="0"/>
        <w:spacing w:line="320" w:lineRule="exact"/>
        <w:jc w:val="left"/>
        <w:rPr>
          <w:rFonts w:ascii="楷体_GB2312" w:eastAsia="楷体_GB2312"/>
          <w:kern w:val="0"/>
        </w:rPr>
      </w:pPr>
    </w:p>
    <w:p w:rsidR="00097DFD" w:rsidRDefault="00FB499A" w:rsidP="008B0962">
      <w:pPr>
        <w:pStyle w:val="1"/>
        <w:numPr>
          <w:ilvl w:val="0"/>
          <w:numId w:val="4"/>
        </w:numPr>
        <w:spacing w:beforeLines="50" w:afterLines="50" w:line="480" w:lineRule="auto"/>
        <w:ind w:left="2705"/>
        <w:rPr>
          <w:rFonts w:ascii="楷体_GB2312" w:eastAsia="楷体_GB2312"/>
          <w:bCs w:val="0"/>
          <w:kern w:val="0"/>
          <w:sz w:val="21"/>
          <w:szCs w:val="21"/>
        </w:rPr>
      </w:pPr>
      <w:bookmarkStart w:id="45" w:name="_Toc313737757"/>
      <w:r w:rsidRPr="00FB499A">
        <w:rPr>
          <w:rFonts w:ascii="楷体_GB2312" w:eastAsia="楷体_GB2312" w:hint="eastAsia"/>
          <w:bCs w:val="0"/>
          <w:kern w:val="0"/>
          <w:sz w:val="21"/>
          <w:szCs w:val="21"/>
        </w:rPr>
        <w:t>轻工行业</w:t>
      </w:r>
      <w:bookmarkEnd w:id="45"/>
    </w:p>
    <w:p w:rsidR="00FB499A" w:rsidRPr="00FB499A" w:rsidRDefault="00B41CE9" w:rsidP="00FB499A">
      <w:pPr>
        <w:ind w:leftChars="1200" w:left="2520"/>
        <w:rPr>
          <w:rFonts w:ascii="楷体_GB2312" w:eastAsia="楷体_GB2312"/>
          <w:kern w:val="0"/>
        </w:rPr>
      </w:pPr>
      <w:r>
        <w:rPr>
          <w:rFonts w:ascii="楷体_GB2312" w:eastAsia="楷体_GB2312" w:hint="eastAsia"/>
          <w:kern w:val="0"/>
        </w:rPr>
        <w:t>轻工行业</w:t>
      </w:r>
      <w:r w:rsidR="00FB499A" w:rsidRPr="00FB499A">
        <w:rPr>
          <w:rFonts w:ascii="楷体_GB2312" w:eastAsia="楷体_GB2312" w:hint="eastAsia"/>
          <w:kern w:val="0"/>
        </w:rPr>
        <w:t>是距离终端消费很近的加工制造业，就需求而言，总体上表现为比较平稳，在经济和股市双低迷中，具有一定的防御性。但是子行业仍有区分：</w:t>
      </w:r>
    </w:p>
    <w:p w:rsidR="00FB499A" w:rsidRPr="00B41CE9" w:rsidRDefault="00FB499A" w:rsidP="00FB499A">
      <w:pPr>
        <w:ind w:leftChars="1200" w:left="2520" w:firstLineChars="50" w:firstLine="105"/>
        <w:rPr>
          <w:rFonts w:ascii="楷体_GB2312" w:eastAsia="楷体_GB2312"/>
          <w:kern w:val="0"/>
        </w:rPr>
      </w:pPr>
    </w:p>
    <w:p w:rsidR="00FB499A" w:rsidRPr="00FB499A" w:rsidRDefault="00FB499A" w:rsidP="00FB499A">
      <w:pPr>
        <w:ind w:leftChars="1200" w:left="2520" w:firstLineChars="50" w:firstLine="105"/>
        <w:rPr>
          <w:rFonts w:ascii="楷体_GB2312" w:eastAsia="楷体_GB2312"/>
          <w:kern w:val="0"/>
        </w:rPr>
      </w:pPr>
      <w:r w:rsidRPr="00FB499A">
        <w:rPr>
          <w:rFonts w:ascii="楷体_GB2312" w:eastAsia="楷体_GB2312" w:hint="eastAsia"/>
          <w:kern w:val="0"/>
        </w:rPr>
        <w:t>一、从市场定位看，在</w:t>
      </w:r>
      <w:r w:rsidRPr="00FB499A">
        <w:rPr>
          <w:rFonts w:ascii="楷体_GB2312" w:eastAsia="楷体_GB2312"/>
          <w:kern w:val="0"/>
        </w:rPr>
        <w:t>2012</w:t>
      </w:r>
      <w:r w:rsidRPr="00FB499A">
        <w:rPr>
          <w:rFonts w:ascii="楷体_GB2312" w:eastAsia="楷体_GB2312" w:hint="eastAsia"/>
          <w:kern w:val="0"/>
        </w:rPr>
        <w:t>年全球经济增速放缓的背景下，轻工行业企业因市场的内外销不同而持续分化，具有品牌渠道价值的内销型企业稳步成长；而外销型企业受人民币升值、原材料及人工成本上升影响，盈利出现下滑趋势。有一定品牌的家具，开始将国内作为销售重点的中档玩具都会从这样的趋势中受益。中国的香烟行业总体量的增长很低，但是企业获取更高利润依靠包装改善形象的特点决定相关包装产业的机会会持续增长，此外香烟包装领域的体制变革，给行业带来了新的重构机会。</w:t>
      </w:r>
    </w:p>
    <w:p w:rsidR="00FB499A" w:rsidRPr="00FB499A" w:rsidRDefault="00FB499A" w:rsidP="00FB499A">
      <w:pPr>
        <w:rPr>
          <w:rFonts w:ascii="楷体_GB2312" w:eastAsia="楷体_GB2312"/>
          <w:kern w:val="0"/>
        </w:rPr>
      </w:pPr>
    </w:p>
    <w:p w:rsidR="00FB499A" w:rsidRDefault="00FB499A" w:rsidP="00FB499A">
      <w:pPr>
        <w:ind w:leftChars="1200" w:left="2520" w:firstLineChars="50" w:firstLine="105"/>
        <w:rPr>
          <w:rFonts w:ascii="楷体_GB2312" w:eastAsia="楷体_GB2312"/>
          <w:kern w:val="0"/>
        </w:rPr>
      </w:pPr>
      <w:r w:rsidRPr="00FB499A">
        <w:rPr>
          <w:rFonts w:ascii="楷体_GB2312" w:eastAsia="楷体_GB2312" w:hint="eastAsia"/>
          <w:kern w:val="0"/>
        </w:rPr>
        <w:t>二、从客户层次定位看，大众消费品多为必需品，占居民收入比重低，价格敏感度低，经济低迷而其他消费受到抑制的时候，中低端消费甚至因为替代效益有逆势扩张的可能性。从发达国家经验来看，金融危机时期，欧美和日本大众消费下滑幅度小于奢侈消费。食品、饮料的包装就是明显的受益者。</w:t>
      </w:r>
    </w:p>
    <w:p w:rsidR="00951677" w:rsidRDefault="00951677" w:rsidP="00FB499A">
      <w:pPr>
        <w:ind w:leftChars="1200" w:left="2520" w:firstLineChars="50" w:firstLine="105"/>
        <w:rPr>
          <w:rFonts w:ascii="楷体_GB2312" w:eastAsia="楷体_GB2312"/>
          <w:kern w:val="0"/>
        </w:rPr>
      </w:pPr>
    </w:p>
    <w:p w:rsidR="00097DFD" w:rsidRDefault="00951677" w:rsidP="008B0962">
      <w:pPr>
        <w:pStyle w:val="1"/>
        <w:numPr>
          <w:ilvl w:val="0"/>
          <w:numId w:val="4"/>
        </w:numPr>
        <w:spacing w:beforeLines="50" w:afterLines="50" w:line="480" w:lineRule="auto"/>
        <w:ind w:left="2705"/>
        <w:rPr>
          <w:rFonts w:ascii="楷体_GB2312" w:eastAsia="楷体_GB2312"/>
          <w:bCs w:val="0"/>
          <w:kern w:val="0"/>
          <w:sz w:val="21"/>
          <w:szCs w:val="21"/>
        </w:rPr>
      </w:pPr>
      <w:bookmarkStart w:id="46" w:name="_Toc313737758"/>
      <w:r w:rsidRPr="00951677">
        <w:rPr>
          <w:rFonts w:ascii="楷体_GB2312" w:eastAsia="楷体_GB2312" w:hint="eastAsia"/>
          <w:bCs w:val="0"/>
          <w:kern w:val="0"/>
          <w:sz w:val="21"/>
          <w:szCs w:val="21"/>
        </w:rPr>
        <w:t>医药</w:t>
      </w:r>
      <w:bookmarkEnd w:id="46"/>
      <w:r w:rsidR="00EB0A35">
        <w:rPr>
          <w:rFonts w:ascii="楷体_GB2312" w:eastAsia="楷体_GB2312" w:hint="eastAsia"/>
          <w:bCs w:val="0"/>
          <w:kern w:val="0"/>
          <w:sz w:val="21"/>
          <w:szCs w:val="21"/>
        </w:rPr>
        <w:t>行业</w:t>
      </w:r>
    </w:p>
    <w:p w:rsidR="00951677" w:rsidRPr="00DD7CFD" w:rsidRDefault="00951677" w:rsidP="00951677">
      <w:pPr>
        <w:numPr>
          <w:ilvl w:val="0"/>
          <w:numId w:val="2"/>
        </w:numPr>
        <w:autoSpaceDE w:val="0"/>
        <w:autoSpaceDN w:val="0"/>
        <w:adjustRightInd w:val="0"/>
        <w:jc w:val="left"/>
        <w:rPr>
          <w:rFonts w:ascii="楷体_GB2312" w:eastAsia="楷体_GB2312" w:cs="楷体_GB2312"/>
          <w:color w:val="000000"/>
          <w:kern w:val="0"/>
        </w:rPr>
      </w:pPr>
      <w:r w:rsidRPr="00DD7CFD">
        <w:rPr>
          <w:rFonts w:ascii="楷体_GB2312" w:eastAsia="楷体_GB2312" w:cs="楷体_GB2312" w:hint="eastAsia"/>
          <w:b/>
          <w:color w:val="000000"/>
          <w:kern w:val="0"/>
        </w:rPr>
        <w:t>医药行业空间广阔，值得长期看好：</w:t>
      </w:r>
      <w:r w:rsidRPr="00DD7CFD">
        <w:rPr>
          <w:rFonts w:ascii="楷体_GB2312" w:eastAsia="楷体_GB2312" w:cs="楷体_GB2312" w:hint="eastAsia"/>
          <w:color w:val="000000"/>
          <w:kern w:val="0"/>
        </w:rPr>
        <w:t>医药行业是我们长期看好的一个行业，我国经济的不断发展，庞大的人口基数，城镇化率提升以及老龄化加剧都将支撑医药行业长期持续增长。过去几年是医药行业的“蜜月期”：政府在医疗卫生领域的支出巨大，建立了涵盖新农合、城镇居民、城镇职工在内的全民医保制度，个人卫生支出的比例显著降低，极大的促进了长期压抑的医疗需求的释放，医药卫生总费也呈现快速增长态势，从而带动</w:t>
      </w:r>
      <w:r>
        <w:rPr>
          <w:rFonts w:ascii="楷体_GB2312" w:eastAsia="楷体_GB2312" w:cs="楷体_GB2312" w:hint="eastAsia"/>
          <w:color w:val="000000"/>
          <w:kern w:val="0"/>
        </w:rPr>
        <w:t>了</w:t>
      </w:r>
      <w:r w:rsidRPr="00DD7CFD">
        <w:rPr>
          <w:rFonts w:ascii="楷体_GB2312" w:eastAsia="楷体_GB2312" w:cs="楷体_GB2312" w:hint="eastAsia"/>
          <w:color w:val="000000"/>
          <w:kern w:val="0"/>
        </w:rPr>
        <w:t>医药市场的快速扩容。医药企业也充分分享了这一波政策红利。目前，我国医疗卫生费用占GDP的比例还非常低，相对于其他国家还有很大的提升空间，医药行业的长期</w:t>
      </w:r>
      <w:r w:rsidRPr="00DD7CFD">
        <w:rPr>
          <w:rFonts w:ascii="楷体_GB2312" w:eastAsia="楷体_GB2312" w:cs="楷体_GB2312" w:hint="eastAsia"/>
          <w:color w:val="000000"/>
          <w:kern w:val="0"/>
        </w:rPr>
        <w:lastRenderedPageBreak/>
        <w:t>成长空间</w:t>
      </w:r>
      <w:r>
        <w:rPr>
          <w:rFonts w:ascii="楷体_GB2312" w:eastAsia="楷体_GB2312" w:cs="楷体_GB2312" w:hint="eastAsia"/>
          <w:color w:val="000000"/>
          <w:kern w:val="0"/>
        </w:rPr>
        <w:t>仍然</w:t>
      </w:r>
      <w:r w:rsidRPr="00DD7CFD">
        <w:rPr>
          <w:rFonts w:ascii="楷体_GB2312" w:eastAsia="楷体_GB2312" w:cs="楷体_GB2312" w:hint="eastAsia"/>
          <w:color w:val="000000"/>
          <w:kern w:val="0"/>
        </w:rPr>
        <w:t>广阔。</w:t>
      </w:r>
    </w:p>
    <w:p w:rsidR="00951677" w:rsidRPr="00E3193F" w:rsidRDefault="00951677" w:rsidP="00951677">
      <w:pPr>
        <w:pStyle w:val="a8"/>
        <w:ind w:firstLineChars="1400" w:firstLine="2520"/>
        <w:rPr>
          <w:rFonts w:ascii="楷体_GB2312" w:eastAsia="楷体_GB2312" w:hAnsi="Times New Roman" w:cs="楷体_GB2312"/>
          <w:color w:val="000000"/>
          <w:kern w:val="0"/>
          <w:sz w:val="18"/>
          <w:szCs w:val="24"/>
        </w:rPr>
      </w:pPr>
      <w:r w:rsidRPr="00E3193F">
        <w:rPr>
          <w:rFonts w:ascii="楷体_GB2312" w:eastAsia="楷体_GB2312" w:hAnsi="Times New Roman" w:cs="楷体_GB2312" w:hint="eastAsia"/>
          <w:color w:val="000000"/>
          <w:kern w:val="0"/>
          <w:sz w:val="18"/>
          <w:szCs w:val="24"/>
        </w:rPr>
        <w:t xml:space="preserve">图表 </w:t>
      </w:r>
      <w:r w:rsidR="00097DFD" w:rsidRPr="00E3193F">
        <w:rPr>
          <w:rFonts w:ascii="楷体_GB2312" w:eastAsia="楷体_GB2312" w:hAnsi="Times New Roman" w:cs="楷体_GB2312"/>
          <w:color w:val="000000"/>
          <w:kern w:val="0"/>
          <w:sz w:val="18"/>
          <w:szCs w:val="24"/>
        </w:rPr>
        <w:fldChar w:fldCharType="begin"/>
      </w:r>
      <w:r w:rsidRPr="00E3193F">
        <w:rPr>
          <w:rFonts w:ascii="楷体_GB2312" w:eastAsia="楷体_GB2312" w:hAnsi="Times New Roman" w:cs="楷体_GB2312"/>
          <w:color w:val="000000"/>
          <w:kern w:val="0"/>
          <w:sz w:val="18"/>
          <w:szCs w:val="24"/>
        </w:rPr>
        <w:instrText xml:space="preserve"> </w:instrText>
      </w:r>
      <w:r w:rsidRPr="00E3193F">
        <w:rPr>
          <w:rFonts w:ascii="楷体_GB2312" w:eastAsia="楷体_GB2312" w:hAnsi="Times New Roman" w:cs="楷体_GB2312" w:hint="eastAsia"/>
          <w:color w:val="000000"/>
          <w:kern w:val="0"/>
          <w:sz w:val="18"/>
          <w:szCs w:val="24"/>
        </w:rPr>
        <w:instrText>SEQ 图表 \* ARABIC</w:instrText>
      </w:r>
      <w:r w:rsidRPr="00E3193F">
        <w:rPr>
          <w:rFonts w:ascii="楷体_GB2312" w:eastAsia="楷体_GB2312" w:hAnsi="Times New Roman" w:cs="楷体_GB2312"/>
          <w:color w:val="000000"/>
          <w:kern w:val="0"/>
          <w:sz w:val="18"/>
          <w:szCs w:val="24"/>
        </w:rPr>
        <w:instrText xml:space="preserve"> </w:instrText>
      </w:r>
      <w:r w:rsidR="00097DFD" w:rsidRPr="00E3193F">
        <w:rPr>
          <w:rFonts w:ascii="楷体_GB2312" w:eastAsia="楷体_GB2312" w:hAnsi="Times New Roman" w:cs="楷体_GB2312"/>
          <w:color w:val="000000"/>
          <w:kern w:val="0"/>
          <w:sz w:val="18"/>
          <w:szCs w:val="24"/>
        </w:rPr>
        <w:fldChar w:fldCharType="separate"/>
      </w:r>
      <w:r w:rsidR="00324445">
        <w:rPr>
          <w:rFonts w:ascii="楷体_GB2312" w:eastAsia="楷体_GB2312" w:hAnsi="Times New Roman" w:cs="楷体_GB2312"/>
          <w:noProof/>
          <w:color w:val="000000"/>
          <w:kern w:val="0"/>
          <w:sz w:val="18"/>
          <w:szCs w:val="24"/>
        </w:rPr>
        <w:t>1</w:t>
      </w:r>
      <w:r w:rsidR="00097DFD" w:rsidRPr="00E3193F">
        <w:rPr>
          <w:rFonts w:ascii="楷体_GB2312" w:eastAsia="楷体_GB2312" w:hAnsi="Times New Roman" w:cs="楷体_GB2312"/>
          <w:color w:val="000000"/>
          <w:kern w:val="0"/>
          <w:sz w:val="18"/>
          <w:szCs w:val="24"/>
        </w:rPr>
        <w:fldChar w:fldCharType="end"/>
      </w:r>
      <w:r w:rsidRPr="00E3193F">
        <w:rPr>
          <w:rFonts w:ascii="楷体_GB2312" w:eastAsia="楷体_GB2312" w:hAnsi="Times New Roman" w:cs="楷体_GB2312" w:hint="eastAsia"/>
          <w:color w:val="000000"/>
          <w:kern w:val="0"/>
          <w:sz w:val="18"/>
          <w:szCs w:val="24"/>
        </w:rPr>
        <w:t>：卫生支出各方占比</w:t>
      </w:r>
    </w:p>
    <w:p w:rsidR="00951677" w:rsidRDefault="00951677" w:rsidP="00951677">
      <w:pPr>
        <w:autoSpaceDE w:val="0"/>
        <w:autoSpaceDN w:val="0"/>
        <w:adjustRightInd w:val="0"/>
        <w:ind w:leftChars="1215" w:left="2551"/>
        <w:jc w:val="left"/>
        <w:rPr>
          <w:rFonts w:ascii="楷体_GB2312" w:eastAsia="楷体_GB2312" w:cs="楷体_GB2312"/>
          <w:color w:val="000000"/>
          <w:kern w:val="0"/>
          <w:sz w:val="24"/>
        </w:rPr>
      </w:pPr>
      <w:r>
        <w:rPr>
          <w:rFonts w:ascii="楷体_GB2312" w:eastAsia="楷体_GB2312" w:cs="宋体" w:hint="eastAsia"/>
          <w:b/>
          <w:noProof/>
          <w:kern w:val="0"/>
        </w:rPr>
        <w:drawing>
          <wp:inline distT="0" distB="0" distL="0" distR="0">
            <wp:extent cx="4182745" cy="2557145"/>
            <wp:effectExtent l="19050" t="0" r="825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4182745" cy="2557145"/>
                    </a:xfrm>
                    <a:prstGeom prst="rect">
                      <a:avLst/>
                    </a:prstGeom>
                    <a:noFill/>
                    <a:ln w="9525">
                      <a:noFill/>
                      <a:miter lim="800000"/>
                      <a:headEnd/>
                      <a:tailEnd/>
                    </a:ln>
                  </pic:spPr>
                </pic:pic>
              </a:graphicData>
            </a:graphic>
          </wp:inline>
        </w:drawing>
      </w:r>
    </w:p>
    <w:p w:rsidR="00951677" w:rsidRDefault="00951677" w:rsidP="00951677">
      <w:pPr>
        <w:pStyle w:val="a8"/>
        <w:ind w:firstLineChars="1400" w:firstLine="2520"/>
        <w:rPr>
          <w:rFonts w:ascii="楷体_GB2312" w:eastAsia="楷体_GB2312" w:hAnsi="Times New Roman" w:cs="楷体_GB2312"/>
          <w:color w:val="000000"/>
          <w:kern w:val="0"/>
          <w:sz w:val="18"/>
          <w:szCs w:val="24"/>
        </w:rPr>
      </w:pPr>
      <w:r w:rsidRPr="00E3193F">
        <w:rPr>
          <w:rFonts w:ascii="楷体_GB2312" w:eastAsia="楷体_GB2312" w:hAnsi="Times New Roman" w:cs="楷体_GB2312" w:hint="eastAsia"/>
          <w:color w:val="000000"/>
          <w:kern w:val="0"/>
          <w:sz w:val="18"/>
          <w:szCs w:val="24"/>
        </w:rPr>
        <w:t>资料来源：卫生部</w:t>
      </w:r>
      <w:r>
        <w:rPr>
          <w:rFonts w:ascii="楷体_GB2312" w:eastAsia="楷体_GB2312" w:hAnsi="Times New Roman" w:cs="楷体_GB2312" w:hint="eastAsia"/>
          <w:color w:val="000000"/>
          <w:kern w:val="0"/>
          <w:sz w:val="18"/>
          <w:szCs w:val="24"/>
        </w:rPr>
        <w:t>，华商基金</w:t>
      </w:r>
    </w:p>
    <w:p w:rsidR="00951677" w:rsidRPr="00553EE3" w:rsidRDefault="00951677" w:rsidP="00951677"/>
    <w:p w:rsidR="00951677" w:rsidRPr="00E3193F" w:rsidRDefault="00951677" w:rsidP="00951677">
      <w:pPr>
        <w:pStyle w:val="a8"/>
        <w:rPr>
          <w:rFonts w:ascii="楷体_GB2312" w:eastAsia="楷体_GB2312" w:hAnsi="Times New Roman" w:cs="楷体_GB2312"/>
          <w:color w:val="000000"/>
          <w:kern w:val="0"/>
          <w:sz w:val="18"/>
          <w:szCs w:val="24"/>
        </w:rPr>
      </w:pPr>
      <w:r w:rsidRPr="00E3193F">
        <w:rPr>
          <w:rFonts w:ascii="楷体_GB2312" w:eastAsia="楷体_GB2312" w:hAnsi="Times New Roman" w:cs="楷体_GB2312" w:hint="eastAsia"/>
          <w:color w:val="000000"/>
          <w:kern w:val="0"/>
          <w:sz w:val="18"/>
          <w:szCs w:val="24"/>
        </w:rPr>
        <w:t xml:space="preserve">图表 </w:t>
      </w:r>
      <w:r w:rsidR="00097DFD" w:rsidRPr="00E3193F">
        <w:rPr>
          <w:rFonts w:ascii="楷体_GB2312" w:eastAsia="楷体_GB2312" w:hAnsi="Times New Roman" w:cs="楷体_GB2312"/>
          <w:color w:val="000000"/>
          <w:kern w:val="0"/>
          <w:sz w:val="18"/>
          <w:szCs w:val="24"/>
        </w:rPr>
        <w:fldChar w:fldCharType="begin"/>
      </w:r>
      <w:r w:rsidRPr="00E3193F">
        <w:rPr>
          <w:rFonts w:ascii="楷体_GB2312" w:eastAsia="楷体_GB2312" w:hAnsi="Times New Roman" w:cs="楷体_GB2312"/>
          <w:color w:val="000000"/>
          <w:kern w:val="0"/>
          <w:sz w:val="18"/>
          <w:szCs w:val="24"/>
        </w:rPr>
        <w:instrText xml:space="preserve"> </w:instrText>
      </w:r>
      <w:r w:rsidRPr="00E3193F">
        <w:rPr>
          <w:rFonts w:ascii="楷体_GB2312" w:eastAsia="楷体_GB2312" w:hAnsi="Times New Roman" w:cs="楷体_GB2312" w:hint="eastAsia"/>
          <w:color w:val="000000"/>
          <w:kern w:val="0"/>
          <w:sz w:val="18"/>
          <w:szCs w:val="24"/>
        </w:rPr>
        <w:instrText>SEQ 图表 \* ARABIC</w:instrText>
      </w:r>
      <w:r w:rsidRPr="00E3193F">
        <w:rPr>
          <w:rFonts w:ascii="楷体_GB2312" w:eastAsia="楷体_GB2312" w:hAnsi="Times New Roman" w:cs="楷体_GB2312"/>
          <w:color w:val="000000"/>
          <w:kern w:val="0"/>
          <w:sz w:val="18"/>
          <w:szCs w:val="24"/>
        </w:rPr>
        <w:instrText xml:space="preserve"> </w:instrText>
      </w:r>
      <w:r w:rsidR="00097DFD" w:rsidRPr="00E3193F">
        <w:rPr>
          <w:rFonts w:ascii="楷体_GB2312" w:eastAsia="楷体_GB2312" w:hAnsi="Times New Roman" w:cs="楷体_GB2312"/>
          <w:color w:val="000000"/>
          <w:kern w:val="0"/>
          <w:sz w:val="18"/>
          <w:szCs w:val="24"/>
        </w:rPr>
        <w:fldChar w:fldCharType="separate"/>
      </w:r>
      <w:r w:rsidR="00324445">
        <w:rPr>
          <w:rFonts w:ascii="楷体_GB2312" w:eastAsia="楷体_GB2312" w:hAnsi="Times New Roman" w:cs="楷体_GB2312"/>
          <w:noProof/>
          <w:color w:val="000000"/>
          <w:kern w:val="0"/>
          <w:sz w:val="18"/>
          <w:szCs w:val="24"/>
        </w:rPr>
        <w:t>2</w:t>
      </w:r>
      <w:r w:rsidR="00097DFD" w:rsidRPr="00E3193F">
        <w:rPr>
          <w:rFonts w:ascii="楷体_GB2312" w:eastAsia="楷体_GB2312" w:hAnsi="Times New Roman" w:cs="楷体_GB2312"/>
          <w:color w:val="000000"/>
          <w:kern w:val="0"/>
          <w:sz w:val="18"/>
          <w:szCs w:val="24"/>
        </w:rPr>
        <w:fldChar w:fldCharType="end"/>
      </w:r>
      <w:r w:rsidRPr="00E3193F">
        <w:rPr>
          <w:rFonts w:ascii="楷体_GB2312" w:eastAsia="楷体_GB2312" w:hAnsi="Times New Roman" w:cs="楷体_GB2312" w:hint="eastAsia"/>
          <w:color w:val="000000"/>
          <w:kern w:val="0"/>
          <w:sz w:val="18"/>
          <w:szCs w:val="24"/>
        </w:rPr>
        <w:t>：</w:t>
      </w:r>
      <w:r>
        <w:rPr>
          <w:rFonts w:ascii="楷体_GB2312" w:eastAsia="楷体_GB2312" w:hAnsi="Times New Roman" w:cs="楷体_GB2312" w:hint="eastAsia"/>
          <w:color w:val="000000"/>
          <w:kern w:val="0"/>
          <w:sz w:val="18"/>
          <w:szCs w:val="24"/>
        </w:rPr>
        <w:t>我国卫生总费用增长情况</w:t>
      </w:r>
    </w:p>
    <w:p w:rsidR="00951677" w:rsidRDefault="00951677" w:rsidP="00951677">
      <w:pPr>
        <w:autoSpaceDE w:val="0"/>
        <w:autoSpaceDN w:val="0"/>
        <w:adjustRightInd w:val="0"/>
        <w:jc w:val="left"/>
        <w:rPr>
          <w:rFonts w:ascii="楷体_GB2312" w:eastAsia="楷体_GB2312" w:cs="楷体_GB2312"/>
          <w:color w:val="000000"/>
          <w:kern w:val="0"/>
          <w:sz w:val="24"/>
        </w:rPr>
      </w:pPr>
      <w:r>
        <w:rPr>
          <w:rFonts w:ascii="楷体_GB2312" w:eastAsia="楷体_GB2312" w:cs="楷体_GB2312" w:hint="eastAsia"/>
          <w:noProof/>
          <w:color w:val="000000"/>
          <w:kern w:val="0"/>
          <w:sz w:val="24"/>
        </w:rPr>
        <w:drawing>
          <wp:inline distT="0" distB="0" distL="0" distR="0">
            <wp:extent cx="5833745" cy="2099945"/>
            <wp:effectExtent l="19050" t="0" r="0" b="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5833745" cy="2099945"/>
                    </a:xfrm>
                    <a:prstGeom prst="rect">
                      <a:avLst/>
                    </a:prstGeom>
                    <a:noFill/>
                    <a:ln w="9525">
                      <a:noFill/>
                      <a:miter lim="800000"/>
                      <a:headEnd/>
                      <a:tailEnd/>
                    </a:ln>
                  </pic:spPr>
                </pic:pic>
              </a:graphicData>
            </a:graphic>
          </wp:inline>
        </w:drawing>
      </w:r>
    </w:p>
    <w:p w:rsidR="00951677" w:rsidRDefault="00951677" w:rsidP="00951677">
      <w:pPr>
        <w:pStyle w:val="a8"/>
        <w:rPr>
          <w:rFonts w:ascii="楷体_GB2312" w:eastAsia="楷体_GB2312" w:hAnsi="Times New Roman" w:cs="楷体_GB2312"/>
          <w:color w:val="000000"/>
          <w:kern w:val="0"/>
          <w:sz w:val="18"/>
          <w:szCs w:val="24"/>
        </w:rPr>
      </w:pPr>
      <w:r w:rsidRPr="00E3193F">
        <w:rPr>
          <w:rFonts w:ascii="楷体_GB2312" w:eastAsia="楷体_GB2312" w:hAnsi="Times New Roman" w:cs="楷体_GB2312" w:hint="eastAsia"/>
          <w:color w:val="000000"/>
          <w:kern w:val="0"/>
          <w:sz w:val="18"/>
          <w:szCs w:val="24"/>
        </w:rPr>
        <w:t>资料来源：卫生部</w:t>
      </w:r>
      <w:r>
        <w:rPr>
          <w:rFonts w:ascii="楷体_GB2312" w:eastAsia="楷体_GB2312" w:hAnsi="Times New Roman" w:cs="楷体_GB2312" w:hint="eastAsia"/>
          <w:color w:val="000000"/>
          <w:kern w:val="0"/>
          <w:sz w:val="18"/>
          <w:szCs w:val="24"/>
        </w:rPr>
        <w:t>，华商基金</w:t>
      </w:r>
    </w:p>
    <w:p w:rsidR="00951677" w:rsidRDefault="00951677" w:rsidP="00951677">
      <w:pPr>
        <w:autoSpaceDE w:val="0"/>
        <w:autoSpaceDN w:val="0"/>
        <w:adjustRightInd w:val="0"/>
        <w:jc w:val="left"/>
        <w:rPr>
          <w:rFonts w:ascii="楷体_GB2312" w:eastAsia="楷体_GB2312" w:cs="楷体_GB2312"/>
          <w:color w:val="000000"/>
          <w:kern w:val="0"/>
          <w:sz w:val="24"/>
        </w:rPr>
      </w:pPr>
    </w:p>
    <w:p w:rsidR="00951677" w:rsidRPr="00553EE3" w:rsidRDefault="00951677" w:rsidP="00951677">
      <w:pPr>
        <w:autoSpaceDE w:val="0"/>
        <w:autoSpaceDN w:val="0"/>
        <w:adjustRightInd w:val="0"/>
        <w:jc w:val="left"/>
        <w:rPr>
          <w:rFonts w:ascii="楷体_GB2312" w:eastAsia="楷体_GB2312" w:cs="楷体_GB2312"/>
          <w:color w:val="000000"/>
          <w:kern w:val="0"/>
          <w:sz w:val="24"/>
        </w:rPr>
      </w:pPr>
    </w:p>
    <w:p w:rsidR="00951677" w:rsidRDefault="00951677" w:rsidP="00951677">
      <w:pPr>
        <w:numPr>
          <w:ilvl w:val="0"/>
          <w:numId w:val="2"/>
        </w:numPr>
        <w:autoSpaceDE w:val="0"/>
        <w:autoSpaceDN w:val="0"/>
        <w:adjustRightInd w:val="0"/>
        <w:spacing w:before="156"/>
        <w:rPr>
          <w:rFonts w:ascii="楷体_GB2312" w:eastAsia="楷体_GB2312" w:cs="楷体_GB2312"/>
          <w:color w:val="000000"/>
          <w:kern w:val="0"/>
        </w:rPr>
      </w:pPr>
      <w:r w:rsidRPr="00DD7CFD">
        <w:rPr>
          <w:rFonts w:ascii="楷体_GB2312" w:eastAsia="楷体_GB2312" w:cs="楷体_GB2312" w:hint="eastAsia"/>
          <w:b/>
          <w:color w:val="000000"/>
          <w:kern w:val="0"/>
        </w:rPr>
        <w:t>医药行业整体增速放缓将是大势所趋：</w:t>
      </w:r>
      <w:r w:rsidRPr="00DD7CFD">
        <w:rPr>
          <w:rFonts w:ascii="楷体_GB2312" w:eastAsia="楷体_GB2312" w:cs="楷体_GB2312" w:hint="eastAsia"/>
          <w:color w:val="000000"/>
          <w:kern w:val="0"/>
        </w:rPr>
        <w:t>我国医药行业的需求增长勿庸置疑，然而医药行业也并非完美。首先，由于消费者（患者）、消费决策者（医生）和消费支付者（医保）的相互分离，这个行业中的市场机制经常失灵；随着政府支付比例的提升，医保已经越来越成为支付系统的主导力量，为了维护政府支付</w:t>
      </w:r>
      <w:r>
        <w:rPr>
          <w:rFonts w:ascii="楷体_GB2312" w:eastAsia="楷体_GB2312" w:cs="楷体_GB2312" w:hint="eastAsia"/>
          <w:color w:val="000000"/>
          <w:kern w:val="0"/>
        </w:rPr>
        <w:t>以及</w:t>
      </w:r>
      <w:r w:rsidRPr="00DD7CFD">
        <w:rPr>
          <w:rFonts w:ascii="楷体_GB2312" w:eastAsia="楷体_GB2312" w:cs="楷体_GB2312" w:hint="eastAsia"/>
          <w:color w:val="000000"/>
          <w:kern w:val="0"/>
        </w:rPr>
        <w:t>医保体系的可持续性，就必需对医药行业加以严格监管，以控制需求的无序增长。过去几年受益于医保覆盖率和人均筹资额的提升以及政府补助的增加，医保和新农合呈现收支两旺的局面，但是由于目前医保的总覆盖率已经接近95%，人均筹资额的提升又相对缓慢，因此未来几年作为支付主导方的医保支出增速将明显放缓，医药行业整体增速放缓将是大势所趋。</w:t>
      </w:r>
    </w:p>
    <w:p w:rsidR="00951677" w:rsidRPr="00DD7CFD" w:rsidRDefault="00951677" w:rsidP="00951677">
      <w:pPr>
        <w:autoSpaceDE w:val="0"/>
        <w:autoSpaceDN w:val="0"/>
        <w:adjustRightInd w:val="0"/>
        <w:spacing w:before="156"/>
        <w:ind w:left="2580"/>
        <w:rPr>
          <w:rFonts w:ascii="楷体_GB2312" w:eastAsia="楷体_GB2312" w:cs="楷体_GB2312"/>
          <w:color w:val="000000"/>
          <w:kern w:val="0"/>
        </w:rPr>
      </w:pPr>
    </w:p>
    <w:p w:rsidR="00951677" w:rsidRPr="00E3193F" w:rsidRDefault="00951677" w:rsidP="00951677">
      <w:pPr>
        <w:pStyle w:val="a8"/>
        <w:ind w:firstLineChars="1450" w:firstLine="2610"/>
        <w:rPr>
          <w:rFonts w:ascii="楷体_GB2312" w:eastAsia="楷体_GB2312" w:hAnsi="Times New Roman" w:cs="楷体_GB2312"/>
          <w:color w:val="000000"/>
          <w:kern w:val="0"/>
          <w:sz w:val="18"/>
          <w:szCs w:val="24"/>
        </w:rPr>
      </w:pPr>
      <w:r w:rsidRPr="00E3193F">
        <w:rPr>
          <w:rFonts w:ascii="楷体_GB2312" w:eastAsia="楷体_GB2312" w:hAnsi="Times New Roman" w:cs="楷体_GB2312" w:hint="eastAsia"/>
          <w:color w:val="000000"/>
          <w:kern w:val="0"/>
          <w:sz w:val="18"/>
          <w:szCs w:val="24"/>
        </w:rPr>
        <w:t xml:space="preserve">图表 </w:t>
      </w:r>
      <w:r w:rsidR="00097DFD" w:rsidRPr="00E3193F">
        <w:rPr>
          <w:rFonts w:ascii="楷体_GB2312" w:eastAsia="楷体_GB2312" w:hAnsi="Times New Roman" w:cs="楷体_GB2312"/>
          <w:color w:val="000000"/>
          <w:kern w:val="0"/>
          <w:sz w:val="18"/>
          <w:szCs w:val="24"/>
        </w:rPr>
        <w:fldChar w:fldCharType="begin"/>
      </w:r>
      <w:r w:rsidRPr="00E3193F">
        <w:rPr>
          <w:rFonts w:ascii="楷体_GB2312" w:eastAsia="楷体_GB2312" w:hAnsi="Times New Roman" w:cs="楷体_GB2312"/>
          <w:color w:val="000000"/>
          <w:kern w:val="0"/>
          <w:sz w:val="18"/>
          <w:szCs w:val="24"/>
        </w:rPr>
        <w:instrText xml:space="preserve"> </w:instrText>
      </w:r>
      <w:r w:rsidRPr="00E3193F">
        <w:rPr>
          <w:rFonts w:ascii="楷体_GB2312" w:eastAsia="楷体_GB2312" w:hAnsi="Times New Roman" w:cs="楷体_GB2312" w:hint="eastAsia"/>
          <w:color w:val="000000"/>
          <w:kern w:val="0"/>
          <w:sz w:val="18"/>
          <w:szCs w:val="24"/>
        </w:rPr>
        <w:instrText>SEQ 图表 \* ARABIC</w:instrText>
      </w:r>
      <w:r w:rsidRPr="00E3193F">
        <w:rPr>
          <w:rFonts w:ascii="楷体_GB2312" w:eastAsia="楷体_GB2312" w:hAnsi="Times New Roman" w:cs="楷体_GB2312"/>
          <w:color w:val="000000"/>
          <w:kern w:val="0"/>
          <w:sz w:val="18"/>
          <w:szCs w:val="24"/>
        </w:rPr>
        <w:instrText xml:space="preserve"> </w:instrText>
      </w:r>
      <w:r w:rsidR="00097DFD" w:rsidRPr="00E3193F">
        <w:rPr>
          <w:rFonts w:ascii="楷体_GB2312" w:eastAsia="楷体_GB2312" w:hAnsi="Times New Roman" w:cs="楷体_GB2312"/>
          <w:color w:val="000000"/>
          <w:kern w:val="0"/>
          <w:sz w:val="18"/>
          <w:szCs w:val="24"/>
        </w:rPr>
        <w:fldChar w:fldCharType="separate"/>
      </w:r>
      <w:r w:rsidR="00324445">
        <w:rPr>
          <w:rFonts w:ascii="楷体_GB2312" w:eastAsia="楷体_GB2312" w:hAnsi="Times New Roman" w:cs="楷体_GB2312"/>
          <w:noProof/>
          <w:color w:val="000000"/>
          <w:kern w:val="0"/>
          <w:sz w:val="18"/>
          <w:szCs w:val="24"/>
        </w:rPr>
        <w:t>3</w:t>
      </w:r>
      <w:r w:rsidR="00097DFD" w:rsidRPr="00E3193F">
        <w:rPr>
          <w:rFonts w:ascii="楷体_GB2312" w:eastAsia="楷体_GB2312" w:hAnsi="Times New Roman" w:cs="楷体_GB2312"/>
          <w:color w:val="000000"/>
          <w:kern w:val="0"/>
          <w:sz w:val="18"/>
          <w:szCs w:val="24"/>
        </w:rPr>
        <w:fldChar w:fldCharType="end"/>
      </w:r>
      <w:r w:rsidRPr="00E3193F">
        <w:rPr>
          <w:rFonts w:ascii="楷体_GB2312" w:eastAsia="楷体_GB2312" w:hAnsi="Times New Roman" w:cs="楷体_GB2312" w:hint="eastAsia"/>
          <w:color w:val="000000"/>
          <w:kern w:val="0"/>
          <w:sz w:val="18"/>
          <w:szCs w:val="24"/>
        </w:rPr>
        <w:t>：</w:t>
      </w:r>
      <w:r>
        <w:rPr>
          <w:rFonts w:ascii="楷体_GB2312" w:eastAsia="楷体_GB2312" w:hAnsi="Times New Roman" w:cs="楷体_GB2312" w:hint="eastAsia"/>
          <w:color w:val="000000"/>
          <w:kern w:val="0"/>
          <w:sz w:val="18"/>
          <w:szCs w:val="24"/>
        </w:rPr>
        <w:t>医保支出情况</w:t>
      </w:r>
    </w:p>
    <w:p w:rsidR="00951677" w:rsidRDefault="00951677" w:rsidP="00951677">
      <w:pPr>
        <w:autoSpaceDE w:val="0"/>
        <w:autoSpaceDN w:val="0"/>
        <w:adjustRightInd w:val="0"/>
        <w:spacing w:before="156"/>
        <w:ind w:leftChars="1215" w:left="2551"/>
        <w:rPr>
          <w:rFonts w:ascii="楷体_GB2312" w:eastAsia="楷体_GB2312" w:cs="楷体_GB2312"/>
          <w:color w:val="000000"/>
          <w:kern w:val="0"/>
          <w:sz w:val="24"/>
        </w:rPr>
      </w:pPr>
      <w:r>
        <w:rPr>
          <w:rFonts w:ascii="楷体_GB2312" w:eastAsia="楷体_GB2312" w:cs="楷体_GB2312" w:hint="eastAsia"/>
          <w:noProof/>
          <w:color w:val="000000"/>
          <w:kern w:val="0"/>
          <w:sz w:val="24"/>
        </w:rPr>
        <w:lastRenderedPageBreak/>
        <w:drawing>
          <wp:inline distT="0" distB="0" distL="0" distR="0">
            <wp:extent cx="4157345" cy="2303145"/>
            <wp:effectExtent l="19050" t="0" r="0" b="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a:stretch>
                      <a:fillRect/>
                    </a:stretch>
                  </pic:blipFill>
                  <pic:spPr bwMode="auto">
                    <a:xfrm>
                      <a:off x="0" y="0"/>
                      <a:ext cx="4157345" cy="2303145"/>
                    </a:xfrm>
                    <a:prstGeom prst="rect">
                      <a:avLst/>
                    </a:prstGeom>
                    <a:noFill/>
                    <a:ln w="9525">
                      <a:noFill/>
                      <a:miter lim="800000"/>
                      <a:headEnd/>
                      <a:tailEnd/>
                    </a:ln>
                  </pic:spPr>
                </pic:pic>
              </a:graphicData>
            </a:graphic>
          </wp:inline>
        </w:drawing>
      </w:r>
    </w:p>
    <w:p w:rsidR="00951677" w:rsidRDefault="00951677" w:rsidP="00951677">
      <w:pPr>
        <w:pStyle w:val="a8"/>
        <w:ind w:firstLineChars="1400" w:firstLine="2520"/>
        <w:rPr>
          <w:rFonts w:ascii="楷体_GB2312" w:eastAsia="楷体_GB2312" w:hAnsi="Times New Roman" w:cs="楷体_GB2312"/>
          <w:color w:val="000000"/>
          <w:kern w:val="0"/>
          <w:sz w:val="18"/>
          <w:szCs w:val="24"/>
        </w:rPr>
      </w:pPr>
      <w:r w:rsidRPr="00E3193F">
        <w:rPr>
          <w:rFonts w:ascii="楷体_GB2312" w:eastAsia="楷体_GB2312" w:hAnsi="Times New Roman" w:cs="楷体_GB2312" w:hint="eastAsia"/>
          <w:color w:val="000000"/>
          <w:kern w:val="0"/>
          <w:sz w:val="18"/>
          <w:szCs w:val="24"/>
        </w:rPr>
        <w:t>资料来源：卫生部</w:t>
      </w:r>
      <w:r>
        <w:rPr>
          <w:rFonts w:ascii="楷体_GB2312" w:eastAsia="楷体_GB2312" w:hAnsi="Times New Roman" w:cs="楷体_GB2312" w:hint="eastAsia"/>
          <w:color w:val="000000"/>
          <w:kern w:val="0"/>
          <w:sz w:val="18"/>
          <w:szCs w:val="24"/>
        </w:rPr>
        <w:t>，华商基金</w:t>
      </w:r>
    </w:p>
    <w:p w:rsidR="00951677" w:rsidRPr="007817CB" w:rsidRDefault="00951677" w:rsidP="00951677"/>
    <w:p w:rsidR="00951677" w:rsidRPr="00E3193F" w:rsidRDefault="00951677" w:rsidP="00951677">
      <w:pPr>
        <w:pStyle w:val="a8"/>
        <w:ind w:firstLineChars="1450" w:firstLine="2610"/>
        <w:rPr>
          <w:rFonts w:ascii="楷体_GB2312" w:eastAsia="楷体_GB2312" w:hAnsi="Times New Roman" w:cs="楷体_GB2312"/>
          <w:color w:val="000000"/>
          <w:kern w:val="0"/>
          <w:sz w:val="18"/>
          <w:szCs w:val="24"/>
        </w:rPr>
      </w:pPr>
      <w:r w:rsidRPr="00E3193F">
        <w:rPr>
          <w:rFonts w:ascii="楷体_GB2312" w:eastAsia="楷体_GB2312" w:hAnsi="Times New Roman" w:cs="楷体_GB2312" w:hint="eastAsia"/>
          <w:color w:val="000000"/>
          <w:kern w:val="0"/>
          <w:sz w:val="18"/>
          <w:szCs w:val="24"/>
        </w:rPr>
        <w:t xml:space="preserve">图表 </w:t>
      </w:r>
      <w:r w:rsidR="00097DFD" w:rsidRPr="00E3193F">
        <w:rPr>
          <w:rFonts w:ascii="楷体_GB2312" w:eastAsia="楷体_GB2312" w:hAnsi="Times New Roman" w:cs="楷体_GB2312"/>
          <w:color w:val="000000"/>
          <w:kern w:val="0"/>
          <w:sz w:val="18"/>
          <w:szCs w:val="24"/>
        </w:rPr>
        <w:fldChar w:fldCharType="begin"/>
      </w:r>
      <w:r w:rsidRPr="00E3193F">
        <w:rPr>
          <w:rFonts w:ascii="楷体_GB2312" w:eastAsia="楷体_GB2312" w:hAnsi="Times New Roman" w:cs="楷体_GB2312"/>
          <w:color w:val="000000"/>
          <w:kern w:val="0"/>
          <w:sz w:val="18"/>
          <w:szCs w:val="24"/>
        </w:rPr>
        <w:instrText xml:space="preserve"> </w:instrText>
      </w:r>
      <w:r w:rsidRPr="00E3193F">
        <w:rPr>
          <w:rFonts w:ascii="楷体_GB2312" w:eastAsia="楷体_GB2312" w:hAnsi="Times New Roman" w:cs="楷体_GB2312" w:hint="eastAsia"/>
          <w:color w:val="000000"/>
          <w:kern w:val="0"/>
          <w:sz w:val="18"/>
          <w:szCs w:val="24"/>
        </w:rPr>
        <w:instrText>SEQ 图表 \* ARABIC</w:instrText>
      </w:r>
      <w:r w:rsidRPr="00E3193F">
        <w:rPr>
          <w:rFonts w:ascii="楷体_GB2312" w:eastAsia="楷体_GB2312" w:hAnsi="Times New Roman" w:cs="楷体_GB2312"/>
          <w:color w:val="000000"/>
          <w:kern w:val="0"/>
          <w:sz w:val="18"/>
          <w:szCs w:val="24"/>
        </w:rPr>
        <w:instrText xml:space="preserve"> </w:instrText>
      </w:r>
      <w:r w:rsidR="00097DFD" w:rsidRPr="00E3193F">
        <w:rPr>
          <w:rFonts w:ascii="楷体_GB2312" w:eastAsia="楷体_GB2312" w:hAnsi="Times New Roman" w:cs="楷体_GB2312"/>
          <w:color w:val="000000"/>
          <w:kern w:val="0"/>
          <w:sz w:val="18"/>
          <w:szCs w:val="24"/>
        </w:rPr>
        <w:fldChar w:fldCharType="separate"/>
      </w:r>
      <w:r w:rsidR="00324445">
        <w:rPr>
          <w:rFonts w:ascii="楷体_GB2312" w:eastAsia="楷体_GB2312" w:hAnsi="Times New Roman" w:cs="楷体_GB2312"/>
          <w:noProof/>
          <w:color w:val="000000"/>
          <w:kern w:val="0"/>
          <w:sz w:val="18"/>
          <w:szCs w:val="24"/>
        </w:rPr>
        <w:t>4</w:t>
      </w:r>
      <w:r w:rsidR="00097DFD" w:rsidRPr="00E3193F">
        <w:rPr>
          <w:rFonts w:ascii="楷体_GB2312" w:eastAsia="楷体_GB2312" w:hAnsi="Times New Roman" w:cs="楷体_GB2312"/>
          <w:color w:val="000000"/>
          <w:kern w:val="0"/>
          <w:sz w:val="18"/>
          <w:szCs w:val="24"/>
        </w:rPr>
        <w:fldChar w:fldCharType="end"/>
      </w:r>
      <w:r w:rsidRPr="00E3193F">
        <w:rPr>
          <w:rFonts w:ascii="楷体_GB2312" w:eastAsia="楷体_GB2312" w:hAnsi="Times New Roman" w:cs="楷体_GB2312" w:hint="eastAsia"/>
          <w:color w:val="000000"/>
          <w:kern w:val="0"/>
          <w:sz w:val="18"/>
          <w:szCs w:val="24"/>
        </w:rPr>
        <w:t>：</w:t>
      </w:r>
      <w:r>
        <w:rPr>
          <w:rFonts w:ascii="楷体_GB2312" w:eastAsia="楷体_GB2312" w:hAnsi="Times New Roman" w:cs="楷体_GB2312" w:hint="eastAsia"/>
          <w:color w:val="000000"/>
          <w:kern w:val="0"/>
          <w:sz w:val="18"/>
          <w:szCs w:val="24"/>
        </w:rPr>
        <w:t>新农合支出情况</w:t>
      </w:r>
    </w:p>
    <w:p w:rsidR="00951677" w:rsidRDefault="00951677" w:rsidP="00951677">
      <w:pPr>
        <w:autoSpaceDE w:val="0"/>
        <w:autoSpaceDN w:val="0"/>
        <w:adjustRightInd w:val="0"/>
        <w:spacing w:before="156"/>
        <w:ind w:leftChars="1215" w:left="2551"/>
        <w:rPr>
          <w:rFonts w:ascii="楷体_GB2312" w:eastAsia="楷体_GB2312" w:cs="楷体_GB2312"/>
          <w:color w:val="000000"/>
          <w:kern w:val="0"/>
          <w:sz w:val="24"/>
        </w:rPr>
      </w:pPr>
      <w:r>
        <w:rPr>
          <w:rFonts w:ascii="楷体_GB2312" w:eastAsia="楷体_GB2312" w:cs="楷体_GB2312" w:hint="eastAsia"/>
          <w:noProof/>
          <w:color w:val="000000"/>
          <w:kern w:val="0"/>
          <w:sz w:val="24"/>
        </w:rPr>
        <w:drawing>
          <wp:inline distT="0" distB="0" distL="0" distR="0">
            <wp:extent cx="4131945" cy="2413000"/>
            <wp:effectExtent l="19050" t="0" r="1905"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4131945" cy="2413000"/>
                    </a:xfrm>
                    <a:prstGeom prst="rect">
                      <a:avLst/>
                    </a:prstGeom>
                    <a:noFill/>
                    <a:ln w="9525">
                      <a:noFill/>
                      <a:miter lim="800000"/>
                      <a:headEnd/>
                      <a:tailEnd/>
                    </a:ln>
                  </pic:spPr>
                </pic:pic>
              </a:graphicData>
            </a:graphic>
          </wp:inline>
        </w:drawing>
      </w:r>
    </w:p>
    <w:p w:rsidR="00951677" w:rsidRDefault="00951677" w:rsidP="00951677">
      <w:pPr>
        <w:pStyle w:val="a8"/>
        <w:ind w:firstLineChars="1400" w:firstLine="2520"/>
        <w:rPr>
          <w:rFonts w:ascii="楷体_GB2312" w:eastAsia="楷体_GB2312" w:hAnsi="Times New Roman" w:cs="楷体_GB2312"/>
          <w:color w:val="000000"/>
          <w:kern w:val="0"/>
          <w:sz w:val="18"/>
          <w:szCs w:val="24"/>
        </w:rPr>
      </w:pPr>
      <w:r w:rsidRPr="00E3193F">
        <w:rPr>
          <w:rFonts w:ascii="楷体_GB2312" w:eastAsia="楷体_GB2312" w:hAnsi="Times New Roman" w:cs="楷体_GB2312" w:hint="eastAsia"/>
          <w:color w:val="000000"/>
          <w:kern w:val="0"/>
          <w:sz w:val="18"/>
          <w:szCs w:val="24"/>
        </w:rPr>
        <w:t>资料来源：卫生部</w:t>
      </w:r>
      <w:r>
        <w:rPr>
          <w:rFonts w:ascii="楷体_GB2312" w:eastAsia="楷体_GB2312" w:hAnsi="Times New Roman" w:cs="楷体_GB2312" w:hint="eastAsia"/>
          <w:color w:val="000000"/>
          <w:kern w:val="0"/>
          <w:sz w:val="18"/>
          <w:szCs w:val="24"/>
        </w:rPr>
        <w:t>，华商基金</w:t>
      </w:r>
    </w:p>
    <w:p w:rsidR="00951677" w:rsidRDefault="00951677" w:rsidP="00951677"/>
    <w:p w:rsidR="00951677" w:rsidRPr="00DD7CFD" w:rsidRDefault="00951677" w:rsidP="00951677"/>
    <w:p w:rsidR="00951677" w:rsidRPr="00DD7CFD" w:rsidRDefault="00951677" w:rsidP="00951677">
      <w:pPr>
        <w:numPr>
          <w:ilvl w:val="0"/>
          <w:numId w:val="2"/>
        </w:numPr>
        <w:autoSpaceDE w:val="0"/>
        <w:autoSpaceDN w:val="0"/>
        <w:adjustRightInd w:val="0"/>
        <w:spacing w:before="156" w:after="248"/>
        <w:rPr>
          <w:rFonts w:ascii="楷体_GB2312" w:eastAsia="楷体_GB2312" w:cs="楷体_GB2312"/>
          <w:color w:val="000000"/>
          <w:kern w:val="0"/>
        </w:rPr>
      </w:pPr>
      <w:r w:rsidRPr="00DD7CFD">
        <w:rPr>
          <w:rFonts w:ascii="楷体_GB2312" w:eastAsia="楷体_GB2312" w:cs="楷体_GB2312" w:hint="eastAsia"/>
          <w:b/>
          <w:color w:val="000000"/>
          <w:kern w:val="0"/>
        </w:rPr>
        <w:t>体制的弊端将使医药企业成为最终的买单者：</w:t>
      </w:r>
      <w:r w:rsidRPr="00DD7CFD">
        <w:rPr>
          <w:rFonts w:ascii="楷体_GB2312" w:eastAsia="楷体_GB2312" w:cs="楷体_GB2312" w:hint="eastAsia"/>
          <w:color w:val="000000"/>
          <w:kern w:val="0"/>
        </w:rPr>
        <w:t>其次，从我国自身的行业发展阶段来看，我国医药行业在供给方面产能过剩、缺乏研发，整个行业低水平重复竞争</w:t>
      </w:r>
      <w:r>
        <w:rPr>
          <w:rFonts w:ascii="楷体_GB2312" w:eastAsia="楷体_GB2312" w:cs="楷体_GB2312" w:hint="eastAsia"/>
          <w:color w:val="000000"/>
          <w:kern w:val="0"/>
        </w:rPr>
        <w:t>的现状</w:t>
      </w:r>
      <w:r w:rsidRPr="00DD7CFD">
        <w:rPr>
          <w:rFonts w:ascii="楷体_GB2312" w:eastAsia="楷体_GB2312" w:cs="楷体_GB2312" w:hint="eastAsia"/>
          <w:color w:val="000000"/>
          <w:kern w:val="0"/>
        </w:rPr>
        <w:t>；同时现有医疗体制</w:t>
      </w:r>
      <w:r>
        <w:rPr>
          <w:rFonts w:ascii="楷体_GB2312" w:eastAsia="楷体_GB2312" w:cs="楷体_GB2312" w:hint="eastAsia"/>
          <w:color w:val="000000"/>
          <w:kern w:val="0"/>
        </w:rPr>
        <w:t>又存在</w:t>
      </w:r>
      <w:r w:rsidRPr="00DD7CFD">
        <w:rPr>
          <w:rFonts w:ascii="楷体_GB2312" w:eastAsia="楷体_GB2312" w:cs="楷体_GB2312" w:hint="eastAsia"/>
          <w:color w:val="000000"/>
          <w:kern w:val="0"/>
        </w:rPr>
        <w:t>弊端：政府投入不足，导致“以药养医”的畸形利益链长期存在，医患矛盾和“药价虚高”等问题</w:t>
      </w:r>
      <w:r>
        <w:rPr>
          <w:rFonts w:ascii="楷体_GB2312" w:eastAsia="楷体_GB2312" w:cs="楷体_GB2312" w:hint="eastAsia"/>
          <w:color w:val="000000"/>
          <w:kern w:val="0"/>
        </w:rPr>
        <w:t>非常</w:t>
      </w:r>
      <w:r w:rsidRPr="00DD7CFD">
        <w:rPr>
          <w:rFonts w:ascii="楷体_GB2312" w:eastAsia="楷体_GB2312" w:cs="楷体_GB2312" w:hint="eastAsia"/>
          <w:color w:val="000000"/>
          <w:kern w:val="0"/>
        </w:rPr>
        <w:t>突出。因此，政府必将也有动力通过</w:t>
      </w:r>
      <w:r w:rsidRPr="00DD7CFD">
        <w:rPr>
          <w:rFonts w:ascii="楷体_GB2312" w:eastAsia="楷体_GB2312" w:cs="楷体_GB2312"/>
          <w:color w:val="000000"/>
          <w:kern w:val="0"/>
        </w:rPr>
        <w:t>“</w:t>
      </w:r>
      <w:r w:rsidRPr="00DD7CFD">
        <w:rPr>
          <w:rFonts w:ascii="楷体_GB2312" w:eastAsia="楷体_GB2312" w:cs="楷体_GB2312" w:hint="eastAsia"/>
          <w:color w:val="000000"/>
          <w:kern w:val="0"/>
        </w:rPr>
        <w:t>牺牲</w:t>
      </w:r>
      <w:r w:rsidRPr="00DD7CFD">
        <w:rPr>
          <w:rFonts w:ascii="楷体_GB2312" w:eastAsia="楷体_GB2312" w:cs="楷体_GB2312"/>
          <w:color w:val="000000"/>
          <w:kern w:val="0"/>
        </w:rPr>
        <w:t>”</w:t>
      </w:r>
      <w:r w:rsidRPr="00DD7CFD">
        <w:rPr>
          <w:rFonts w:ascii="楷体_GB2312" w:eastAsia="楷体_GB2312" w:cs="楷体_GB2312" w:hint="eastAsia"/>
          <w:color w:val="000000"/>
          <w:kern w:val="0"/>
        </w:rPr>
        <w:t>企业利益来实现社会效益</w:t>
      </w:r>
      <w:r>
        <w:rPr>
          <w:rFonts w:ascii="楷体_GB2312" w:eastAsia="楷体_GB2312" w:cs="楷体_GB2312" w:hint="eastAsia"/>
          <w:color w:val="000000"/>
          <w:kern w:val="0"/>
        </w:rPr>
        <w:t>与公平</w:t>
      </w:r>
      <w:r w:rsidRPr="00DD7CFD">
        <w:rPr>
          <w:rFonts w:ascii="楷体_GB2312" w:eastAsia="楷体_GB2312" w:cs="楷体_GB2312" w:hint="eastAsia"/>
          <w:color w:val="000000"/>
          <w:kern w:val="0"/>
        </w:rPr>
        <w:t>，药品降价将会持续存在，基药制度的推广</w:t>
      </w:r>
      <w:r>
        <w:rPr>
          <w:rFonts w:ascii="楷体_GB2312" w:eastAsia="楷体_GB2312" w:cs="楷体_GB2312" w:hint="eastAsia"/>
          <w:color w:val="000000"/>
          <w:kern w:val="0"/>
        </w:rPr>
        <w:t>也</w:t>
      </w:r>
      <w:r w:rsidRPr="00DD7CFD">
        <w:rPr>
          <w:rFonts w:ascii="楷体_GB2312" w:eastAsia="楷体_GB2312" w:cs="楷体_GB2312" w:hint="eastAsia"/>
          <w:color w:val="000000"/>
          <w:kern w:val="0"/>
        </w:rPr>
        <w:t>势在必行；我国医疗卫生体制问题所形成的社会成本最终将通过扭曲的产业价值链使医药企业成为这个成本的</w:t>
      </w:r>
      <w:r>
        <w:rPr>
          <w:rFonts w:ascii="楷体_GB2312" w:eastAsia="楷体_GB2312" w:cs="楷体_GB2312" w:hint="eastAsia"/>
          <w:color w:val="000000"/>
          <w:kern w:val="0"/>
        </w:rPr>
        <w:t>最终</w:t>
      </w:r>
      <w:r w:rsidRPr="00DD7CFD">
        <w:rPr>
          <w:rFonts w:ascii="楷体_GB2312" w:eastAsia="楷体_GB2312" w:cs="楷体_GB2312" w:hint="eastAsia"/>
          <w:color w:val="000000"/>
          <w:kern w:val="0"/>
        </w:rPr>
        <w:t>支付者。另外，</w:t>
      </w:r>
      <w:r>
        <w:rPr>
          <w:rFonts w:ascii="楷体_GB2312" w:eastAsia="楷体_GB2312" w:cs="楷体_GB2312" w:hint="eastAsia"/>
          <w:color w:val="000000"/>
          <w:kern w:val="0"/>
        </w:rPr>
        <w:t>某些时候，</w:t>
      </w:r>
      <w:r w:rsidRPr="00DD7CFD">
        <w:rPr>
          <w:rFonts w:ascii="楷体_GB2312" w:eastAsia="楷体_GB2312" w:cs="楷体_GB2312" w:hint="eastAsia"/>
          <w:color w:val="000000"/>
          <w:kern w:val="0"/>
        </w:rPr>
        <w:t>政府必将采取</w:t>
      </w:r>
      <w:r>
        <w:rPr>
          <w:rFonts w:ascii="楷体_GB2312" w:eastAsia="楷体_GB2312" w:cs="楷体_GB2312" w:hint="eastAsia"/>
          <w:color w:val="000000"/>
          <w:kern w:val="0"/>
        </w:rPr>
        <w:t>一些极端</w:t>
      </w:r>
      <w:r w:rsidRPr="00DD7CFD">
        <w:rPr>
          <w:rFonts w:ascii="楷体_GB2312" w:eastAsia="楷体_GB2312" w:cs="楷体_GB2312" w:hint="eastAsia"/>
          <w:color w:val="000000"/>
          <w:kern w:val="0"/>
        </w:rPr>
        <w:t>措施来回应</w:t>
      </w:r>
      <w:r>
        <w:rPr>
          <w:rFonts w:ascii="楷体_GB2312" w:eastAsia="楷体_GB2312" w:cs="楷体_GB2312" w:hint="eastAsia"/>
          <w:color w:val="000000"/>
          <w:kern w:val="0"/>
        </w:rPr>
        <w:t>社会</w:t>
      </w:r>
      <w:r w:rsidRPr="00DD7CFD">
        <w:rPr>
          <w:rFonts w:ascii="楷体_GB2312" w:eastAsia="楷体_GB2312" w:cs="楷体_GB2312" w:hint="eastAsia"/>
          <w:color w:val="000000"/>
          <w:kern w:val="0"/>
        </w:rPr>
        <w:t>舆论压力，反商业贿赂将会常态化，公立医院改革也会不断深入。</w:t>
      </w:r>
      <w:r w:rsidRPr="00DD7CFD">
        <w:rPr>
          <w:rFonts w:ascii="楷体_GB2312" w:eastAsia="楷体_GB2312" w:cs="楷体_GB2312"/>
          <w:color w:val="000000"/>
          <w:kern w:val="0"/>
        </w:rPr>
        <w:t xml:space="preserve"> </w:t>
      </w:r>
    </w:p>
    <w:p w:rsidR="00951677" w:rsidRPr="00EC3974" w:rsidRDefault="00951677" w:rsidP="00951677">
      <w:pPr>
        <w:autoSpaceDE w:val="0"/>
        <w:autoSpaceDN w:val="0"/>
        <w:adjustRightInd w:val="0"/>
        <w:ind w:left="2580"/>
        <w:jc w:val="left"/>
        <w:rPr>
          <w:rFonts w:ascii="楷体_GB2312" w:eastAsia="楷体_GB2312" w:cs="宋体"/>
          <w:b/>
          <w:kern w:val="0"/>
        </w:rPr>
      </w:pPr>
    </w:p>
    <w:p w:rsidR="00951677" w:rsidRPr="00DD7CFD" w:rsidRDefault="00951677" w:rsidP="00951677">
      <w:pPr>
        <w:numPr>
          <w:ilvl w:val="0"/>
          <w:numId w:val="2"/>
        </w:numPr>
        <w:autoSpaceDE w:val="0"/>
        <w:autoSpaceDN w:val="0"/>
        <w:adjustRightInd w:val="0"/>
        <w:spacing w:before="156" w:after="248"/>
        <w:rPr>
          <w:rFonts w:ascii="楷体_GB2312" w:eastAsia="楷体_GB2312" w:cs="楷体_GB2312"/>
          <w:color w:val="000000"/>
          <w:kern w:val="0"/>
        </w:rPr>
      </w:pPr>
      <w:r w:rsidRPr="00DD7CFD">
        <w:rPr>
          <w:rFonts w:ascii="楷体_GB2312" w:eastAsia="楷体_GB2312" w:cs="楷体_GB2312" w:hint="eastAsia"/>
          <w:b/>
          <w:color w:val="000000"/>
          <w:kern w:val="0"/>
        </w:rPr>
        <w:t xml:space="preserve">行业分化将日趋明显： </w:t>
      </w:r>
      <w:r w:rsidRPr="00DD7CFD">
        <w:rPr>
          <w:rFonts w:ascii="楷体_GB2312" w:eastAsia="楷体_GB2312" w:cs="楷体_GB2312" w:hint="eastAsia"/>
          <w:color w:val="000000"/>
          <w:kern w:val="0"/>
        </w:rPr>
        <w:t>过去几年是医</w:t>
      </w:r>
      <w:r>
        <w:rPr>
          <w:rFonts w:ascii="楷体_GB2312" w:eastAsia="楷体_GB2312" w:cs="楷体_GB2312" w:hint="eastAsia"/>
          <w:color w:val="000000"/>
          <w:kern w:val="0"/>
        </w:rPr>
        <w:t>药</w:t>
      </w:r>
      <w:r w:rsidRPr="00DD7CFD">
        <w:rPr>
          <w:rFonts w:ascii="楷体_GB2312" w:eastAsia="楷体_GB2312" w:cs="楷体_GB2312" w:hint="eastAsia"/>
          <w:color w:val="000000"/>
          <w:kern w:val="0"/>
        </w:rPr>
        <w:t>行业的甜蜜期，医药企业</w:t>
      </w:r>
      <w:r>
        <w:rPr>
          <w:rFonts w:ascii="楷体_GB2312" w:eastAsia="楷体_GB2312" w:cs="楷体_GB2312" w:hint="eastAsia"/>
          <w:color w:val="000000"/>
          <w:kern w:val="0"/>
        </w:rPr>
        <w:t>充分</w:t>
      </w:r>
      <w:r w:rsidRPr="00DD7CFD">
        <w:rPr>
          <w:rFonts w:ascii="楷体_GB2312" w:eastAsia="楷体_GB2312" w:cs="楷体_GB2312" w:hint="eastAsia"/>
          <w:color w:val="000000"/>
          <w:kern w:val="0"/>
        </w:rPr>
        <w:t>享受了政策的普</w:t>
      </w:r>
      <w:r w:rsidRPr="00DD7CFD">
        <w:rPr>
          <w:rFonts w:ascii="楷体_GB2312" w:eastAsia="楷体_GB2312" w:cs="楷体_GB2312" w:hint="eastAsia"/>
          <w:color w:val="000000"/>
          <w:kern w:val="0"/>
        </w:rPr>
        <w:lastRenderedPageBreak/>
        <w:t>惠性机遇。但是国内医药行业“产业格局分散，同质化竞争严重，研发创新程度低”的现状并没有发生根本性变化。随着外部政策环境的变化，国内医药企业间的分化也将不可避免。特别是今年“两降一限”政策的实施，大量的抗生素企业和普药企业面临的将是生与死的挑战。当然，这种政策长期来看将有利于我国医药企业的长远发展；但短期来看，企业难免经历政策阵痛和经营调整。但是，就像大多数行业经历产业冬天的历程一样，这也是很多行业机会正在酝酿的一个过程。</w:t>
      </w:r>
    </w:p>
    <w:p w:rsidR="00951677" w:rsidRPr="00C724C9" w:rsidRDefault="00951677" w:rsidP="00951677">
      <w:pPr>
        <w:autoSpaceDE w:val="0"/>
        <w:autoSpaceDN w:val="0"/>
        <w:adjustRightInd w:val="0"/>
        <w:spacing w:line="320" w:lineRule="exact"/>
        <w:jc w:val="left"/>
        <w:rPr>
          <w:rFonts w:ascii="楷体_GB2312" w:eastAsia="楷体_GB2312" w:cs="宋体"/>
          <w:kern w:val="0"/>
        </w:rPr>
      </w:pPr>
    </w:p>
    <w:p w:rsidR="00951677" w:rsidRPr="00532C45" w:rsidRDefault="00951677" w:rsidP="00951677">
      <w:pPr>
        <w:numPr>
          <w:ilvl w:val="0"/>
          <w:numId w:val="2"/>
        </w:numPr>
        <w:autoSpaceDE w:val="0"/>
        <w:autoSpaceDN w:val="0"/>
        <w:adjustRightInd w:val="0"/>
        <w:spacing w:line="320" w:lineRule="exact"/>
        <w:ind w:left="2520" w:hanging="360"/>
        <w:rPr>
          <w:rFonts w:ascii="楷体_GB2312" w:eastAsia="楷体_GB2312" w:cs="宋体"/>
          <w:kern w:val="0"/>
        </w:rPr>
      </w:pPr>
      <w:r>
        <w:rPr>
          <w:rFonts w:ascii="楷体_GB2312" w:eastAsia="楷体_GB2312" w:cs="宋体" w:hint="eastAsia"/>
          <w:b/>
          <w:kern w:val="0"/>
        </w:rPr>
        <w:t>投资关键词——创新、转型、转移、整合：</w:t>
      </w:r>
      <w:r>
        <w:rPr>
          <w:rFonts w:ascii="楷体_GB2312" w:eastAsia="楷体_GB2312" w:cs="宋体" w:hint="eastAsia"/>
          <w:bCs/>
          <w:kern w:val="0"/>
        </w:rPr>
        <w:t>在整体性超额收益难度加大的背景下，我们将更加关注行业发展的趋势，精选符合产业升级趋势，能够规避政策扰动，拥有核心竞争力的优质企业。</w:t>
      </w:r>
    </w:p>
    <w:p w:rsidR="00951677" w:rsidRDefault="00951677" w:rsidP="00951677">
      <w:pPr>
        <w:pStyle w:val="ac"/>
        <w:ind w:firstLineChars="0" w:firstLine="0"/>
        <w:rPr>
          <w:rFonts w:ascii="楷体_GB2312" w:eastAsia="楷体_GB2312" w:cs="宋体"/>
          <w:kern w:val="0"/>
        </w:rPr>
      </w:pPr>
    </w:p>
    <w:p w:rsidR="00951677" w:rsidRPr="007E72D2" w:rsidRDefault="00951677" w:rsidP="00951677">
      <w:pPr>
        <w:numPr>
          <w:ilvl w:val="0"/>
          <w:numId w:val="2"/>
        </w:numPr>
        <w:autoSpaceDE w:val="0"/>
        <w:autoSpaceDN w:val="0"/>
        <w:adjustRightInd w:val="0"/>
        <w:spacing w:line="320" w:lineRule="exact"/>
        <w:ind w:left="2520" w:hanging="360"/>
        <w:rPr>
          <w:rFonts w:ascii="楷体_GB2312" w:eastAsia="楷体_GB2312" w:cs="宋体"/>
          <w:b/>
          <w:kern w:val="0"/>
        </w:rPr>
      </w:pPr>
      <w:r>
        <w:rPr>
          <w:rFonts w:ascii="楷体_GB2312" w:eastAsia="楷体_GB2312" w:cs="宋体" w:hint="eastAsia"/>
          <w:b/>
          <w:kern w:val="0"/>
        </w:rPr>
        <w:t>1）创新：</w:t>
      </w:r>
      <w:r>
        <w:rPr>
          <w:rFonts w:ascii="楷体_GB2312" w:eastAsia="楷体_GB2312" w:cs="宋体" w:hint="eastAsia"/>
          <w:kern w:val="0"/>
        </w:rPr>
        <w:t>医药行业是一个技术密集型行业，研发创新是推动行业发展的源动力。随着国内医药企业研发投入的不断加大以及政府对药品研发创新的扶持，研发创新将逐步成为国内药企的绝对核心竞争力，具有研发创新能力的企业将成为最优质的投资标的。针对国内企业创新的现状，我们更加关注中国传统优势领域的创新。国内在化合物合成改造、特色原料药、药物剂型改造以及基因工程等领域研发实力已与国外相当，这些领域更能实现产业化的创新突破。</w:t>
      </w:r>
    </w:p>
    <w:p w:rsidR="00951677" w:rsidRDefault="00951677" w:rsidP="00951677">
      <w:pPr>
        <w:pStyle w:val="ac"/>
        <w:ind w:firstLine="422"/>
        <w:rPr>
          <w:rFonts w:ascii="楷体_GB2312" w:eastAsia="楷体_GB2312" w:cs="宋体"/>
          <w:b/>
          <w:kern w:val="0"/>
        </w:rPr>
      </w:pPr>
    </w:p>
    <w:p w:rsidR="00951677" w:rsidRPr="007E72D2" w:rsidRDefault="00951677" w:rsidP="00951677">
      <w:pPr>
        <w:numPr>
          <w:ilvl w:val="0"/>
          <w:numId w:val="2"/>
        </w:numPr>
        <w:autoSpaceDE w:val="0"/>
        <w:autoSpaceDN w:val="0"/>
        <w:adjustRightInd w:val="0"/>
        <w:spacing w:line="320" w:lineRule="exact"/>
        <w:ind w:left="2520" w:hanging="360"/>
        <w:rPr>
          <w:rFonts w:ascii="楷体_GB2312" w:eastAsia="楷体_GB2312" w:cs="宋体"/>
          <w:kern w:val="0"/>
        </w:rPr>
      </w:pPr>
      <w:r>
        <w:rPr>
          <w:rFonts w:ascii="楷体_GB2312" w:eastAsia="楷体_GB2312" w:cs="宋体" w:hint="eastAsia"/>
          <w:b/>
          <w:kern w:val="0"/>
        </w:rPr>
        <w:t>2）转型：</w:t>
      </w:r>
      <w:r>
        <w:rPr>
          <w:rFonts w:ascii="楷体_GB2312" w:eastAsia="楷体_GB2312" w:cs="宋体" w:hint="eastAsia"/>
          <w:kern w:val="0"/>
        </w:rPr>
        <w:t>随着细分</w:t>
      </w:r>
      <w:r w:rsidRPr="00B369D7">
        <w:rPr>
          <w:rFonts w:ascii="楷体_GB2312" w:eastAsia="楷体_GB2312" w:cs="宋体" w:hint="eastAsia"/>
          <w:kern w:val="0"/>
        </w:rPr>
        <w:t>行业特点和外部</w:t>
      </w:r>
      <w:r>
        <w:rPr>
          <w:rFonts w:ascii="楷体_GB2312" w:eastAsia="楷体_GB2312" w:cs="宋体" w:hint="eastAsia"/>
          <w:kern w:val="0"/>
        </w:rPr>
        <w:t>政策</w:t>
      </w:r>
      <w:r w:rsidRPr="00B369D7">
        <w:rPr>
          <w:rFonts w:ascii="楷体_GB2312" w:eastAsia="楷体_GB2312" w:cs="宋体" w:hint="eastAsia"/>
          <w:kern w:val="0"/>
        </w:rPr>
        <w:t>环境</w:t>
      </w:r>
      <w:r>
        <w:rPr>
          <w:rFonts w:ascii="楷体_GB2312" w:eastAsia="楷体_GB2312" w:cs="宋体" w:hint="eastAsia"/>
          <w:kern w:val="0"/>
        </w:rPr>
        <w:t>的</w:t>
      </w:r>
      <w:r w:rsidRPr="00B369D7">
        <w:rPr>
          <w:rFonts w:ascii="楷体_GB2312" w:eastAsia="楷体_GB2312" w:cs="宋体" w:hint="eastAsia"/>
          <w:kern w:val="0"/>
        </w:rPr>
        <w:t>变化</w:t>
      </w:r>
      <w:r>
        <w:rPr>
          <w:rFonts w:ascii="楷体_GB2312" w:eastAsia="楷体_GB2312" w:cs="宋体" w:hint="eastAsia"/>
          <w:kern w:val="0"/>
        </w:rPr>
        <w:t>，部分专科用药行业以及OTC行业的成长模式面临挑战。能够认清行业发展趋势的企业，纷纷踏上转型之路。我们看好拥有品牌、渠道等优势的中药企业的泛消费化趋势以及OTC企业向保健品、快速消费领域拓展的潜力。</w:t>
      </w:r>
    </w:p>
    <w:p w:rsidR="00951677" w:rsidRDefault="00951677" w:rsidP="00951677">
      <w:pPr>
        <w:pStyle w:val="ac"/>
        <w:rPr>
          <w:rFonts w:ascii="楷体_GB2312" w:eastAsia="楷体_GB2312" w:cs="宋体"/>
          <w:kern w:val="0"/>
        </w:rPr>
      </w:pPr>
    </w:p>
    <w:p w:rsidR="00951677" w:rsidRPr="00C7248C" w:rsidRDefault="00951677" w:rsidP="00951677">
      <w:pPr>
        <w:numPr>
          <w:ilvl w:val="0"/>
          <w:numId w:val="2"/>
        </w:numPr>
        <w:autoSpaceDE w:val="0"/>
        <w:autoSpaceDN w:val="0"/>
        <w:adjustRightInd w:val="0"/>
        <w:spacing w:line="320" w:lineRule="exact"/>
        <w:ind w:left="2520" w:hanging="360"/>
        <w:rPr>
          <w:rFonts w:ascii="楷体_GB2312" w:eastAsia="楷体_GB2312" w:cs="宋体"/>
          <w:b/>
          <w:kern w:val="0"/>
        </w:rPr>
      </w:pPr>
      <w:r w:rsidRPr="0027684F">
        <w:rPr>
          <w:rFonts w:ascii="楷体_GB2312" w:eastAsia="楷体_GB2312" w:cs="宋体" w:hint="eastAsia"/>
          <w:b/>
          <w:kern w:val="0"/>
        </w:rPr>
        <w:t>3）转移：</w:t>
      </w:r>
      <w:r w:rsidRPr="00C7248C">
        <w:rPr>
          <w:rFonts w:ascii="楷体_GB2312" w:eastAsia="楷体_GB2312" w:cs="宋体" w:hint="eastAsia"/>
          <w:kern w:val="0"/>
        </w:rPr>
        <w:t>特色原料药行业</w:t>
      </w:r>
      <w:r>
        <w:rPr>
          <w:rFonts w:ascii="楷体_GB2312" w:eastAsia="楷体_GB2312" w:cs="宋体" w:hint="eastAsia"/>
          <w:kern w:val="0"/>
        </w:rPr>
        <w:t>一直不断向亚洲转移，随着10-</w:t>
      </w:r>
      <w:r w:rsidRPr="00C7248C">
        <w:rPr>
          <w:rFonts w:ascii="楷体_GB2312" w:eastAsia="楷体_GB2312" w:cs="宋体" w:hint="eastAsia"/>
          <w:kern w:val="0"/>
        </w:rPr>
        <w:t>12年</w:t>
      </w:r>
      <w:r>
        <w:rPr>
          <w:rFonts w:ascii="楷体_GB2312" w:eastAsia="楷体_GB2312" w:cs="宋体" w:hint="eastAsia"/>
          <w:kern w:val="0"/>
        </w:rPr>
        <w:t>欧美市场大量专利药到期，特色原料药的需求将出现爆发性增长，产业转移的趋势将更加明显。此外</w:t>
      </w:r>
      <w:r>
        <w:rPr>
          <w:rFonts w:ascii="楷体_GB2312" w:eastAsia="楷体_GB2312" w:cs="宋体" w:hint="eastAsia"/>
          <w:b/>
          <w:kern w:val="0"/>
        </w:rPr>
        <w:t>，</w:t>
      </w:r>
      <w:r>
        <w:rPr>
          <w:rFonts w:ascii="楷体_GB2312" w:eastAsia="楷体_GB2312" w:cs="宋体" w:hint="eastAsia"/>
          <w:kern w:val="0"/>
        </w:rPr>
        <w:t>随着</w:t>
      </w:r>
      <w:r w:rsidRPr="00C7248C">
        <w:rPr>
          <w:rFonts w:ascii="楷体_GB2312" w:eastAsia="楷体_GB2312" w:cs="宋体" w:hint="eastAsia"/>
          <w:kern w:val="0"/>
        </w:rPr>
        <w:t>国内医药企业在研发能力、技术成熟度、质量优势、国外认证经验、环保等</w:t>
      </w:r>
      <w:r>
        <w:rPr>
          <w:rFonts w:ascii="楷体_GB2312" w:eastAsia="楷体_GB2312" w:cs="宋体" w:hint="eastAsia"/>
          <w:kern w:val="0"/>
        </w:rPr>
        <w:t>一系列</w:t>
      </w:r>
      <w:r w:rsidRPr="00C7248C">
        <w:rPr>
          <w:rFonts w:ascii="楷体_GB2312" w:eastAsia="楷体_GB2312" w:cs="宋体" w:hint="eastAsia"/>
          <w:kern w:val="0"/>
        </w:rPr>
        <w:t>软硬件</w:t>
      </w:r>
      <w:r>
        <w:rPr>
          <w:rFonts w:ascii="楷体_GB2312" w:eastAsia="楷体_GB2312" w:cs="宋体" w:hint="eastAsia"/>
          <w:kern w:val="0"/>
        </w:rPr>
        <w:t>方面实力的</w:t>
      </w:r>
      <w:r w:rsidRPr="00C7248C">
        <w:rPr>
          <w:rFonts w:ascii="楷体_GB2312" w:eastAsia="楷体_GB2312" w:cs="宋体" w:hint="eastAsia"/>
          <w:kern w:val="0"/>
        </w:rPr>
        <w:t>大幅提升</w:t>
      </w:r>
      <w:r>
        <w:rPr>
          <w:rFonts w:ascii="楷体_GB2312" w:eastAsia="楷体_GB2312" w:cs="宋体" w:hint="eastAsia"/>
          <w:kern w:val="0"/>
        </w:rPr>
        <w:t>，</w:t>
      </w:r>
      <w:r w:rsidRPr="00C7248C">
        <w:rPr>
          <w:rFonts w:ascii="楷体_GB2312" w:eastAsia="楷体_GB2312" w:cs="宋体" w:hint="eastAsia"/>
          <w:kern w:val="0"/>
        </w:rPr>
        <w:t>已经部分具备了承接国外</w:t>
      </w:r>
      <w:r>
        <w:rPr>
          <w:rFonts w:ascii="楷体_GB2312" w:eastAsia="楷体_GB2312" w:cs="宋体" w:hint="eastAsia"/>
          <w:kern w:val="0"/>
        </w:rPr>
        <w:t>制剂</w:t>
      </w:r>
      <w:r w:rsidRPr="00C7248C">
        <w:rPr>
          <w:rFonts w:ascii="楷体_GB2312" w:eastAsia="楷体_GB2312" w:cs="宋体" w:hint="eastAsia"/>
          <w:kern w:val="0"/>
        </w:rPr>
        <w:t>产业转移的</w:t>
      </w:r>
      <w:r>
        <w:rPr>
          <w:rFonts w:ascii="楷体_GB2312" w:eastAsia="楷体_GB2312" w:cs="宋体" w:hint="eastAsia"/>
          <w:kern w:val="0"/>
        </w:rPr>
        <w:t>条件，国内的优势企业将迎来产业转移</w:t>
      </w:r>
      <w:r w:rsidRPr="0027684F">
        <w:rPr>
          <w:rFonts w:ascii="楷体_GB2312" w:eastAsia="楷体_GB2312" w:cs="宋体" w:hint="eastAsia"/>
          <w:kern w:val="0"/>
        </w:rPr>
        <w:t>的历史性机遇。</w:t>
      </w:r>
    </w:p>
    <w:p w:rsidR="00951677" w:rsidRPr="004712B5" w:rsidRDefault="00951677" w:rsidP="00951677">
      <w:pPr>
        <w:autoSpaceDE w:val="0"/>
        <w:autoSpaceDN w:val="0"/>
        <w:adjustRightInd w:val="0"/>
        <w:spacing w:line="320" w:lineRule="exact"/>
        <w:ind w:left="2520"/>
        <w:rPr>
          <w:rFonts w:ascii="楷体_GB2312" w:eastAsia="楷体_GB2312" w:cs="宋体"/>
          <w:b/>
          <w:kern w:val="0"/>
        </w:rPr>
      </w:pPr>
    </w:p>
    <w:p w:rsidR="00951677" w:rsidRDefault="00951677" w:rsidP="00951677">
      <w:pPr>
        <w:numPr>
          <w:ilvl w:val="0"/>
          <w:numId w:val="2"/>
        </w:numPr>
        <w:autoSpaceDE w:val="0"/>
        <w:autoSpaceDN w:val="0"/>
        <w:adjustRightInd w:val="0"/>
        <w:spacing w:line="320" w:lineRule="exact"/>
        <w:ind w:left="2520" w:hanging="360"/>
        <w:rPr>
          <w:rFonts w:ascii="楷体_GB2312" w:eastAsia="楷体_GB2312" w:cs="宋体"/>
          <w:kern w:val="0"/>
        </w:rPr>
      </w:pPr>
      <w:r w:rsidRPr="0027684F">
        <w:rPr>
          <w:rFonts w:ascii="楷体_GB2312" w:eastAsia="楷体_GB2312" w:cs="宋体" w:hint="eastAsia"/>
          <w:b/>
          <w:kern w:val="0"/>
        </w:rPr>
        <w:t>4）整合：</w:t>
      </w:r>
      <w:r w:rsidRPr="00C7248C">
        <w:rPr>
          <w:rFonts w:ascii="楷体_GB2312" w:eastAsia="楷体_GB2312" w:cs="宋体" w:hint="eastAsia"/>
          <w:kern w:val="0"/>
        </w:rPr>
        <w:t>国内</w:t>
      </w:r>
      <w:r>
        <w:rPr>
          <w:rFonts w:ascii="楷体_GB2312" w:eastAsia="楷体_GB2312" w:cs="宋体" w:hint="eastAsia"/>
          <w:kern w:val="0"/>
        </w:rPr>
        <w:t>目前医药行业的集中度偏低，无论是参考国外药企成长路径还是国内政策的扶持方向来看，提高行业集中度，加强行业整合将是大势所趋。目前，像大输液、医药流通等细分行业的整合正在如火如荼进行之中，龙头企业的优势将愈发明显。</w:t>
      </w:r>
    </w:p>
    <w:p w:rsidR="00951677" w:rsidRPr="00951677" w:rsidRDefault="00951677" w:rsidP="00FB499A">
      <w:pPr>
        <w:ind w:leftChars="1200" w:left="2520" w:firstLineChars="50" w:firstLine="105"/>
        <w:rPr>
          <w:rFonts w:ascii="楷体_GB2312" w:eastAsia="楷体_GB2312"/>
          <w:kern w:val="0"/>
        </w:rPr>
      </w:pPr>
    </w:p>
    <w:p w:rsidR="00C205F5" w:rsidRPr="00230395" w:rsidRDefault="00C205F5" w:rsidP="00C205F5">
      <w:pPr>
        <w:autoSpaceDE w:val="0"/>
        <w:autoSpaceDN w:val="0"/>
        <w:adjustRightInd w:val="0"/>
        <w:spacing w:line="320" w:lineRule="exact"/>
        <w:jc w:val="left"/>
        <w:rPr>
          <w:rFonts w:ascii="楷体_GB2312" w:eastAsia="楷体_GB2312"/>
          <w:kern w:val="0"/>
        </w:rPr>
      </w:pPr>
    </w:p>
    <w:p w:rsidR="00097DFD" w:rsidRDefault="00FB499A" w:rsidP="008B0962">
      <w:pPr>
        <w:pStyle w:val="1"/>
        <w:numPr>
          <w:ilvl w:val="0"/>
          <w:numId w:val="4"/>
        </w:numPr>
        <w:spacing w:beforeLines="50" w:afterLines="50" w:line="480" w:lineRule="auto"/>
        <w:ind w:left="2705"/>
        <w:rPr>
          <w:rFonts w:ascii="楷体_GB2312" w:eastAsia="楷体_GB2312"/>
          <w:bCs w:val="0"/>
          <w:kern w:val="0"/>
          <w:sz w:val="21"/>
          <w:szCs w:val="21"/>
        </w:rPr>
      </w:pPr>
      <w:bookmarkStart w:id="47" w:name="_Toc313737759"/>
      <w:r w:rsidRPr="00FB499A">
        <w:rPr>
          <w:rFonts w:ascii="楷体_GB2312" w:eastAsia="楷体_GB2312" w:hint="eastAsia"/>
          <w:bCs w:val="0"/>
          <w:kern w:val="0"/>
          <w:sz w:val="21"/>
          <w:szCs w:val="21"/>
        </w:rPr>
        <w:t>食品饮料</w:t>
      </w:r>
      <w:bookmarkEnd w:id="47"/>
      <w:r w:rsidR="00EB0A35">
        <w:rPr>
          <w:rFonts w:ascii="楷体_GB2312" w:eastAsia="楷体_GB2312" w:hint="eastAsia"/>
          <w:bCs w:val="0"/>
          <w:kern w:val="0"/>
          <w:sz w:val="21"/>
          <w:szCs w:val="21"/>
        </w:rPr>
        <w:t>行业</w:t>
      </w:r>
    </w:p>
    <w:p w:rsidR="00FB499A" w:rsidRPr="00FB499A" w:rsidRDefault="00FB499A" w:rsidP="00FB499A">
      <w:pPr>
        <w:ind w:leftChars="1200" w:left="2520"/>
        <w:rPr>
          <w:rFonts w:ascii="楷体_GB2312" w:eastAsia="楷体_GB2312"/>
          <w:kern w:val="0"/>
        </w:rPr>
      </w:pPr>
      <w:r w:rsidRPr="00FB499A">
        <w:rPr>
          <w:rFonts w:ascii="楷体_GB2312" w:eastAsia="楷体_GB2312" w:hint="eastAsia"/>
          <w:kern w:val="0"/>
        </w:rPr>
        <w:t>长期视角看，消费在中国经济增长中具备持续的动力，即使在美国这样的成熟的市场，食品饮料板块也具备跨越不同经济阶段获取超额收益的能力。因此行业具备长期超配价值。</w:t>
      </w:r>
    </w:p>
    <w:p w:rsidR="00FB499A" w:rsidRPr="00FB499A" w:rsidRDefault="00FB499A" w:rsidP="00FB499A">
      <w:pPr>
        <w:ind w:leftChars="1200" w:left="2520" w:firstLineChars="50" w:firstLine="105"/>
        <w:rPr>
          <w:rFonts w:ascii="楷体_GB2312" w:eastAsia="楷体_GB2312"/>
          <w:kern w:val="0"/>
        </w:rPr>
      </w:pPr>
      <w:r w:rsidRPr="00FB499A">
        <w:rPr>
          <w:rFonts w:ascii="楷体_GB2312" w:eastAsia="楷体_GB2312" w:hint="eastAsia"/>
          <w:kern w:val="0"/>
        </w:rPr>
        <w:t>图1：美国过去20年食品饮料指数超额收益明显</w:t>
      </w:r>
    </w:p>
    <w:p w:rsidR="00FB499A" w:rsidRPr="00FB499A" w:rsidRDefault="00FB499A" w:rsidP="00FB499A">
      <w:pPr>
        <w:ind w:leftChars="1200" w:left="2520" w:firstLineChars="50" w:firstLine="105"/>
        <w:rPr>
          <w:rFonts w:ascii="楷体_GB2312" w:eastAsia="楷体_GB2312"/>
          <w:kern w:val="0"/>
        </w:rPr>
      </w:pPr>
      <w:r w:rsidRPr="00FB499A">
        <w:rPr>
          <w:rFonts w:ascii="楷体_GB2312" w:eastAsia="楷体_GB2312" w:hint="eastAsia"/>
          <w:noProof/>
          <w:kern w:val="0"/>
        </w:rPr>
        <w:lastRenderedPageBreak/>
        <w:drawing>
          <wp:inline distT="0" distB="0" distL="0" distR="0">
            <wp:extent cx="3511550" cy="1871133"/>
            <wp:effectExtent l="19050" t="0" r="0" b="0"/>
            <wp:docPr id="2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srcRect/>
                    <a:stretch>
                      <a:fillRect/>
                    </a:stretch>
                  </pic:blipFill>
                  <pic:spPr bwMode="auto">
                    <a:xfrm>
                      <a:off x="0" y="0"/>
                      <a:ext cx="3511552" cy="1871134"/>
                    </a:xfrm>
                    <a:prstGeom prst="rect">
                      <a:avLst/>
                    </a:prstGeom>
                    <a:noFill/>
                    <a:ln w="9525">
                      <a:noFill/>
                      <a:miter lim="800000"/>
                      <a:headEnd/>
                      <a:tailEnd/>
                    </a:ln>
                  </pic:spPr>
                </pic:pic>
              </a:graphicData>
            </a:graphic>
          </wp:inline>
        </w:drawing>
      </w:r>
    </w:p>
    <w:p w:rsidR="00FB499A" w:rsidRPr="00FB499A" w:rsidRDefault="00FB499A" w:rsidP="00FB499A">
      <w:pPr>
        <w:ind w:leftChars="1200" w:left="2520" w:firstLineChars="50" w:firstLine="105"/>
        <w:rPr>
          <w:rFonts w:ascii="楷体_GB2312" w:eastAsia="楷体_GB2312"/>
          <w:kern w:val="0"/>
        </w:rPr>
      </w:pPr>
      <w:r w:rsidRPr="00FB499A">
        <w:rPr>
          <w:rFonts w:ascii="楷体_GB2312" w:eastAsia="楷体_GB2312" w:hint="eastAsia"/>
          <w:kern w:val="0"/>
        </w:rPr>
        <w:t>图2：食品饮料行业收入增速与名义GDP增速对比</w:t>
      </w:r>
    </w:p>
    <w:p w:rsidR="00FB499A" w:rsidRPr="00FB499A" w:rsidRDefault="00FB499A" w:rsidP="00FB499A">
      <w:pPr>
        <w:ind w:leftChars="1200" w:left="2520" w:firstLineChars="50" w:firstLine="105"/>
        <w:rPr>
          <w:rFonts w:ascii="楷体_GB2312" w:eastAsia="楷体_GB2312"/>
          <w:kern w:val="0"/>
        </w:rPr>
      </w:pPr>
      <w:r w:rsidRPr="00FB499A">
        <w:rPr>
          <w:rFonts w:ascii="楷体_GB2312" w:eastAsia="楷体_GB2312" w:hint="eastAsia"/>
          <w:noProof/>
          <w:kern w:val="0"/>
        </w:rPr>
        <w:drawing>
          <wp:inline distT="0" distB="0" distL="0" distR="0">
            <wp:extent cx="3553884" cy="2251357"/>
            <wp:effectExtent l="19050" t="0" r="8466" b="0"/>
            <wp:docPr id="2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srcRect/>
                    <a:stretch>
                      <a:fillRect/>
                    </a:stretch>
                  </pic:blipFill>
                  <pic:spPr bwMode="auto">
                    <a:xfrm>
                      <a:off x="0" y="0"/>
                      <a:ext cx="3555443" cy="2252345"/>
                    </a:xfrm>
                    <a:prstGeom prst="rect">
                      <a:avLst/>
                    </a:prstGeom>
                    <a:noFill/>
                    <a:ln w="9525">
                      <a:noFill/>
                      <a:miter lim="800000"/>
                      <a:headEnd/>
                      <a:tailEnd/>
                    </a:ln>
                  </pic:spPr>
                </pic:pic>
              </a:graphicData>
            </a:graphic>
          </wp:inline>
        </w:drawing>
      </w:r>
    </w:p>
    <w:p w:rsidR="00FB499A" w:rsidRPr="00FB499A" w:rsidRDefault="00FB499A" w:rsidP="00FB499A">
      <w:pPr>
        <w:ind w:leftChars="1200" w:left="2520" w:firstLineChars="50" w:firstLine="105"/>
        <w:rPr>
          <w:rFonts w:ascii="楷体_GB2312" w:eastAsia="楷体_GB2312"/>
          <w:kern w:val="0"/>
        </w:rPr>
      </w:pPr>
    </w:p>
    <w:p w:rsidR="00FB499A" w:rsidRPr="00FB499A" w:rsidRDefault="00FB499A" w:rsidP="00FB499A">
      <w:pPr>
        <w:ind w:leftChars="1200" w:left="2520" w:firstLineChars="50" w:firstLine="105"/>
        <w:rPr>
          <w:rFonts w:ascii="楷体_GB2312" w:eastAsia="楷体_GB2312"/>
          <w:kern w:val="0"/>
        </w:rPr>
      </w:pPr>
      <w:r w:rsidRPr="00FB499A">
        <w:rPr>
          <w:rFonts w:ascii="楷体_GB2312" w:eastAsia="楷体_GB2312" w:hint="eastAsia"/>
          <w:kern w:val="0"/>
        </w:rPr>
        <w:t>图3：食品饮料板块利润增速超越大盘</w:t>
      </w:r>
    </w:p>
    <w:p w:rsidR="00FB499A" w:rsidRPr="00FB499A" w:rsidRDefault="00FB499A" w:rsidP="00FB499A">
      <w:pPr>
        <w:ind w:leftChars="1200" w:left="2520" w:firstLineChars="50" w:firstLine="105"/>
        <w:rPr>
          <w:rFonts w:ascii="楷体_GB2312" w:eastAsia="楷体_GB2312"/>
          <w:kern w:val="0"/>
        </w:rPr>
      </w:pPr>
      <w:r w:rsidRPr="00FB499A">
        <w:rPr>
          <w:rFonts w:ascii="楷体_GB2312" w:eastAsia="楷体_GB2312" w:hint="eastAsia"/>
          <w:noProof/>
          <w:kern w:val="0"/>
        </w:rPr>
        <w:drawing>
          <wp:inline distT="0" distB="0" distL="0" distR="0">
            <wp:extent cx="3977217" cy="2217037"/>
            <wp:effectExtent l="19050" t="0" r="4233"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srcRect/>
                    <a:stretch>
                      <a:fillRect/>
                    </a:stretch>
                  </pic:blipFill>
                  <pic:spPr bwMode="auto">
                    <a:xfrm>
                      <a:off x="0" y="0"/>
                      <a:ext cx="3979043" cy="2218055"/>
                    </a:xfrm>
                    <a:prstGeom prst="rect">
                      <a:avLst/>
                    </a:prstGeom>
                    <a:noFill/>
                    <a:ln w="9525">
                      <a:noFill/>
                      <a:miter lim="800000"/>
                      <a:headEnd/>
                      <a:tailEnd/>
                    </a:ln>
                  </pic:spPr>
                </pic:pic>
              </a:graphicData>
            </a:graphic>
          </wp:inline>
        </w:drawing>
      </w:r>
    </w:p>
    <w:p w:rsidR="00FB499A" w:rsidRPr="00FB499A" w:rsidRDefault="00FB499A" w:rsidP="00FB499A">
      <w:pPr>
        <w:ind w:leftChars="1200" w:left="2520" w:firstLineChars="50" w:firstLine="105"/>
        <w:rPr>
          <w:rFonts w:ascii="楷体_GB2312" w:eastAsia="楷体_GB2312"/>
          <w:kern w:val="0"/>
        </w:rPr>
      </w:pPr>
      <w:r w:rsidRPr="00FB499A">
        <w:rPr>
          <w:rFonts w:ascii="楷体_GB2312" w:eastAsia="楷体_GB2312" w:hint="eastAsia"/>
          <w:kern w:val="0"/>
        </w:rPr>
        <w:t>不同子板块的驱动因素不同：以白酒为代表的高端品行业，驱动因素主要是消费升级，最好的投资环境是温和通胀，在此背景下，劳动者收入两级分化，消费升级构成对高端品的需求拉动。品牌企业的提价是提升盈利和估值的动力。大众品的驱动因素是行业竞争格局、企业规模、渠道能力、成本。</w:t>
      </w:r>
    </w:p>
    <w:p w:rsidR="00FB499A" w:rsidRPr="00FB499A" w:rsidRDefault="00FB499A" w:rsidP="00FB499A">
      <w:pPr>
        <w:ind w:leftChars="1200" w:left="2520" w:firstLineChars="50" w:firstLine="105"/>
        <w:rPr>
          <w:rFonts w:ascii="楷体_GB2312" w:eastAsia="楷体_GB2312"/>
          <w:kern w:val="0"/>
        </w:rPr>
      </w:pPr>
      <w:r w:rsidRPr="00FB499A">
        <w:rPr>
          <w:rFonts w:ascii="楷体_GB2312" w:eastAsia="楷体_GB2312" w:hint="eastAsia"/>
          <w:kern w:val="0"/>
        </w:rPr>
        <w:t>中国经济增长的本质上是不断通胀，在此背景下我们认为高端品值得长期持有，而大众品更看好行业龙头。十二五如果启动收入分配改革，农村消费能力的释放对于具有品</w:t>
      </w:r>
      <w:r w:rsidRPr="00FB499A">
        <w:rPr>
          <w:rFonts w:ascii="楷体_GB2312" w:eastAsia="楷体_GB2312" w:hint="eastAsia"/>
          <w:kern w:val="0"/>
        </w:rPr>
        <w:lastRenderedPageBreak/>
        <w:t>牌的大众消费品而言将带来更大的发展机遇。短期看，明年上半年通胀处于下降通道中，食品饮料板块相对大盘的超额收益会收窄，加之目前相对大盘估值较高以及机构持仓的博弈，可能使得板块在1季度难有超额收益，全年看可能先抑后扬，我们判断1季度末将是增配食品板块最佳时机。就目前时点，大众品成本回落的逻辑更为确定。</w:t>
      </w:r>
    </w:p>
    <w:p w:rsidR="00FB499A" w:rsidRPr="00FB499A" w:rsidRDefault="00FB499A" w:rsidP="00FB499A">
      <w:pPr>
        <w:ind w:leftChars="1200" w:left="2520" w:firstLineChars="50" w:firstLine="105"/>
        <w:rPr>
          <w:rFonts w:ascii="楷体_GB2312" w:eastAsia="楷体_GB2312"/>
          <w:kern w:val="0"/>
        </w:rPr>
      </w:pPr>
    </w:p>
    <w:p w:rsidR="00FB499A" w:rsidRPr="00FB499A" w:rsidRDefault="00FB499A" w:rsidP="00FB499A">
      <w:pPr>
        <w:ind w:leftChars="1200" w:left="2520" w:firstLineChars="50" w:firstLine="105"/>
        <w:rPr>
          <w:rFonts w:ascii="楷体_GB2312" w:eastAsia="楷体_GB2312"/>
          <w:kern w:val="0"/>
        </w:rPr>
      </w:pPr>
      <w:r w:rsidRPr="00FB499A">
        <w:rPr>
          <w:rFonts w:ascii="楷体_GB2312" w:eastAsia="楷体_GB2312" w:hint="eastAsia"/>
          <w:kern w:val="0"/>
        </w:rPr>
        <w:t>图4：食品饮料板块投资逻辑梳理</w:t>
      </w:r>
    </w:p>
    <w:p w:rsidR="00FB499A" w:rsidRPr="00FB499A" w:rsidRDefault="00FB499A" w:rsidP="00FB499A">
      <w:pPr>
        <w:ind w:leftChars="1200" w:left="2520" w:firstLineChars="50" w:firstLine="105"/>
        <w:rPr>
          <w:rFonts w:ascii="楷体_GB2312" w:eastAsia="楷体_GB2312"/>
          <w:kern w:val="0"/>
        </w:rPr>
      </w:pPr>
      <w:r w:rsidRPr="00FB499A">
        <w:rPr>
          <w:rFonts w:ascii="楷体_GB2312" w:eastAsia="楷体_GB2312" w:hint="eastAsia"/>
          <w:noProof/>
          <w:kern w:val="0"/>
        </w:rPr>
        <w:drawing>
          <wp:inline distT="0" distB="0" distL="0" distR="0">
            <wp:extent cx="4722284" cy="2472267"/>
            <wp:effectExtent l="19050" t="0" r="2116"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srcRect/>
                    <a:stretch>
                      <a:fillRect/>
                    </a:stretch>
                  </pic:blipFill>
                  <pic:spPr bwMode="auto">
                    <a:xfrm>
                      <a:off x="0" y="0"/>
                      <a:ext cx="4722282" cy="2472266"/>
                    </a:xfrm>
                    <a:prstGeom prst="rect">
                      <a:avLst/>
                    </a:prstGeom>
                    <a:noFill/>
                    <a:ln w="9525">
                      <a:noFill/>
                      <a:miter lim="800000"/>
                      <a:headEnd/>
                      <a:tailEnd/>
                    </a:ln>
                  </pic:spPr>
                </pic:pic>
              </a:graphicData>
            </a:graphic>
          </wp:inline>
        </w:drawing>
      </w:r>
    </w:p>
    <w:p w:rsidR="00FB499A" w:rsidRPr="00FB499A" w:rsidRDefault="00FB499A" w:rsidP="00FB499A">
      <w:pPr>
        <w:ind w:leftChars="1200" w:left="2520" w:firstLineChars="50" w:firstLine="105"/>
        <w:rPr>
          <w:rFonts w:ascii="楷体_GB2312" w:eastAsia="楷体_GB2312"/>
          <w:kern w:val="0"/>
        </w:rPr>
      </w:pPr>
    </w:p>
    <w:p w:rsidR="00FB499A" w:rsidRPr="00FB499A" w:rsidRDefault="00FB499A" w:rsidP="00FB499A">
      <w:pPr>
        <w:ind w:leftChars="1200" w:left="2520" w:firstLineChars="50" w:firstLine="105"/>
        <w:rPr>
          <w:rFonts w:ascii="楷体_GB2312" w:eastAsia="楷体_GB2312"/>
          <w:kern w:val="0"/>
        </w:rPr>
      </w:pPr>
      <w:r w:rsidRPr="00FB499A">
        <w:rPr>
          <w:rFonts w:ascii="楷体_GB2312" w:eastAsia="楷体_GB2312" w:hint="eastAsia"/>
          <w:b/>
          <w:kern w:val="0"/>
        </w:rPr>
        <w:t>白酒：</w:t>
      </w:r>
      <w:r w:rsidRPr="00FB499A">
        <w:rPr>
          <w:rFonts w:ascii="楷体_GB2312" w:eastAsia="楷体_GB2312" w:hint="eastAsia"/>
          <w:kern w:val="0"/>
        </w:rPr>
        <w:t>白酒的消费源于中国特殊的政治经济结构。就行业空间而言，人均消费量已经位列世界前列，行业整体的消费量增长有限，但行业集中度将持续提升，伴随消费升级，不具备品牌力的小企业将退出，具有品牌优势和优秀营销能力的企业在集中度提升过程中将获得更好的发展。在3-5年的时间窗口，我们认为中高端品牌结构升级以及深度分销带来的份额增长能够持续。</w:t>
      </w:r>
    </w:p>
    <w:p w:rsidR="00FB499A" w:rsidRPr="00FB499A" w:rsidRDefault="00FB499A" w:rsidP="00FB499A">
      <w:pPr>
        <w:ind w:leftChars="1200" w:left="2520" w:firstLineChars="50" w:firstLine="105"/>
        <w:rPr>
          <w:rFonts w:ascii="楷体_GB2312" w:eastAsia="楷体_GB2312"/>
          <w:kern w:val="0"/>
        </w:rPr>
      </w:pPr>
      <w:r w:rsidRPr="00FB499A">
        <w:rPr>
          <w:rFonts w:ascii="楷体_GB2312" w:eastAsia="楷体_GB2312" w:hint="eastAsia"/>
          <w:b/>
          <w:kern w:val="0"/>
        </w:rPr>
        <w:t>葡萄酒：</w:t>
      </w:r>
      <w:r w:rsidRPr="00FB499A">
        <w:rPr>
          <w:rFonts w:ascii="楷体_GB2312" w:eastAsia="楷体_GB2312" w:hint="eastAsia"/>
          <w:kern w:val="0"/>
        </w:rPr>
        <w:t>就人均消费量而言，目前人均消费量0.9升，而城镇人均葡萄酒消费量为1.8升，远低于世界平均的3.5升，但与消费习惯类似的日本和韩国接近。我们认为10年内的时间窗口看，葡萄酒具备发展空间。短期看，受到进口葡萄酒的冲击，行业发展可能出现瓶颈。</w:t>
      </w:r>
    </w:p>
    <w:p w:rsidR="00FB499A" w:rsidRPr="00FB499A" w:rsidRDefault="00FB499A" w:rsidP="00FB499A">
      <w:pPr>
        <w:ind w:leftChars="1200" w:left="2520" w:firstLineChars="50" w:firstLine="105"/>
        <w:rPr>
          <w:rFonts w:ascii="楷体_GB2312" w:eastAsia="楷体_GB2312"/>
          <w:kern w:val="0"/>
        </w:rPr>
      </w:pPr>
      <w:r w:rsidRPr="00FB499A">
        <w:rPr>
          <w:rFonts w:ascii="楷体_GB2312" w:eastAsia="楷体_GB2312" w:hint="eastAsia"/>
          <w:b/>
          <w:kern w:val="0"/>
        </w:rPr>
        <w:t>大众消费品：</w:t>
      </w:r>
      <w:r w:rsidRPr="00FB499A">
        <w:rPr>
          <w:rFonts w:ascii="楷体_GB2312" w:eastAsia="楷体_GB2312" w:hint="eastAsia"/>
          <w:kern w:val="0"/>
        </w:rPr>
        <w:t>2012年上半年通胀回落过程中，大众消费品受益成本回落，相对高端消费品配置价值更为确定。</w:t>
      </w:r>
    </w:p>
    <w:p w:rsidR="00FB499A" w:rsidRPr="00FB499A" w:rsidRDefault="00FB499A" w:rsidP="00FB499A">
      <w:pPr>
        <w:ind w:leftChars="1200" w:left="2520" w:firstLineChars="50" w:firstLine="105"/>
        <w:rPr>
          <w:rFonts w:ascii="楷体_GB2312" w:eastAsia="楷体_GB2312"/>
          <w:kern w:val="0"/>
        </w:rPr>
      </w:pPr>
      <w:r w:rsidRPr="00FB499A">
        <w:rPr>
          <w:rFonts w:ascii="楷体_GB2312" w:eastAsia="楷体_GB2312" w:hint="eastAsia"/>
          <w:b/>
          <w:kern w:val="0"/>
        </w:rPr>
        <w:t>啤酒：</w:t>
      </w:r>
      <w:r w:rsidRPr="00FB499A">
        <w:rPr>
          <w:rFonts w:ascii="楷体_GB2312" w:eastAsia="楷体_GB2312" w:hint="eastAsia"/>
          <w:kern w:val="0"/>
        </w:rPr>
        <w:t>行业仍在跑马圈地过程中。成本下降不可期望过高。</w:t>
      </w:r>
      <w:r w:rsidRPr="00FB499A">
        <w:rPr>
          <w:rFonts w:ascii="楷体_GB2312" w:eastAsia="楷体_GB2312"/>
          <w:kern w:val="0"/>
        </w:rPr>
        <w:t>目前我国</w:t>
      </w:r>
      <w:r w:rsidRPr="00FB499A">
        <w:rPr>
          <w:rFonts w:ascii="楷体_GB2312" w:eastAsia="楷体_GB2312" w:hint="eastAsia"/>
          <w:kern w:val="0"/>
        </w:rPr>
        <w:t>啤酒行业</w:t>
      </w:r>
      <w:r w:rsidRPr="00FB499A">
        <w:rPr>
          <w:rFonts w:ascii="楷体_GB2312" w:eastAsia="楷体_GB2312"/>
          <w:kern w:val="0"/>
        </w:rPr>
        <w:t>CR4接近60%，相当于美国70年代后期的水平。美国CR4的集中度从20%提高到60%大约花了近30年时间，而同样的我国花了约11年；那么美国在之后又花了20年将CR4集中度提高到90%，我们可能需要的时间是7年，也就意味着在未来5-10年中国啤酒行业将决定最后的座次排名，大概有4、5家企业可能成为最后的胜利者，对于想争夺行业龙头的企业来说，此时注重规模或许是更重要的。</w:t>
      </w:r>
    </w:p>
    <w:p w:rsidR="00FB499A" w:rsidRPr="00FB499A" w:rsidRDefault="00FB499A" w:rsidP="00FB499A">
      <w:pPr>
        <w:ind w:leftChars="1200" w:left="2520" w:firstLineChars="50" w:firstLine="105"/>
        <w:rPr>
          <w:rFonts w:ascii="楷体_GB2312" w:eastAsia="楷体_GB2312"/>
          <w:kern w:val="0"/>
        </w:rPr>
      </w:pPr>
      <w:r w:rsidRPr="00FB499A">
        <w:rPr>
          <w:rFonts w:ascii="楷体_GB2312" w:eastAsia="楷体_GB2312" w:hint="eastAsia"/>
          <w:b/>
          <w:kern w:val="0"/>
        </w:rPr>
        <w:t>乳制品：</w:t>
      </w:r>
      <w:r w:rsidRPr="00FB499A">
        <w:rPr>
          <w:rFonts w:ascii="楷体_GB2312" w:eastAsia="楷体_GB2312" w:hint="eastAsia"/>
          <w:kern w:val="0"/>
        </w:rPr>
        <w:t>过去十年乳制品行业复合增速超过20%，目前国内乳制品消费增长速度已趋缓。我国高收入层对乳制品的需求在38千克后出现了停滞，假设10年内中国所有收入层达到38千克的人均消费量，乳制品行业的收入增速为12%。行业竞争格局已经基本稳定，伊利蒙牛双寡头地位稳固，行业利润率缓步提升是趋势。</w:t>
      </w:r>
    </w:p>
    <w:p w:rsidR="00FB499A" w:rsidRDefault="00FB499A" w:rsidP="00FB499A">
      <w:pPr>
        <w:ind w:leftChars="1200" w:left="2520" w:firstLineChars="50" w:firstLine="105"/>
        <w:rPr>
          <w:rFonts w:ascii="楷体_GB2312" w:eastAsia="楷体_GB2312"/>
          <w:kern w:val="0"/>
        </w:rPr>
      </w:pPr>
      <w:r w:rsidRPr="00FB499A">
        <w:rPr>
          <w:rFonts w:ascii="楷体_GB2312" w:eastAsia="楷体_GB2312" w:hint="eastAsia"/>
          <w:b/>
          <w:kern w:val="0"/>
        </w:rPr>
        <w:t>屠宰加工和肉制品：</w:t>
      </w:r>
      <w:r w:rsidRPr="00FB499A">
        <w:rPr>
          <w:rFonts w:ascii="楷体_GB2312" w:eastAsia="楷体_GB2312" w:hint="eastAsia"/>
          <w:kern w:val="0"/>
        </w:rPr>
        <w:t>猪肉消费总量稳定低速增长，过去5年猪肉产量年均增长2.2%，未来人均消费量增长不明显。未来品牌消费升级将是趋势。行业集中度提升是企业增长</w:t>
      </w:r>
      <w:r w:rsidRPr="00FB499A">
        <w:rPr>
          <w:rFonts w:ascii="楷体_GB2312" w:eastAsia="楷体_GB2312" w:hint="eastAsia"/>
          <w:kern w:val="0"/>
        </w:rPr>
        <w:lastRenderedPageBreak/>
        <w:t>的主要驱动因素。当前我国大型屠宰和肉制品加工企业仅26家，占规模企业总量的0.7%，销售收入1100亿，占比21%，前三大肉制品企业收入占比约10%。其中双汇占比5%。大多数图摘厂规模小、机械化程度低。从美国屠宰和肉制品行业发展历程看，80年代进入行业整合期，集中度不断提升。CR4从60年底啊30%上升到超过70%。龙头企业Smithfield猪肉制品加工量占行业比重超过30%。猪周期后半程，成本回落，规模扩张、头均盈利提升是2012年主基调。</w:t>
      </w:r>
    </w:p>
    <w:p w:rsidR="00B22D56" w:rsidRDefault="00B22D56" w:rsidP="00FB499A">
      <w:pPr>
        <w:ind w:leftChars="1200" w:left="2520" w:firstLineChars="50" w:firstLine="105"/>
        <w:rPr>
          <w:rFonts w:ascii="楷体_GB2312" w:eastAsia="楷体_GB2312"/>
          <w:kern w:val="0"/>
        </w:rPr>
      </w:pPr>
    </w:p>
    <w:p w:rsidR="00097DFD" w:rsidRDefault="00B22D56" w:rsidP="008B0962">
      <w:pPr>
        <w:pStyle w:val="1"/>
        <w:numPr>
          <w:ilvl w:val="0"/>
          <w:numId w:val="4"/>
        </w:numPr>
        <w:spacing w:beforeLines="50" w:afterLines="50" w:line="480" w:lineRule="auto"/>
        <w:ind w:left="2705"/>
        <w:rPr>
          <w:rFonts w:ascii="楷体_GB2312" w:eastAsia="楷体_GB2312"/>
          <w:bCs w:val="0"/>
          <w:kern w:val="0"/>
          <w:sz w:val="21"/>
          <w:szCs w:val="21"/>
        </w:rPr>
      </w:pPr>
      <w:bookmarkStart w:id="48" w:name="_Toc313737760"/>
      <w:r w:rsidRPr="00B22D56">
        <w:rPr>
          <w:rFonts w:ascii="楷体_GB2312" w:eastAsia="楷体_GB2312" w:hint="eastAsia"/>
          <w:bCs w:val="0"/>
          <w:kern w:val="0"/>
          <w:sz w:val="21"/>
          <w:szCs w:val="21"/>
        </w:rPr>
        <w:t>餐饮旅游行业</w:t>
      </w:r>
      <w:bookmarkEnd w:id="48"/>
    </w:p>
    <w:p w:rsidR="00B22D56" w:rsidRPr="00B22D56" w:rsidRDefault="00B22D56" w:rsidP="00B22D56">
      <w:pPr>
        <w:pStyle w:val="a5"/>
        <w:ind w:firstLineChars="1250" w:firstLine="2625"/>
        <w:rPr>
          <w:rFonts w:ascii="楷体_GB2312" w:eastAsia="楷体_GB2312"/>
          <w:kern w:val="0"/>
        </w:rPr>
      </w:pPr>
      <w:r w:rsidRPr="00B22D56">
        <w:rPr>
          <w:rFonts w:ascii="楷体_GB2312" w:eastAsia="楷体_GB2312" w:hint="eastAsia"/>
          <w:kern w:val="0"/>
        </w:rPr>
        <w:t>一、2012旅游行业成长性确定</w:t>
      </w:r>
    </w:p>
    <w:p w:rsidR="00B22D56" w:rsidRPr="00B22D56" w:rsidRDefault="00B22D56" w:rsidP="00B22D56">
      <w:pPr>
        <w:pStyle w:val="a5"/>
        <w:ind w:leftChars="1250" w:left="2625" w:firstLineChars="200" w:firstLine="420"/>
        <w:rPr>
          <w:rFonts w:ascii="楷体_GB2312" w:eastAsia="楷体_GB2312"/>
          <w:kern w:val="0"/>
        </w:rPr>
      </w:pPr>
      <w:r w:rsidRPr="00B22D56">
        <w:rPr>
          <w:rFonts w:ascii="楷体_GB2312" w:eastAsia="楷体_GB2312" w:hint="eastAsia"/>
          <w:kern w:val="0"/>
        </w:rPr>
        <w:t>旅游在中国仍然是成长性较好的消费行业，在不确定的经济环境中具有较高的成长确定性，受经济周期影响较小。预计2012年旅游行业游客总人数及总收入分别增长10%/15%。</w:t>
      </w:r>
    </w:p>
    <w:p w:rsidR="00B22D56" w:rsidRDefault="00B22D56" w:rsidP="00B22D56">
      <w:pPr>
        <w:pStyle w:val="a5"/>
        <w:ind w:firstLineChars="1450" w:firstLine="3045"/>
        <w:rPr>
          <w:rFonts w:ascii="楷体_GB2312" w:eastAsia="楷体_GB2312"/>
          <w:kern w:val="0"/>
        </w:rPr>
      </w:pPr>
    </w:p>
    <w:p w:rsidR="00B22D56" w:rsidRPr="00B22D56" w:rsidRDefault="00B22D56" w:rsidP="00B22D56">
      <w:pPr>
        <w:pStyle w:val="a5"/>
        <w:ind w:firstLineChars="1450" w:firstLine="3045"/>
        <w:rPr>
          <w:rFonts w:ascii="楷体_GB2312" w:eastAsia="楷体_GB2312"/>
          <w:kern w:val="0"/>
        </w:rPr>
      </w:pPr>
      <w:r w:rsidRPr="00B22D56">
        <w:rPr>
          <w:rFonts w:ascii="楷体_GB2312" w:eastAsia="楷体_GB2312" w:hint="eastAsia"/>
          <w:kern w:val="0"/>
        </w:rPr>
        <w:t>1、国内旅游行业对于全球经济波动不敏感。</w:t>
      </w:r>
    </w:p>
    <w:p w:rsidR="00B22D56" w:rsidRPr="00B22D56" w:rsidRDefault="00B22D56" w:rsidP="00B22D56">
      <w:pPr>
        <w:pStyle w:val="a5"/>
        <w:ind w:leftChars="1250" w:left="2625" w:firstLineChars="200" w:firstLine="420"/>
        <w:rPr>
          <w:rFonts w:ascii="楷体_GB2312" w:eastAsia="楷体_GB2312"/>
          <w:kern w:val="0"/>
        </w:rPr>
      </w:pPr>
      <w:r w:rsidRPr="00B22D56">
        <w:rPr>
          <w:rFonts w:ascii="楷体_GB2312" w:eastAsia="楷体_GB2312" w:hint="eastAsia"/>
          <w:kern w:val="0"/>
        </w:rPr>
        <w:t>国内游占旅游总收入比重已经由10 年前的70%左右提高到80%上下。国内游在经济趋弱的情况下保持较快增长，成为整个旅游行业的稳定因素，并将是未来2-3年中国旅游行业维持快速增长的主要动力。</w:t>
      </w:r>
    </w:p>
    <w:p w:rsidR="00B22D56" w:rsidRPr="00B22D56" w:rsidRDefault="00B22D56" w:rsidP="00B22D56">
      <w:pPr>
        <w:pStyle w:val="a5"/>
        <w:ind w:firstLineChars="50" w:firstLine="105"/>
        <w:jc w:val="left"/>
        <w:rPr>
          <w:rFonts w:ascii="楷体_GB2312" w:eastAsia="楷体_GB2312"/>
          <w:kern w:val="0"/>
        </w:rPr>
      </w:pPr>
      <w:r w:rsidRPr="00B22D56">
        <w:rPr>
          <w:rFonts w:ascii="楷体_GB2312" w:eastAsia="楷体_GB2312" w:hint="eastAsia"/>
          <w:kern w:val="0"/>
        </w:rPr>
        <w:t>1995-2011E年中国旅游收入及增长                       1991-2011E中国旅游行业收入构成</w:t>
      </w:r>
    </w:p>
    <w:p w:rsidR="00B22D56" w:rsidRPr="00B22D56" w:rsidRDefault="00B22D56" w:rsidP="00B22D56">
      <w:pPr>
        <w:pStyle w:val="a5"/>
        <w:ind w:firstLineChars="50" w:firstLine="105"/>
        <w:rPr>
          <w:rFonts w:ascii="楷体_GB2312" w:eastAsia="楷体_GB2312"/>
          <w:kern w:val="0"/>
        </w:rPr>
      </w:pPr>
      <w:r w:rsidRPr="00B22D56">
        <w:rPr>
          <w:rFonts w:ascii="楷体_GB2312" w:eastAsia="楷体_GB2312"/>
          <w:noProof/>
          <w:kern w:val="0"/>
        </w:rPr>
        <w:drawing>
          <wp:inline distT="0" distB="0" distL="0" distR="0">
            <wp:extent cx="2809875" cy="180022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2809875" cy="1800225"/>
                    </a:xfrm>
                    <a:prstGeom prst="rect">
                      <a:avLst/>
                    </a:prstGeom>
                    <a:noFill/>
                    <a:ln w="9525">
                      <a:noFill/>
                      <a:miter lim="800000"/>
                      <a:headEnd/>
                      <a:tailEnd/>
                    </a:ln>
                  </pic:spPr>
                </pic:pic>
              </a:graphicData>
            </a:graphic>
          </wp:inline>
        </w:drawing>
      </w:r>
      <w:r w:rsidRPr="00B22D56">
        <w:rPr>
          <w:rFonts w:ascii="楷体_GB2312" w:eastAsia="楷体_GB2312" w:hint="eastAsia"/>
          <w:kern w:val="0"/>
        </w:rPr>
        <w:t xml:space="preserve">            </w:t>
      </w:r>
      <w:r w:rsidRPr="00B22D56">
        <w:rPr>
          <w:rFonts w:ascii="楷体_GB2312" w:eastAsia="楷体_GB2312"/>
          <w:noProof/>
          <w:kern w:val="0"/>
        </w:rPr>
        <w:drawing>
          <wp:inline distT="0" distB="0" distL="0" distR="0">
            <wp:extent cx="2809875" cy="1800225"/>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2809875" cy="1800225"/>
                    </a:xfrm>
                    <a:prstGeom prst="rect">
                      <a:avLst/>
                    </a:prstGeom>
                    <a:noFill/>
                    <a:ln w="9525">
                      <a:noFill/>
                      <a:miter lim="800000"/>
                      <a:headEnd/>
                      <a:tailEnd/>
                    </a:ln>
                  </pic:spPr>
                </pic:pic>
              </a:graphicData>
            </a:graphic>
          </wp:inline>
        </w:drawing>
      </w:r>
    </w:p>
    <w:p w:rsidR="00B22D56" w:rsidRPr="00B22D56" w:rsidRDefault="00B22D56" w:rsidP="00B22D56">
      <w:pPr>
        <w:pStyle w:val="a5"/>
        <w:ind w:firstLineChars="50" w:firstLine="105"/>
        <w:jc w:val="right"/>
        <w:rPr>
          <w:rFonts w:ascii="楷体_GB2312" w:eastAsia="楷体_GB2312"/>
          <w:kern w:val="0"/>
        </w:rPr>
      </w:pPr>
      <w:bookmarkStart w:id="49" w:name="OLE_LINK7"/>
      <w:bookmarkStart w:id="50" w:name="OLE_LINK8"/>
      <w:r w:rsidRPr="00B22D56">
        <w:rPr>
          <w:rFonts w:ascii="楷体_GB2312" w:eastAsia="楷体_GB2312" w:hint="eastAsia"/>
          <w:kern w:val="0"/>
        </w:rPr>
        <w:t>资料来源：中国旅游局</w:t>
      </w:r>
    </w:p>
    <w:bookmarkEnd w:id="49"/>
    <w:bookmarkEnd w:id="50"/>
    <w:p w:rsidR="00B22D56" w:rsidRPr="00B22D56" w:rsidRDefault="00B22D56" w:rsidP="00B22D56">
      <w:pPr>
        <w:pStyle w:val="a5"/>
        <w:ind w:firstLineChars="1400" w:firstLine="2940"/>
        <w:rPr>
          <w:rFonts w:ascii="楷体_GB2312" w:eastAsia="楷体_GB2312"/>
          <w:kern w:val="0"/>
        </w:rPr>
      </w:pPr>
      <w:r w:rsidRPr="00B22D56">
        <w:rPr>
          <w:rFonts w:ascii="楷体_GB2312" w:eastAsia="楷体_GB2312" w:hint="eastAsia"/>
          <w:kern w:val="0"/>
        </w:rPr>
        <w:t>2、国内旅游行业对于国内GDP增速不敏感。</w:t>
      </w:r>
    </w:p>
    <w:p w:rsidR="00B22D56" w:rsidRPr="00B22D56" w:rsidRDefault="00B22D56" w:rsidP="00B22D56">
      <w:pPr>
        <w:pStyle w:val="a5"/>
        <w:ind w:leftChars="1500" w:left="3150" w:firstLineChars="200" w:firstLine="420"/>
        <w:rPr>
          <w:rFonts w:ascii="楷体_GB2312" w:eastAsia="楷体_GB2312"/>
          <w:kern w:val="0"/>
        </w:rPr>
      </w:pPr>
      <w:r w:rsidRPr="00B22D56">
        <w:rPr>
          <w:rFonts w:ascii="楷体_GB2312" w:eastAsia="楷体_GB2312" w:hint="eastAsia"/>
          <w:kern w:val="0"/>
        </w:rPr>
        <w:t>在中国，</w:t>
      </w:r>
      <w:r w:rsidRPr="00B22D56">
        <w:rPr>
          <w:rFonts w:ascii="楷体_GB2312" w:eastAsia="楷体_GB2312"/>
          <w:kern w:val="0"/>
        </w:rPr>
        <w:t>旅游行业</w:t>
      </w:r>
      <w:r w:rsidRPr="00B22D56">
        <w:rPr>
          <w:rFonts w:ascii="楷体_GB2312" w:eastAsia="楷体_GB2312" w:hint="eastAsia"/>
          <w:kern w:val="0"/>
        </w:rPr>
        <w:t>尚属</w:t>
      </w:r>
      <w:r w:rsidRPr="00B22D56">
        <w:rPr>
          <w:rFonts w:ascii="楷体_GB2312" w:eastAsia="楷体_GB2312"/>
          <w:kern w:val="0"/>
        </w:rPr>
        <w:t>朝阳</w:t>
      </w:r>
      <w:r w:rsidRPr="00B22D56">
        <w:rPr>
          <w:rFonts w:ascii="楷体_GB2312" w:eastAsia="楷体_GB2312" w:hint="eastAsia"/>
          <w:kern w:val="0"/>
        </w:rPr>
        <w:t>产</w:t>
      </w:r>
      <w:r w:rsidRPr="00B22D56">
        <w:rPr>
          <w:rFonts w:ascii="楷体_GB2312" w:eastAsia="楷体_GB2312"/>
          <w:kern w:val="0"/>
        </w:rPr>
        <w:t>业，</w:t>
      </w:r>
      <w:r w:rsidRPr="00B22D56">
        <w:rPr>
          <w:rFonts w:ascii="楷体_GB2312" w:eastAsia="楷体_GB2312" w:hint="eastAsia"/>
          <w:kern w:val="0"/>
        </w:rPr>
        <w:t>旅游行业在整个经济产值中占比较低，2010年旅游行业收入占GDP比重仅3.8%。中国旅游行业受宏观经济影响相比美国成熟国家来说相对较小，中国旅游收入波动与经济周期波动之间相关性要明显低于美国。目前我国旅游业仍处于以观光游为主、向休闲游过渡阶段，观光游对应的旅游消费支出相对较低，因此我们认为旅游行业发展对居民收入增速放缓等因素较不敏感。</w:t>
      </w:r>
    </w:p>
    <w:p w:rsidR="00B22D56" w:rsidRPr="00B22D56" w:rsidRDefault="00B22D56" w:rsidP="00B22D56">
      <w:pPr>
        <w:pStyle w:val="a5"/>
        <w:rPr>
          <w:rFonts w:ascii="楷体_GB2312" w:eastAsia="楷体_GB2312"/>
          <w:kern w:val="0"/>
        </w:rPr>
      </w:pPr>
      <w:r w:rsidRPr="00B22D56">
        <w:rPr>
          <w:rFonts w:ascii="楷体_GB2312" w:eastAsia="楷体_GB2312" w:hint="eastAsia"/>
          <w:kern w:val="0"/>
        </w:rPr>
        <w:t>美国国内旅游收入增速对GDP增速弹性                    中国国内旅游收入增速对GDP增速弹性</w:t>
      </w:r>
    </w:p>
    <w:p w:rsidR="00B22D56" w:rsidRPr="00B22D56" w:rsidRDefault="00B22D56" w:rsidP="00B22D56">
      <w:pPr>
        <w:pStyle w:val="a5"/>
        <w:rPr>
          <w:rFonts w:ascii="楷体_GB2312" w:eastAsia="楷体_GB2312"/>
          <w:kern w:val="0"/>
        </w:rPr>
      </w:pPr>
      <w:r w:rsidRPr="00B22D56">
        <w:rPr>
          <w:rFonts w:ascii="楷体_GB2312" w:eastAsia="楷体_GB2312"/>
          <w:noProof/>
          <w:kern w:val="0"/>
        </w:rPr>
        <w:lastRenderedPageBreak/>
        <w:drawing>
          <wp:inline distT="0" distB="0" distL="0" distR="0">
            <wp:extent cx="2809875" cy="1800225"/>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2809875" cy="1800225"/>
                    </a:xfrm>
                    <a:prstGeom prst="rect">
                      <a:avLst/>
                    </a:prstGeom>
                    <a:noFill/>
                    <a:ln w="9525">
                      <a:noFill/>
                      <a:miter lim="800000"/>
                      <a:headEnd/>
                      <a:tailEnd/>
                    </a:ln>
                  </pic:spPr>
                </pic:pic>
              </a:graphicData>
            </a:graphic>
          </wp:inline>
        </w:drawing>
      </w:r>
      <w:r w:rsidRPr="00B22D56">
        <w:rPr>
          <w:rFonts w:ascii="楷体_GB2312" w:eastAsia="楷体_GB2312" w:hint="eastAsia"/>
          <w:kern w:val="0"/>
        </w:rPr>
        <w:t xml:space="preserve">             </w:t>
      </w:r>
      <w:r w:rsidRPr="00B22D56">
        <w:rPr>
          <w:rFonts w:ascii="楷体_GB2312" w:eastAsia="楷体_GB2312"/>
          <w:noProof/>
          <w:kern w:val="0"/>
        </w:rPr>
        <w:drawing>
          <wp:inline distT="0" distB="0" distL="0" distR="0">
            <wp:extent cx="2809875" cy="1800225"/>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2809875" cy="1800225"/>
                    </a:xfrm>
                    <a:prstGeom prst="rect">
                      <a:avLst/>
                    </a:prstGeom>
                    <a:noFill/>
                    <a:ln w="9525">
                      <a:noFill/>
                      <a:miter lim="800000"/>
                      <a:headEnd/>
                      <a:tailEnd/>
                    </a:ln>
                  </pic:spPr>
                </pic:pic>
              </a:graphicData>
            </a:graphic>
          </wp:inline>
        </w:drawing>
      </w:r>
    </w:p>
    <w:p w:rsidR="00B22D56" w:rsidRPr="00B22D56" w:rsidRDefault="00B22D56" w:rsidP="00B22D56">
      <w:pPr>
        <w:pStyle w:val="a5"/>
        <w:ind w:firstLineChars="50" w:firstLine="105"/>
        <w:jc w:val="right"/>
        <w:rPr>
          <w:rFonts w:ascii="楷体_GB2312" w:eastAsia="楷体_GB2312"/>
          <w:kern w:val="0"/>
        </w:rPr>
      </w:pPr>
      <w:r w:rsidRPr="00B22D56">
        <w:rPr>
          <w:rFonts w:ascii="楷体_GB2312" w:eastAsia="楷体_GB2312" w:hint="eastAsia"/>
          <w:kern w:val="0"/>
        </w:rPr>
        <w:t>资料来源：中国旅游局</w:t>
      </w:r>
    </w:p>
    <w:p w:rsidR="00B22D56" w:rsidRPr="00B22D56" w:rsidRDefault="00B22D56" w:rsidP="00B22D56">
      <w:pPr>
        <w:pStyle w:val="a5"/>
        <w:ind w:firstLineChars="1600" w:firstLine="3360"/>
        <w:rPr>
          <w:rFonts w:ascii="楷体_GB2312" w:eastAsia="楷体_GB2312"/>
          <w:kern w:val="0"/>
        </w:rPr>
      </w:pPr>
      <w:r w:rsidRPr="00B22D56">
        <w:rPr>
          <w:rFonts w:ascii="楷体_GB2312" w:eastAsia="楷体_GB2312" w:hint="eastAsia"/>
          <w:kern w:val="0"/>
        </w:rPr>
        <w:t>二、看好旅游产业链中的目的地消费：景区、免税。</w:t>
      </w:r>
    </w:p>
    <w:p w:rsidR="00B22D56" w:rsidRPr="00B22D56" w:rsidRDefault="00B22D56" w:rsidP="00B22D56">
      <w:pPr>
        <w:pStyle w:val="a5"/>
        <w:ind w:firstLineChars="1400" w:firstLine="2940"/>
        <w:rPr>
          <w:rFonts w:ascii="楷体_GB2312" w:eastAsia="楷体_GB2312"/>
          <w:kern w:val="0"/>
        </w:rPr>
      </w:pPr>
      <w:r w:rsidRPr="00B22D56">
        <w:rPr>
          <w:rFonts w:ascii="楷体_GB2312" w:eastAsia="楷体_GB2312" w:hint="eastAsia"/>
          <w:kern w:val="0"/>
        </w:rPr>
        <w:t>旅游的目的地消费垄断性强，因此毛利率相对比较高，在行业中抗周期性更强</w:t>
      </w:r>
    </w:p>
    <w:p w:rsidR="00B22D56" w:rsidRPr="00B22D56" w:rsidRDefault="00B22D56" w:rsidP="00B22D56">
      <w:pPr>
        <w:pStyle w:val="a5"/>
        <w:ind w:leftChars="1400" w:left="2940"/>
        <w:rPr>
          <w:rFonts w:ascii="楷体_GB2312" w:eastAsia="楷体_GB2312"/>
          <w:kern w:val="0"/>
        </w:rPr>
      </w:pPr>
      <w:r w:rsidRPr="00B22D56">
        <w:rPr>
          <w:rFonts w:ascii="楷体_GB2312" w:eastAsia="楷体_GB2312" w:hint="eastAsia"/>
          <w:kern w:val="0"/>
        </w:rPr>
        <w:t>我国旅游消费需求总体呈现为以观光游为主、向休闲游过渡特征，在此期间，能够适应大众化消费需求和部分满足高端升级消费需求的旅游产品将显著受益，而资源将成为保证成长空间和盈利能力体现的首要要素。在此逻辑下，我们看好景区（包括延伸产品如旅游演艺等）、免税子行业。</w:t>
      </w:r>
    </w:p>
    <w:p w:rsidR="00B22D56" w:rsidRPr="00B22D56" w:rsidRDefault="00B22D56" w:rsidP="00B22D56">
      <w:pPr>
        <w:pStyle w:val="a5"/>
        <w:ind w:leftChars="1400" w:left="2940"/>
        <w:rPr>
          <w:rFonts w:ascii="楷体_GB2312" w:eastAsia="楷体_GB2312"/>
          <w:kern w:val="0"/>
        </w:rPr>
      </w:pPr>
      <w:r w:rsidRPr="00B22D56">
        <w:rPr>
          <w:rFonts w:ascii="楷体_GB2312" w:eastAsia="楷体_GB2312" w:hint="eastAsia"/>
          <w:kern w:val="0"/>
        </w:rPr>
        <w:t>1、</w:t>
      </w:r>
      <w:bookmarkStart w:id="51" w:name="OLE_LINK11"/>
      <w:bookmarkStart w:id="52" w:name="OLE_LINK12"/>
      <w:r w:rsidRPr="00B22D56">
        <w:rPr>
          <w:rFonts w:ascii="楷体_GB2312" w:eastAsia="楷体_GB2312" w:hint="eastAsia"/>
          <w:kern w:val="0"/>
        </w:rPr>
        <w:t>目的地消费之景区：</w:t>
      </w:r>
      <w:bookmarkEnd w:id="51"/>
      <w:bookmarkEnd w:id="52"/>
      <w:r w:rsidRPr="00B22D56">
        <w:rPr>
          <w:rFonts w:ascii="楷体_GB2312" w:eastAsia="楷体_GB2312" w:hint="eastAsia"/>
          <w:kern w:val="0"/>
        </w:rPr>
        <w:t>2012 年中国将处在经济放缓增长、通胀下行的宏观环境。我们认为，这一环境有利于一线资源类公司实现业绩增长，一方面，国内景区收入增长受经济增长放缓影响较小，另一方面，低通胀的环境有利于提价窗口打开。具备提价预期的景区公司将享受提价带来业绩增长的高弹性。</w:t>
      </w:r>
    </w:p>
    <w:p w:rsidR="00B22D56" w:rsidRPr="00B22D56" w:rsidRDefault="00B22D56" w:rsidP="00B22D56">
      <w:pPr>
        <w:pStyle w:val="a5"/>
        <w:ind w:leftChars="1400" w:left="2940" w:firstLineChars="50" w:firstLine="105"/>
        <w:rPr>
          <w:rFonts w:ascii="楷体_GB2312" w:eastAsia="楷体_GB2312"/>
          <w:kern w:val="0"/>
        </w:rPr>
      </w:pPr>
      <w:r w:rsidRPr="00B22D56">
        <w:rPr>
          <w:rFonts w:ascii="楷体_GB2312" w:eastAsia="楷体_GB2312" w:hint="eastAsia"/>
          <w:kern w:val="0"/>
        </w:rPr>
        <w:t>2、目的地消费之免税店：中国的奢侈品行业已经起步中国奢侈品行业的起步事实上是从2002 年国家大幅放开出国游开始，2007 年之后也一直保持40%左右的高速增长。预计未来5 年，中国奢侈品消费市场将达到146 亿美元，占据全球奢侈品消费额首位；在出国游、奢侈品高速发展时期，国家继离岛免税之后有可能继续出台鼓励免税品国内消费的政策，如提高离岛免税额度，批准设立入境免税店等。以上因素将使国内免税行业维持其高成长及高盈利性。</w:t>
      </w:r>
    </w:p>
    <w:p w:rsidR="00B22D56" w:rsidRPr="00B22D56" w:rsidRDefault="00B22D56" w:rsidP="00B22D56">
      <w:pPr>
        <w:pStyle w:val="a5"/>
        <w:ind w:firstLineChars="150" w:firstLine="315"/>
        <w:rPr>
          <w:rFonts w:ascii="楷体_GB2312" w:eastAsia="楷体_GB2312"/>
          <w:kern w:val="0"/>
        </w:rPr>
      </w:pPr>
      <w:r w:rsidRPr="00B22D56">
        <w:rPr>
          <w:rFonts w:ascii="楷体_GB2312" w:eastAsia="楷体_GB2312" w:hint="eastAsia"/>
          <w:kern w:val="0"/>
        </w:rPr>
        <w:t>旅游价值链解析</w:t>
      </w:r>
    </w:p>
    <w:p w:rsidR="00B22D56" w:rsidRPr="00B22D56" w:rsidRDefault="00B22D56" w:rsidP="00B22D56">
      <w:pPr>
        <w:pStyle w:val="a5"/>
        <w:rPr>
          <w:rFonts w:ascii="楷体_GB2312" w:eastAsia="楷体_GB2312"/>
          <w:kern w:val="0"/>
        </w:rPr>
      </w:pPr>
      <w:r w:rsidRPr="00B22D56">
        <w:rPr>
          <w:rFonts w:ascii="楷体_GB2312" w:eastAsia="楷体_GB2312" w:hint="eastAsia"/>
          <w:noProof/>
          <w:kern w:val="0"/>
        </w:rPr>
        <w:lastRenderedPageBreak/>
        <w:drawing>
          <wp:inline distT="0" distB="0" distL="0" distR="0">
            <wp:extent cx="6508750" cy="3310467"/>
            <wp:effectExtent l="1905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6511786" cy="3312011"/>
                    </a:xfrm>
                    <a:prstGeom prst="rect">
                      <a:avLst/>
                    </a:prstGeom>
                    <a:noFill/>
                    <a:ln w="9525">
                      <a:noFill/>
                      <a:miter lim="800000"/>
                      <a:headEnd/>
                      <a:tailEnd/>
                    </a:ln>
                  </pic:spPr>
                </pic:pic>
              </a:graphicData>
            </a:graphic>
          </wp:inline>
        </w:drawing>
      </w:r>
    </w:p>
    <w:p w:rsidR="00B22D56" w:rsidRDefault="00B22D56" w:rsidP="00B22D56">
      <w:pPr>
        <w:pStyle w:val="a5"/>
        <w:rPr>
          <w:b/>
          <w:sz w:val="24"/>
          <w:szCs w:val="24"/>
        </w:rPr>
      </w:pPr>
    </w:p>
    <w:p w:rsidR="00097DFD" w:rsidRDefault="00B22D56" w:rsidP="008B0962">
      <w:pPr>
        <w:pStyle w:val="1"/>
        <w:numPr>
          <w:ilvl w:val="0"/>
          <w:numId w:val="4"/>
        </w:numPr>
        <w:spacing w:beforeLines="50" w:afterLines="50" w:line="480" w:lineRule="auto"/>
        <w:ind w:left="2705"/>
        <w:rPr>
          <w:rFonts w:ascii="楷体_GB2312" w:eastAsia="楷体_GB2312"/>
          <w:bCs w:val="0"/>
          <w:kern w:val="0"/>
          <w:sz w:val="21"/>
          <w:szCs w:val="21"/>
        </w:rPr>
      </w:pPr>
      <w:bookmarkStart w:id="53" w:name="_Toc313737761"/>
      <w:r w:rsidRPr="00B22D56">
        <w:rPr>
          <w:rFonts w:ascii="楷体_GB2312" w:eastAsia="楷体_GB2312" w:hint="eastAsia"/>
          <w:bCs w:val="0"/>
          <w:kern w:val="0"/>
          <w:sz w:val="21"/>
          <w:szCs w:val="21"/>
        </w:rPr>
        <w:t>纺织服装行业</w:t>
      </w:r>
      <w:bookmarkEnd w:id="53"/>
    </w:p>
    <w:p w:rsidR="00B22D56" w:rsidRDefault="00B22D56" w:rsidP="00B22D56">
      <w:pPr>
        <w:pStyle w:val="a5"/>
        <w:rPr>
          <w:b/>
          <w:sz w:val="24"/>
          <w:szCs w:val="24"/>
        </w:rPr>
      </w:pPr>
    </w:p>
    <w:p w:rsidR="00B22D56" w:rsidRPr="00B22D56" w:rsidRDefault="00B22D56" w:rsidP="00B22D56">
      <w:pPr>
        <w:pStyle w:val="a5"/>
        <w:ind w:leftChars="1400" w:left="2940" w:firstLineChars="50" w:firstLine="105"/>
        <w:rPr>
          <w:rFonts w:ascii="楷体_GB2312" w:eastAsia="楷体_GB2312"/>
          <w:kern w:val="0"/>
        </w:rPr>
      </w:pPr>
      <w:r w:rsidRPr="00B22D56">
        <w:rPr>
          <w:rFonts w:ascii="楷体_GB2312" w:eastAsia="楷体_GB2312" w:hint="eastAsia"/>
          <w:kern w:val="0"/>
        </w:rPr>
        <w:t>一、行业整体处于转型期</w:t>
      </w:r>
    </w:p>
    <w:p w:rsidR="00B22D56" w:rsidRPr="00B22D56" w:rsidRDefault="00B22D56" w:rsidP="00B22D56">
      <w:pPr>
        <w:pStyle w:val="a5"/>
        <w:ind w:leftChars="1400" w:left="2940" w:firstLineChars="50" w:firstLine="105"/>
        <w:rPr>
          <w:rFonts w:ascii="楷体_GB2312" w:eastAsia="楷体_GB2312"/>
          <w:kern w:val="0"/>
        </w:rPr>
      </w:pPr>
      <w:r w:rsidRPr="00B22D56">
        <w:rPr>
          <w:rFonts w:ascii="楷体_GB2312" w:eastAsia="楷体_GB2312" w:hint="eastAsia"/>
          <w:kern w:val="0"/>
        </w:rPr>
        <w:t>无论是出口还是内销都经历长期牛市，当时发展的关键就是扩张，未来出口制造类企业黄金期永远过去，而内销方面，企业在保持外延扩张同时，将更加重视内生增长，即涌现过多特色鲜明的品牌，产品品质不断提高。转型期增加了预期未来行业发展的难度，因此我们认为，明年行业的复苏将是缓慢、渐进的，时间确定性不强。</w:t>
      </w:r>
    </w:p>
    <w:p w:rsidR="00B22D56" w:rsidRPr="00B22D56" w:rsidRDefault="00B22D56" w:rsidP="00B22D56">
      <w:pPr>
        <w:pStyle w:val="a5"/>
        <w:ind w:leftChars="1400" w:left="2940" w:firstLineChars="50" w:firstLine="105"/>
        <w:rPr>
          <w:rFonts w:ascii="楷体_GB2312" w:eastAsia="楷体_GB2312"/>
          <w:kern w:val="0"/>
        </w:rPr>
      </w:pPr>
    </w:p>
    <w:p w:rsidR="00B22D56" w:rsidRPr="00B22D56" w:rsidRDefault="00B22D56" w:rsidP="00B22D56">
      <w:pPr>
        <w:pStyle w:val="a5"/>
        <w:ind w:leftChars="1400" w:left="2940" w:firstLineChars="50" w:firstLine="105"/>
        <w:rPr>
          <w:rFonts w:ascii="楷体_GB2312" w:eastAsia="楷体_GB2312"/>
          <w:kern w:val="0"/>
        </w:rPr>
      </w:pPr>
      <w:r w:rsidRPr="00B22D56">
        <w:rPr>
          <w:rFonts w:ascii="楷体_GB2312" w:eastAsia="楷体_GB2312" w:hint="eastAsia"/>
          <w:kern w:val="0"/>
        </w:rPr>
        <w:t>二、行业先筑底后反弹</w:t>
      </w:r>
    </w:p>
    <w:p w:rsidR="00B22D56" w:rsidRPr="00B22D56" w:rsidRDefault="00B22D56" w:rsidP="00B22D56">
      <w:pPr>
        <w:pStyle w:val="a5"/>
        <w:ind w:leftChars="1400" w:left="2940" w:firstLineChars="50" w:firstLine="105"/>
        <w:rPr>
          <w:rFonts w:ascii="楷体_GB2312" w:eastAsia="楷体_GB2312"/>
          <w:kern w:val="0"/>
        </w:rPr>
      </w:pPr>
      <w:r w:rsidRPr="00B22D56">
        <w:rPr>
          <w:rFonts w:ascii="楷体_GB2312" w:eastAsia="楷体_GB2312" w:hint="eastAsia"/>
          <w:kern w:val="0"/>
        </w:rPr>
        <w:t>从投资角度，我们将纺织行业分成原料、出口和制造、纺织服装零售三大板块。</w:t>
      </w:r>
    </w:p>
    <w:p w:rsidR="00B22D56" w:rsidRPr="00B22D56" w:rsidRDefault="00B22D56" w:rsidP="00B22D56">
      <w:pPr>
        <w:pStyle w:val="a5"/>
        <w:ind w:leftChars="1400" w:left="2940" w:firstLineChars="50" w:firstLine="105"/>
        <w:rPr>
          <w:rFonts w:ascii="楷体_GB2312" w:eastAsia="楷体_GB2312"/>
          <w:kern w:val="0"/>
        </w:rPr>
      </w:pPr>
      <w:r w:rsidRPr="00B22D56">
        <w:rPr>
          <w:rFonts w:ascii="楷体_GB2312" w:eastAsia="楷体_GB2312" w:hint="eastAsia"/>
          <w:kern w:val="0"/>
        </w:rPr>
        <w:t>1、我们预计</w:t>
      </w:r>
      <w:r w:rsidR="000E1313">
        <w:rPr>
          <w:rFonts w:ascii="楷体_GB2312" w:eastAsia="楷体_GB2312" w:hint="eastAsia"/>
          <w:kern w:val="0"/>
        </w:rPr>
        <w:t>20</w:t>
      </w:r>
      <w:r w:rsidRPr="00B22D56">
        <w:rPr>
          <w:rFonts w:ascii="楷体_GB2312" w:eastAsia="楷体_GB2312"/>
          <w:kern w:val="0"/>
        </w:rPr>
        <w:t>12</w:t>
      </w:r>
      <w:r w:rsidRPr="00B22D56">
        <w:rPr>
          <w:rFonts w:ascii="楷体_GB2312" w:eastAsia="楷体_GB2312" w:hint="eastAsia"/>
          <w:kern w:val="0"/>
        </w:rPr>
        <w:t>年</w:t>
      </w:r>
      <w:r w:rsidR="00C178F4">
        <w:rPr>
          <w:rFonts w:ascii="楷体_GB2312" w:eastAsia="楷体_GB2312" w:hint="eastAsia"/>
          <w:kern w:val="0"/>
        </w:rPr>
        <w:t>1</w:t>
      </w:r>
      <w:r w:rsidRPr="00B22D56">
        <w:rPr>
          <w:rFonts w:ascii="楷体_GB2312" w:eastAsia="楷体_GB2312" w:hint="eastAsia"/>
          <w:kern w:val="0"/>
        </w:rPr>
        <w:t>季度和</w:t>
      </w:r>
      <w:r w:rsidRPr="00B22D56">
        <w:rPr>
          <w:rFonts w:ascii="楷体_GB2312" w:eastAsia="楷体_GB2312"/>
          <w:kern w:val="0"/>
        </w:rPr>
        <w:t>3</w:t>
      </w:r>
      <w:r w:rsidRPr="00B22D56">
        <w:rPr>
          <w:rFonts w:ascii="楷体_GB2312" w:eastAsia="楷体_GB2312" w:hint="eastAsia"/>
          <w:kern w:val="0"/>
        </w:rPr>
        <w:t>季度传统旺季，棉花及化纤价格有可能反弹，</w:t>
      </w:r>
      <w:r w:rsidRPr="00B22D56">
        <w:rPr>
          <w:rFonts w:ascii="楷体_GB2312" w:eastAsia="楷体_GB2312"/>
          <w:kern w:val="0"/>
        </w:rPr>
        <w:t>3</w:t>
      </w:r>
      <w:r w:rsidRPr="00B22D56">
        <w:rPr>
          <w:rFonts w:ascii="楷体_GB2312" w:eastAsia="楷体_GB2312" w:hint="eastAsia"/>
          <w:kern w:val="0"/>
        </w:rPr>
        <w:t>季度反弹概率大于</w:t>
      </w:r>
      <w:r w:rsidRPr="00B22D56">
        <w:rPr>
          <w:rFonts w:ascii="楷体_GB2312" w:eastAsia="楷体_GB2312"/>
          <w:kern w:val="0"/>
        </w:rPr>
        <w:t>1</w:t>
      </w:r>
      <w:r w:rsidRPr="00B22D56">
        <w:rPr>
          <w:rFonts w:ascii="楷体_GB2312" w:eastAsia="楷体_GB2312" w:hint="eastAsia"/>
          <w:kern w:val="0"/>
        </w:rPr>
        <w:t>季度，但由于国内外需求一般，反弹力度不会很大。</w:t>
      </w:r>
    </w:p>
    <w:p w:rsidR="00B22D56" w:rsidRPr="00B22D56" w:rsidRDefault="00B22D56" w:rsidP="00B22D56">
      <w:pPr>
        <w:pStyle w:val="a5"/>
        <w:ind w:leftChars="1400" w:left="2940" w:firstLineChars="50" w:firstLine="105"/>
        <w:rPr>
          <w:rFonts w:ascii="楷体_GB2312" w:eastAsia="楷体_GB2312"/>
          <w:kern w:val="0"/>
        </w:rPr>
      </w:pPr>
      <w:r w:rsidRPr="00B22D56">
        <w:rPr>
          <w:rFonts w:ascii="楷体_GB2312" w:eastAsia="楷体_GB2312" w:hint="eastAsia"/>
          <w:kern w:val="0"/>
        </w:rPr>
        <w:t>2、由于前几年产能过快增长，在中低档产品订单向印度和东南亚转移的情况下，出口制造企业依然深处行业整合之中，那些经营谨慎、从事中高档产品生产的企业有更大发展空间，明年下半年需求复苏的可能性大于上半年</w:t>
      </w:r>
    </w:p>
    <w:p w:rsidR="00B22D56" w:rsidRPr="00B22D56" w:rsidRDefault="00B22D56" w:rsidP="00B22D56">
      <w:pPr>
        <w:pStyle w:val="a5"/>
        <w:ind w:leftChars="1400" w:left="2940" w:firstLineChars="50" w:firstLine="105"/>
        <w:rPr>
          <w:rFonts w:ascii="楷体_GB2312" w:eastAsia="楷体_GB2312"/>
          <w:kern w:val="0"/>
        </w:rPr>
      </w:pPr>
      <w:r w:rsidRPr="00B22D56">
        <w:rPr>
          <w:rFonts w:ascii="楷体_GB2312" w:eastAsia="楷体_GB2312" w:hint="eastAsia"/>
          <w:kern w:val="0"/>
        </w:rPr>
        <w:t>3、纺织服装零售继续保持增长，但宏观经济对消费的滞后影响，以及售价提高对消费者购买意愿的压制作用短期内难以完全消除，而企业内生增长的贡献也是渐进的，预计增速前低后高，我们看好的优质零售企业业绩有望超过行业均值，但进一步提高的难度也不小。整体而言，预计出口金额与今年持平，内销增速在20-25%</w:t>
      </w:r>
      <w:r w:rsidRPr="00B22D56">
        <w:rPr>
          <w:rFonts w:ascii="楷体_GB2312" w:eastAsia="楷体_GB2312" w:hint="eastAsia"/>
          <w:kern w:val="0"/>
        </w:rPr>
        <w:lastRenderedPageBreak/>
        <w:t>之间。</w:t>
      </w:r>
    </w:p>
    <w:p w:rsidR="00B22D56" w:rsidRPr="00B22D56" w:rsidRDefault="00B22D56" w:rsidP="00B22D56">
      <w:pPr>
        <w:pStyle w:val="a5"/>
        <w:ind w:leftChars="1400" w:left="2940" w:firstLineChars="50" w:firstLine="105"/>
        <w:rPr>
          <w:rFonts w:ascii="楷体_GB2312" w:eastAsia="楷体_GB2312"/>
          <w:kern w:val="0"/>
        </w:rPr>
      </w:pPr>
    </w:p>
    <w:p w:rsidR="00B22D56" w:rsidRPr="00B22D56" w:rsidRDefault="00B22D56" w:rsidP="00B22D56">
      <w:pPr>
        <w:pStyle w:val="a5"/>
        <w:ind w:leftChars="1400" w:left="2940" w:firstLineChars="50" w:firstLine="105"/>
        <w:rPr>
          <w:rFonts w:ascii="楷体_GB2312" w:eastAsia="楷体_GB2312"/>
          <w:kern w:val="0"/>
        </w:rPr>
      </w:pPr>
      <w:r w:rsidRPr="00B22D56">
        <w:rPr>
          <w:rFonts w:ascii="楷体_GB2312" w:eastAsia="楷体_GB2312" w:hint="eastAsia"/>
          <w:kern w:val="0"/>
        </w:rPr>
        <w:t>三、继续看好纺织服装零售，防御优势明显</w:t>
      </w:r>
    </w:p>
    <w:p w:rsidR="00B22D56" w:rsidRPr="00B22D56" w:rsidRDefault="00B22D56" w:rsidP="00B22D56">
      <w:pPr>
        <w:pStyle w:val="a5"/>
        <w:ind w:leftChars="1400" w:left="2940" w:firstLineChars="50" w:firstLine="105"/>
        <w:rPr>
          <w:rFonts w:ascii="楷体_GB2312" w:eastAsia="楷体_GB2312"/>
          <w:kern w:val="0"/>
        </w:rPr>
      </w:pPr>
      <w:r w:rsidRPr="00B22D56">
        <w:rPr>
          <w:rFonts w:ascii="楷体_GB2312" w:eastAsia="楷体_GB2312" w:hint="eastAsia"/>
          <w:kern w:val="0"/>
        </w:rPr>
        <w:t>1、质地优良：国内纺织服装零售企业尽管经历了08年短暂的寒冬，但之前的近20年历史是“大牛市”，远超房地产行业。高速发展中，不少企业根基并不扎实，考虑到未来复杂的市场情况，那些质地优良的企业更可能在未来的市场竞争中胜出；</w:t>
      </w:r>
    </w:p>
    <w:p w:rsidR="00B22D56" w:rsidRPr="00B22D56" w:rsidRDefault="00B22D56" w:rsidP="00B22D56">
      <w:pPr>
        <w:pStyle w:val="a5"/>
        <w:ind w:leftChars="1400" w:left="2940" w:firstLineChars="50" w:firstLine="105"/>
        <w:rPr>
          <w:rFonts w:ascii="楷体_GB2312" w:eastAsia="楷体_GB2312"/>
          <w:kern w:val="0"/>
        </w:rPr>
      </w:pPr>
      <w:r w:rsidRPr="00B22D56">
        <w:rPr>
          <w:rFonts w:ascii="楷体_GB2312" w:eastAsia="楷体_GB2312" w:hint="eastAsia"/>
          <w:kern w:val="0"/>
        </w:rPr>
        <w:t>2、外延发展为主、内生为辅：在经营成本上升、竞争加剧，而消费者品位和消费理念不断提升的情况下，狂热外延式扩张风险较大，我们更看好在继续外延扩张同时，适当加强内生的品牌企业。</w:t>
      </w:r>
    </w:p>
    <w:p w:rsidR="00097DFD" w:rsidRDefault="00800E02" w:rsidP="008B0962">
      <w:pPr>
        <w:pStyle w:val="1"/>
        <w:numPr>
          <w:ilvl w:val="0"/>
          <w:numId w:val="4"/>
        </w:numPr>
        <w:spacing w:beforeLines="50" w:afterLines="50" w:line="480" w:lineRule="auto"/>
        <w:ind w:left="2705"/>
        <w:rPr>
          <w:rFonts w:ascii="楷体_GB2312" w:eastAsia="楷体_GB2312"/>
          <w:bCs w:val="0"/>
          <w:kern w:val="0"/>
          <w:sz w:val="21"/>
          <w:szCs w:val="21"/>
        </w:rPr>
      </w:pPr>
      <w:bookmarkStart w:id="54" w:name="_Toc313737762"/>
      <w:r w:rsidRPr="00800E02">
        <w:rPr>
          <w:rFonts w:ascii="楷体_GB2312" w:eastAsia="楷体_GB2312" w:hint="eastAsia"/>
          <w:bCs w:val="0"/>
          <w:kern w:val="0"/>
          <w:sz w:val="21"/>
          <w:szCs w:val="21"/>
        </w:rPr>
        <w:t>零售行业</w:t>
      </w:r>
      <w:bookmarkEnd w:id="54"/>
    </w:p>
    <w:p w:rsidR="00800E02" w:rsidRPr="00AD60DC" w:rsidRDefault="00800E02" w:rsidP="00800E02">
      <w:pPr>
        <w:pStyle w:val="Default"/>
        <w:rPr>
          <w:sz w:val="21"/>
          <w:szCs w:val="21"/>
        </w:rPr>
      </w:pPr>
    </w:p>
    <w:p w:rsidR="00800E02" w:rsidRPr="00800E02" w:rsidRDefault="00800E02" w:rsidP="00800E02">
      <w:pPr>
        <w:pStyle w:val="a5"/>
        <w:ind w:leftChars="1400" w:left="2940" w:firstLineChars="50" w:firstLine="105"/>
        <w:rPr>
          <w:rFonts w:ascii="楷体_GB2312" w:eastAsia="楷体_GB2312"/>
          <w:kern w:val="0"/>
        </w:rPr>
      </w:pPr>
      <w:r w:rsidRPr="00800E02">
        <w:rPr>
          <w:rFonts w:ascii="楷体_GB2312" w:eastAsia="楷体_GB2312" w:hint="eastAsia"/>
          <w:kern w:val="0"/>
        </w:rPr>
        <w:t xml:space="preserve">在过去5年中投资优秀区域零售商取得投资回报率高于A股整体。优秀区域零售具备超越行业平均水平的盈利增长能力，这主要得益于它们本世纪早期在各自区域内做的百货店网布局，各区域经济腾飞、消费崛起、成本费用固定，使得优秀区域零售商多能取得更高的同店收入和盈利增长。我们认为过往对区域零售商的投资中，本质上我们赚到的是消费崛起和商业地产的钱。 </w:t>
      </w:r>
    </w:p>
    <w:p w:rsidR="00800E02" w:rsidRPr="00800E02" w:rsidRDefault="00800E02" w:rsidP="00800E02">
      <w:pPr>
        <w:pStyle w:val="a5"/>
        <w:ind w:leftChars="1400" w:left="2940" w:firstLineChars="50" w:firstLine="105"/>
        <w:rPr>
          <w:rFonts w:ascii="楷体_GB2312" w:eastAsia="楷体_GB2312"/>
          <w:kern w:val="0"/>
        </w:rPr>
      </w:pPr>
    </w:p>
    <w:p w:rsidR="00800E02" w:rsidRPr="00800E02" w:rsidRDefault="00800E02" w:rsidP="00800E02">
      <w:pPr>
        <w:pStyle w:val="a5"/>
        <w:ind w:leftChars="1400" w:left="2940" w:firstLineChars="50" w:firstLine="105"/>
        <w:rPr>
          <w:rFonts w:ascii="楷体_GB2312" w:eastAsia="楷体_GB2312"/>
          <w:kern w:val="0"/>
        </w:rPr>
      </w:pPr>
      <w:r w:rsidRPr="00800E02">
        <w:rPr>
          <w:rFonts w:ascii="楷体_GB2312" w:eastAsia="楷体_GB2312" w:hint="eastAsia"/>
          <w:kern w:val="0"/>
        </w:rPr>
        <w:t>我们选取</w:t>
      </w:r>
      <w:r w:rsidRPr="00800E02">
        <w:rPr>
          <w:rFonts w:ascii="楷体_GB2312" w:eastAsia="楷体_GB2312"/>
          <w:kern w:val="0"/>
        </w:rPr>
        <w:t>10</w:t>
      </w:r>
      <w:r w:rsidRPr="00800E02">
        <w:rPr>
          <w:rFonts w:ascii="楷体_GB2312" w:eastAsia="楷体_GB2312" w:hint="eastAsia"/>
          <w:kern w:val="0"/>
        </w:rPr>
        <w:t>家优秀区域零售商公司为样本：近</w:t>
      </w:r>
      <w:r w:rsidRPr="00800E02">
        <w:rPr>
          <w:rFonts w:ascii="楷体_GB2312" w:eastAsia="楷体_GB2312"/>
          <w:kern w:val="0"/>
        </w:rPr>
        <w:t>5</w:t>
      </w:r>
      <w:r w:rsidRPr="00800E02">
        <w:rPr>
          <w:rFonts w:ascii="楷体_GB2312" w:eastAsia="楷体_GB2312" w:hint="eastAsia"/>
          <w:kern w:val="0"/>
        </w:rPr>
        <w:t>年来其收入复合增长率（</w:t>
      </w:r>
      <w:r w:rsidRPr="00800E02">
        <w:rPr>
          <w:rFonts w:ascii="楷体_GB2312" w:eastAsia="楷体_GB2312"/>
          <w:kern w:val="0"/>
        </w:rPr>
        <w:t>23.1%</w:t>
      </w:r>
      <w:r w:rsidRPr="00800E02">
        <w:rPr>
          <w:rFonts w:ascii="楷体_GB2312" w:eastAsia="楷体_GB2312" w:hint="eastAsia"/>
          <w:kern w:val="0"/>
        </w:rPr>
        <w:t>）略高于零售行业整体，但营业利润（</w:t>
      </w:r>
      <w:r w:rsidRPr="00800E02">
        <w:rPr>
          <w:rFonts w:ascii="楷体_GB2312" w:eastAsia="楷体_GB2312"/>
          <w:kern w:val="0"/>
        </w:rPr>
        <w:t>45.1%</w:t>
      </w:r>
      <w:r w:rsidRPr="00800E02">
        <w:rPr>
          <w:rFonts w:ascii="楷体_GB2312" w:eastAsia="楷体_GB2312" w:hint="eastAsia"/>
          <w:kern w:val="0"/>
        </w:rPr>
        <w:t>）及归属母公司净利润（</w:t>
      </w:r>
      <w:r w:rsidRPr="00800E02">
        <w:rPr>
          <w:rFonts w:ascii="楷体_GB2312" w:eastAsia="楷体_GB2312"/>
          <w:kern w:val="0"/>
        </w:rPr>
        <w:t>75.5%</w:t>
      </w:r>
      <w:r w:rsidRPr="00800E02">
        <w:rPr>
          <w:rFonts w:ascii="楷体_GB2312" w:eastAsia="楷体_GB2312" w:hint="eastAsia"/>
          <w:kern w:val="0"/>
        </w:rPr>
        <w:t>）的复合增长率远高于行业平均水平。</w:t>
      </w:r>
    </w:p>
    <w:p w:rsidR="00800E02" w:rsidRPr="00800E02" w:rsidRDefault="00800E02" w:rsidP="00800E02">
      <w:pPr>
        <w:pStyle w:val="a5"/>
        <w:ind w:leftChars="1400" w:left="2940" w:firstLineChars="50" w:firstLine="105"/>
        <w:rPr>
          <w:rFonts w:ascii="楷体_GB2312" w:eastAsia="楷体_GB2312"/>
          <w:kern w:val="0"/>
        </w:rPr>
      </w:pPr>
    </w:p>
    <w:p w:rsidR="00800E02" w:rsidRPr="00800E02" w:rsidRDefault="00800E02" w:rsidP="00800E02">
      <w:pPr>
        <w:pStyle w:val="a5"/>
        <w:ind w:leftChars="1400" w:left="2940" w:firstLineChars="50" w:firstLine="105"/>
        <w:rPr>
          <w:rFonts w:ascii="楷体_GB2312" w:eastAsia="楷体_GB2312"/>
          <w:kern w:val="0"/>
        </w:rPr>
      </w:pPr>
      <w:r w:rsidRPr="00800E02">
        <w:rPr>
          <w:rFonts w:ascii="楷体_GB2312" w:eastAsia="楷体_GB2312" w:hint="eastAsia"/>
          <w:kern w:val="0"/>
        </w:rPr>
        <w:t xml:space="preserve">图1：优秀区域零售商05年以来盈利复合增长率优于行业平均水平 </w:t>
      </w:r>
    </w:p>
    <w:p w:rsidR="00800E02" w:rsidRPr="00800E02" w:rsidRDefault="00800E02" w:rsidP="00800E02">
      <w:pPr>
        <w:pStyle w:val="a5"/>
        <w:ind w:leftChars="1400" w:left="2940" w:firstLineChars="50" w:firstLine="105"/>
        <w:rPr>
          <w:rFonts w:ascii="楷体_GB2312" w:eastAsia="楷体_GB2312"/>
          <w:kern w:val="0"/>
        </w:rPr>
      </w:pPr>
    </w:p>
    <w:p w:rsidR="00800E02" w:rsidRPr="00800E02" w:rsidRDefault="00800E02" w:rsidP="00800E02">
      <w:pPr>
        <w:pStyle w:val="a5"/>
        <w:ind w:leftChars="1400" w:left="2940" w:firstLineChars="50" w:firstLine="105"/>
        <w:rPr>
          <w:rFonts w:ascii="楷体_GB2312" w:eastAsia="楷体_GB2312"/>
          <w:kern w:val="0"/>
        </w:rPr>
      </w:pPr>
      <w:r w:rsidRPr="00800E02">
        <w:rPr>
          <w:rFonts w:ascii="楷体_GB2312" w:eastAsia="楷体_GB2312" w:hint="eastAsia"/>
          <w:noProof/>
          <w:kern w:val="0"/>
        </w:rPr>
        <w:drawing>
          <wp:inline distT="0" distB="0" distL="0" distR="0">
            <wp:extent cx="3155471" cy="2159032"/>
            <wp:effectExtent l="19050" t="0" r="6829"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161170" cy="2162931"/>
                    </a:xfrm>
                    <a:prstGeom prst="rect">
                      <a:avLst/>
                    </a:prstGeom>
                    <a:noFill/>
                    <a:ln w="9525">
                      <a:noFill/>
                      <a:miter lim="800000"/>
                      <a:headEnd/>
                      <a:tailEnd/>
                    </a:ln>
                  </pic:spPr>
                </pic:pic>
              </a:graphicData>
            </a:graphic>
          </wp:inline>
        </w:drawing>
      </w:r>
    </w:p>
    <w:p w:rsidR="00800E02" w:rsidRPr="00800E02" w:rsidRDefault="00800E02" w:rsidP="00800E02">
      <w:pPr>
        <w:pStyle w:val="a5"/>
        <w:ind w:leftChars="1400" w:left="2940" w:firstLineChars="50" w:firstLine="105"/>
        <w:rPr>
          <w:rFonts w:ascii="楷体_GB2312" w:eastAsia="楷体_GB2312"/>
          <w:kern w:val="0"/>
        </w:rPr>
      </w:pPr>
      <w:r w:rsidRPr="00800E02">
        <w:rPr>
          <w:rFonts w:ascii="楷体_GB2312" w:eastAsia="楷体_GB2312" w:hint="eastAsia"/>
          <w:kern w:val="0"/>
        </w:rPr>
        <w:t>资料来源：wind，华商基金</w:t>
      </w:r>
    </w:p>
    <w:p w:rsidR="00800E02" w:rsidRPr="00800E02" w:rsidRDefault="00800E02" w:rsidP="00800E02">
      <w:pPr>
        <w:pStyle w:val="a5"/>
        <w:ind w:leftChars="1400" w:left="2940" w:firstLineChars="50" w:firstLine="105"/>
        <w:rPr>
          <w:rFonts w:ascii="楷体_GB2312" w:eastAsia="楷体_GB2312"/>
          <w:kern w:val="0"/>
        </w:rPr>
      </w:pPr>
    </w:p>
    <w:p w:rsidR="00800E02" w:rsidRPr="00800E02" w:rsidRDefault="00800E02" w:rsidP="00800E02">
      <w:pPr>
        <w:pStyle w:val="a5"/>
        <w:ind w:leftChars="1400" w:left="2940" w:firstLineChars="50" w:firstLine="105"/>
        <w:rPr>
          <w:rFonts w:ascii="楷体_GB2312" w:eastAsia="楷体_GB2312"/>
          <w:kern w:val="0"/>
        </w:rPr>
      </w:pPr>
      <w:r w:rsidRPr="00800E02">
        <w:rPr>
          <w:rFonts w:ascii="楷体_GB2312" w:eastAsia="楷体_GB2312" w:hint="eastAsia"/>
          <w:kern w:val="0"/>
        </w:rPr>
        <w:lastRenderedPageBreak/>
        <w:t>转型商业地产将是区域零售商未来的主流方向。区域零售商将陆续进入二次转型期，这一轮转型的主流方向将是布局商业地产（购物中心），体现为新一轮的重资产投资扩张。转型公司可能会阶段性面临资产周转率、销售净利率、净资产收益率下降的阵痛。</w:t>
      </w:r>
    </w:p>
    <w:p w:rsidR="00800E02" w:rsidRPr="00800E02" w:rsidRDefault="00800E02" w:rsidP="00800E02">
      <w:pPr>
        <w:pStyle w:val="a5"/>
        <w:ind w:leftChars="1400" w:left="2940" w:firstLineChars="50" w:firstLine="105"/>
        <w:rPr>
          <w:rFonts w:ascii="楷体_GB2312" w:eastAsia="楷体_GB2312"/>
          <w:kern w:val="0"/>
        </w:rPr>
      </w:pPr>
    </w:p>
    <w:p w:rsidR="00800E02" w:rsidRPr="00800E02" w:rsidRDefault="00800E02" w:rsidP="00800E02">
      <w:pPr>
        <w:pStyle w:val="a5"/>
        <w:ind w:leftChars="1400" w:left="2940" w:firstLineChars="50" w:firstLine="105"/>
        <w:rPr>
          <w:rFonts w:ascii="楷体_GB2312" w:eastAsia="楷体_GB2312"/>
          <w:kern w:val="0"/>
        </w:rPr>
      </w:pPr>
      <w:r w:rsidRPr="00800E02">
        <w:rPr>
          <w:rFonts w:ascii="楷体_GB2312" w:eastAsia="楷体_GB2312" w:hint="eastAsia"/>
          <w:kern w:val="0"/>
        </w:rPr>
        <w:t>区域零售商投资未来把握两条主线。依据过往对区域零售商的成功投资经验和行业可能演变格局，我们建议未来对区域零售商的投资把握两条主线：</w:t>
      </w:r>
      <w:r w:rsidRPr="00800E02">
        <w:rPr>
          <w:rFonts w:ascii="楷体_GB2312" w:eastAsia="楷体_GB2312"/>
          <w:kern w:val="0"/>
        </w:rPr>
        <w:t>1</w:t>
      </w:r>
      <w:r w:rsidRPr="00800E02">
        <w:rPr>
          <w:rFonts w:ascii="楷体_GB2312" w:eastAsia="楷体_GB2312" w:hint="eastAsia"/>
          <w:kern w:val="0"/>
        </w:rPr>
        <w:t>、寻找消费待崛起区域，店网布局完善，区域控制力强的公司，复制过去东部或中部零售商的成功投资经验；</w:t>
      </w:r>
      <w:r w:rsidRPr="00800E02">
        <w:rPr>
          <w:rFonts w:ascii="楷体_GB2312" w:eastAsia="楷体_GB2312"/>
          <w:kern w:val="0"/>
        </w:rPr>
        <w:t>2</w:t>
      </w:r>
      <w:r w:rsidRPr="00800E02">
        <w:rPr>
          <w:rFonts w:ascii="楷体_GB2312" w:eastAsia="楷体_GB2312" w:hint="eastAsia"/>
          <w:kern w:val="0"/>
        </w:rPr>
        <w:t>、把握提前完成商业地产转型，项目培育成熟进入收获期的公司，分享新一轮投资项目成长。</w:t>
      </w:r>
      <w:r w:rsidRPr="00800E02">
        <w:rPr>
          <w:rFonts w:ascii="楷体_GB2312" w:eastAsia="楷体_GB2312"/>
          <w:kern w:val="0"/>
        </w:rPr>
        <w:t xml:space="preserve"> </w:t>
      </w:r>
    </w:p>
    <w:p w:rsidR="00800E02" w:rsidRPr="00800E02" w:rsidRDefault="00800E02" w:rsidP="00800E02">
      <w:pPr>
        <w:pStyle w:val="a5"/>
        <w:ind w:leftChars="1400" w:left="2940" w:firstLineChars="50" w:firstLine="105"/>
        <w:rPr>
          <w:rFonts w:ascii="楷体_GB2312" w:eastAsia="楷体_GB2312"/>
          <w:kern w:val="0"/>
        </w:rPr>
      </w:pPr>
    </w:p>
    <w:p w:rsidR="00800E02" w:rsidRPr="00800E02" w:rsidRDefault="00800E02" w:rsidP="00800E02">
      <w:pPr>
        <w:pStyle w:val="a5"/>
        <w:ind w:leftChars="1400" w:left="2940" w:firstLineChars="50" w:firstLine="105"/>
        <w:rPr>
          <w:rFonts w:ascii="楷体_GB2312" w:eastAsia="楷体_GB2312"/>
          <w:kern w:val="0"/>
        </w:rPr>
      </w:pPr>
      <w:r w:rsidRPr="00800E02">
        <w:rPr>
          <w:rFonts w:ascii="楷体_GB2312" w:eastAsia="楷体_GB2312" w:hint="eastAsia"/>
          <w:kern w:val="0"/>
        </w:rPr>
        <w:t>在区域零售商高速成长的过程中，对渠道优势的过度依赖使得大部分区域零售商并没有培养出零售核心经营能力（主要是供应链管理能力）。 渠道零售商们在和绝大多数品牌商（制造商）的博弈中处于过于强势的地位。行业整体处于上升期的大背景使得大多数零售商仅依靠渠道资源即可获得丰厚回报，因此它们并没有在零售经营能力（核心是供应链管理）方面取得更多突破。从目前传统渠道零售商盈利模式来看：百货业态依赖联营扣点，超市业态则更多依赖渠道费收入及租金，从本质上来说大部分零售商都是在做房东（或者二房东），并没有体现出很强的零售经营能力。</w:t>
      </w:r>
    </w:p>
    <w:p w:rsidR="00800E02" w:rsidRPr="00800E02" w:rsidRDefault="00800E02" w:rsidP="00800E02">
      <w:pPr>
        <w:pStyle w:val="a5"/>
        <w:ind w:leftChars="1400" w:left="2940" w:firstLineChars="50" w:firstLine="105"/>
        <w:rPr>
          <w:rFonts w:ascii="楷体_GB2312" w:eastAsia="楷体_GB2312"/>
          <w:kern w:val="0"/>
        </w:rPr>
      </w:pPr>
    </w:p>
    <w:p w:rsidR="00800E02" w:rsidRPr="00800E02" w:rsidRDefault="00800E02" w:rsidP="00800E02">
      <w:pPr>
        <w:pStyle w:val="a5"/>
        <w:ind w:leftChars="1400" w:left="2940" w:firstLineChars="50" w:firstLine="105"/>
        <w:rPr>
          <w:rFonts w:ascii="楷体_GB2312" w:eastAsia="楷体_GB2312"/>
          <w:kern w:val="0"/>
        </w:rPr>
      </w:pPr>
      <w:r w:rsidRPr="00800E02">
        <w:rPr>
          <w:rFonts w:ascii="楷体_GB2312" w:eastAsia="楷体_GB2312" w:hint="eastAsia"/>
          <w:kern w:val="0"/>
        </w:rPr>
        <w:t>图2：部分百货公司购销占总收入比</w:t>
      </w:r>
      <w:r w:rsidRPr="00800E02">
        <w:rPr>
          <w:rFonts w:ascii="楷体_GB2312" w:eastAsia="楷体_GB2312"/>
          <w:kern w:val="0"/>
        </w:rPr>
        <w:t xml:space="preserve"> </w:t>
      </w:r>
    </w:p>
    <w:p w:rsidR="00800E02" w:rsidRPr="00800E02" w:rsidRDefault="00800E02" w:rsidP="00800E02">
      <w:pPr>
        <w:pStyle w:val="a5"/>
        <w:ind w:leftChars="1400" w:left="2940" w:firstLineChars="50" w:firstLine="105"/>
        <w:rPr>
          <w:rFonts w:ascii="楷体_GB2312" w:eastAsia="楷体_GB2312"/>
          <w:kern w:val="0"/>
        </w:rPr>
      </w:pPr>
      <w:r w:rsidRPr="00800E02">
        <w:rPr>
          <w:rFonts w:ascii="楷体_GB2312" w:eastAsia="楷体_GB2312" w:hint="eastAsia"/>
          <w:noProof/>
          <w:kern w:val="0"/>
        </w:rPr>
        <w:drawing>
          <wp:inline distT="0" distB="0" distL="0" distR="0">
            <wp:extent cx="4432180" cy="2014755"/>
            <wp:effectExtent l="19050" t="0" r="647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4433350" cy="2015287"/>
                    </a:xfrm>
                    <a:prstGeom prst="rect">
                      <a:avLst/>
                    </a:prstGeom>
                    <a:noFill/>
                    <a:ln w="9525">
                      <a:noFill/>
                      <a:miter lim="800000"/>
                      <a:headEnd/>
                      <a:tailEnd/>
                    </a:ln>
                  </pic:spPr>
                </pic:pic>
              </a:graphicData>
            </a:graphic>
          </wp:inline>
        </w:drawing>
      </w:r>
    </w:p>
    <w:p w:rsidR="00800E02" w:rsidRPr="00800E02" w:rsidRDefault="00800E02" w:rsidP="00800E02">
      <w:pPr>
        <w:pStyle w:val="a5"/>
        <w:ind w:leftChars="1400" w:left="2940" w:firstLineChars="50" w:firstLine="105"/>
        <w:rPr>
          <w:rFonts w:ascii="楷体_GB2312" w:eastAsia="楷体_GB2312"/>
          <w:kern w:val="0"/>
        </w:rPr>
      </w:pPr>
      <w:r w:rsidRPr="00800E02">
        <w:rPr>
          <w:rFonts w:ascii="楷体_GB2312" w:eastAsia="楷体_GB2312" w:hint="eastAsia"/>
          <w:kern w:val="0"/>
        </w:rPr>
        <w:t>资料来源：wind，华商基金</w:t>
      </w:r>
    </w:p>
    <w:p w:rsidR="00800E02" w:rsidRPr="00800E02" w:rsidRDefault="00800E02" w:rsidP="00800E02">
      <w:pPr>
        <w:pStyle w:val="a5"/>
        <w:ind w:leftChars="1400" w:left="2940" w:firstLineChars="50" w:firstLine="105"/>
        <w:rPr>
          <w:rFonts w:ascii="楷体_GB2312" w:eastAsia="楷体_GB2312"/>
          <w:kern w:val="0"/>
        </w:rPr>
      </w:pPr>
    </w:p>
    <w:p w:rsidR="00800E02" w:rsidRPr="00800E02" w:rsidRDefault="00800E02" w:rsidP="00800E02">
      <w:pPr>
        <w:pStyle w:val="a5"/>
        <w:ind w:leftChars="1400" w:left="2940" w:firstLineChars="50" w:firstLine="105"/>
        <w:rPr>
          <w:rFonts w:ascii="楷体_GB2312" w:eastAsia="楷体_GB2312"/>
          <w:kern w:val="0"/>
        </w:rPr>
      </w:pPr>
      <w:r w:rsidRPr="00800E02">
        <w:rPr>
          <w:rFonts w:ascii="楷体_GB2312" w:eastAsia="楷体_GB2312" w:hint="eastAsia"/>
          <w:kern w:val="0"/>
        </w:rPr>
        <w:t>图3：部分公司成本收入结构分析拆分</w:t>
      </w:r>
    </w:p>
    <w:p w:rsidR="00800E02" w:rsidRPr="00800E02" w:rsidRDefault="00800E02" w:rsidP="00800E02">
      <w:pPr>
        <w:pStyle w:val="a5"/>
        <w:ind w:leftChars="1400" w:left="2940" w:firstLineChars="50" w:firstLine="105"/>
        <w:rPr>
          <w:rFonts w:ascii="楷体_GB2312" w:eastAsia="楷体_GB2312"/>
          <w:kern w:val="0"/>
        </w:rPr>
      </w:pPr>
      <w:r w:rsidRPr="00800E02">
        <w:rPr>
          <w:rFonts w:ascii="楷体_GB2312" w:eastAsia="楷体_GB2312" w:hint="eastAsia"/>
          <w:noProof/>
          <w:kern w:val="0"/>
        </w:rPr>
        <w:lastRenderedPageBreak/>
        <w:drawing>
          <wp:inline distT="0" distB="0" distL="0" distR="0">
            <wp:extent cx="3960283" cy="2070136"/>
            <wp:effectExtent l="19050" t="0" r="2117"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l="7318" t="19372" r="7360" b="9162"/>
                    <a:stretch>
                      <a:fillRect/>
                    </a:stretch>
                  </pic:blipFill>
                  <pic:spPr bwMode="auto">
                    <a:xfrm>
                      <a:off x="0" y="0"/>
                      <a:ext cx="3963023" cy="2071568"/>
                    </a:xfrm>
                    <a:prstGeom prst="rect">
                      <a:avLst/>
                    </a:prstGeom>
                    <a:noFill/>
                    <a:ln w="9525">
                      <a:noFill/>
                      <a:miter lim="800000"/>
                      <a:headEnd/>
                      <a:tailEnd/>
                    </a:ln>
                  </pic:spPr>
                </pic:pic>
              </a:graphicData>
            </a:graphic>
          </wp:inline>
        </w:drawing>
      </w:r>
    </w:p>
    <w:p w:rsidR="00800E02" w:rsidRPr="00800E02" w:rsidRDefault="00800E02" w:rsidP="00800E02">
      <w:pPr>
        <w:pStyle w:val="a5"/>
        <w:ind w:leftChars="1400" w:left="2940" w:firstLineChars="50" w:firstLine="105"/>
        <w:rPr>
          <w:rFonts w:ascii="楷体_GB2312" w:eastAsia="楷体_GB2312"/>
          <w:kern w:val="0"/>
        </w:rPr>
      </w:pPr>
      <w:r w:rsidRPr="00800E02">
        <w:rPr>
          <w:rFonts w:ascii="楷体_GB2312" w:eastAsia="楷体_GB2312" w:hint="eastAsia"/>
          <w:kern w:val="0"/>
        </w:rPr>
        <w:t>资料来源：wind，华商基金</w:t>
      </w:r>
    </w:p>
    <w:p w:rsidR="00800E02" w:rsidRPr="00800E02" w:rsidRDefault="00800E02" w:rsidP="00800E02">
      <w:pPr>
        <w:pStyle w:val="a5"/>
        <w:ind w:leftChars="1400" w:left="2940" w:firstLineChars="50" w:firstLine="105"/>
        <w:rPr>
          <w:rFonts w:ascii="楷体_GB2312" w:eastAsia="楷体_GB2312"/>
          <w:kern w:val="0"/>
        </w:rPr>
      </w:pPr>
    </w:p>
    <w:p w:rsidR="00800E02" w:rsidRPr="00800E02" w:rsidRDefault="00800E02" w:rsidP="00800E02">
      <w:pPr>
        <w:pStyle w:val="a5"/>
        <w:ind w:leftChars="1400" w:left="2940" w:firstLineChars="50" w:firstLine="105"/>
        <w:rPr>
          <w:rFonts w:ascii="楷体_GB2312" w:eastAsia="楷体_GB2312"/>
          <w:kern w:val="0"/>
        </w:rPr>
      </w:pPr>
      <w:r w:rsidRPr="00800E02">
        <w:rPr>
          <w:rFonts w:ascii="楷体_GB2312" w:eastAsia="楷体_GB2312" w:hint="eastAsia"/>
          <w:kern w:val="0"/>
        </w:rPr>
        <w:t>这点从近年来零售企业营业费用率呈现上升趋势就能够看出。受宏观环境和零售能力缺乏等因素影响，零售企业为拉升收入，加大促销力度，导致费用率提高，这一现象在百货行业表现也最为明显。</w:t>
      </w:r>
    </w:p>
    <w:p w:rsidR="00800E02" w:rsidRPr="00800E02" w:rsidRDefault="00800E02" w:rsidP="00800E02">
      <w:pPr>
        <w:pStyle w:val="a5"/>
        <w:ind w:leftChars="1400" w:left="2940" w:firstLineChars="50" w:firstLine="105"/>
        <w:rPr>
          <w:rFonts w:ascii="楷体_GB2312" w:eastAsia="楷体_GB2312"/>
          <w:kern w:val="0"/>
        </w:rPr>
      </w:pPr>
      <w:bookmarkStart w:id="55" w:name="_Toc310862517"/>
      <w:r w:rsidRPr="00800E02">
        <w:rPr>
          <w:rFonts w:ascii="楷体_GB2312" w:eastAsia="楷体_GB2312" w:hint="eastAsia"/>
          <w:kern w:val="0"/>
        </w:rPr>
        <w:t>表2：2007-2011.3Q零售板块主要经营指标（%）</w:t>
      </w:r>
      <w:bookmarkEnd w:id="55"/>
      <w:r w:rsidRPr="00800E02">
        <w:rPr>
          <w:rFonts w:ascii="楷体_GB2312" w:eastAsia="楷体_GB2312" w:hint="eastAsia"/>
          <w:kern w:val="0"/>
        </w:rPr>
        <w:t>就传统的零售行业而言，目前需承受发展中遇到的内外两大压力。一为企业内部不断上升的成本压力，二是与网络零售渠道抢占客源的压力。</w:t>
      </w:r>
    </w:p>
    <w:p w:rsidR="00800E02" w:rsidRPr="00AD60DC" w:rsidRDefault="00800E02" w:rsidP="00800E02">
      <w:pPr>
        <w:pStyle w:val="af8"/>
        <w:spacing w:before="156" w:line="276" w:lineRule="auto"/>
        <w:ind w:leftChars="0" w:left="0" w:firstLineChars="0" w:firstLine="0"/>
        <w:rPr>
          <w:rFonts w:ascii="楷体_GB2312" w:eastAsia="楷体_GB2312"/>
          <w:color w:val="000000" w:themeColor="text1"/>
        </w:rPr>
      </w:pPr>
      <w:r w:rsidRPr="00AD60DC">
        <w:rPr>
          <w:rFonts w:ascii="楷体_GB2312" w:eastAsia="楷体_GB2312" w:hint="eastAsia"/>
          <w:color w:val="000000" w:themeColor="text1"/>
        </w:rPr>
        <w:t>表2：2007-2011.3Q零售板块主要经营指标（%）</w:t>
      </w:r>
    </w:p>
    <w:tbl>
      <w:tblPr>
        <w:tblW w:w="10164" w:type="dxa"/>
        <w:tblLook w:val="04A0"/>
      </w:tblPr>
      <w:tblGrid>
        <w:gridCol w:w="12"/>
        <w:gridCol w:w="341"/>
        <w:gridCol w:w="487"/>
        <w:gridCol w:w="616"/>
        <w:gridCol w:w="733"/>
        <w:gridCol w:w="733"/>
        <w:gridCol w:w="1086"/>
        <w:gridCol w:w="536"/>
        <w:gridCol w:w="765"/>
        <w:gridCol w:w="100"/>
        <w:gridCol w:w="665"/>
        <w:gridCol w:w="1134"/>
        <w:gridCol w:w="616"/>
        <w:gridCol w:w="786"/>
        <w:gridCol w:w="786"/>
        <w:gridCol w:w="768"/>
      </w:tblGrid>
      <w:tr w:rsidR="00800E02" w:rsidRPr="0082662A" w:rsidTr="00800E02">
        <w:trPr>
          <w:trHeight w:val="300"/>
        </w:trPr>
        <w:tc>
          <w:tcPr>
            <w:tcW w:w="840" w:type="dxa"/>
            <w:gridSpan w:val="3"/>
            <w:tcBorders>
              <w:left w:val="nil"/>
            </w:tcBorders>
            <w:shd w:val="clear" w:color="auto" w:fill="C00000"/>
            <w:noWrap/>
            <w:vAlign w:val="bottom"/>
            <w:hideMark/>
          </w:tcPr>
          <w:p w:rsidR="00800E02" w:rsidRPr="0082662A" w:rsidRDefault="00800E02" w:rsidP="00B80F53">
            <w:pPr>
              <w:widowControl/>
              <w:spacing w:line="276" w:lineRule="auto"/>
              <w:jc w:val="left"/>
              <w:rPr>
                <w:rFonts w:ascii="宋体" w:hAnsi="宋体" w:cs="宋体"/>
                <w:b/>
                <w:color w:val="FFFFFF"/>
                <w:kern w:val="0"/>
                <w:sz w:val="16"/>
                <w:szCs w:val="16"/>
              </w:rPr>
            </w:pPr>
            <w:r w:rsidRPr="0082662A">
              <w:rPr>
                <w:rFonts w:ascii="宋体" w:hAnsi="宋体" w:cs="宋体" w:hint="eastAsia"/>
                <w:b/>
                <w:color w:val="FFFFFF"/>
                <w:kern w:val="0"/>
                <w:sz w:val="16"/>
                <w:szCs w:val="16"/>
              </w:rPr>
              <w:t xml:space="preserve">　</w:t>
            </w:r>
          </w:p>
        </w:tc>
        <w:tc>
          <w:tcPr>
            <w:tcW w:w="3168" w:type="dxa"/>
            <w:gridSpan w:val="4"/>
            <w:tcBorders>
              <w:left w:val="nil"/>
            </w:tcBorders>
            <w:shd w:val="clear" w:color="auto" w:fill="C00000"/>
            <w:noWrap/>
            <w:vAlign w:val="bottom"/>
            <w:hideMark/>
          </w:tcPr>
          <w:p w:rsidR="00800E02" w:rsidRPr="0082662A" w:rsidRDefault="00800E02" w:rsidP="00B80F53">
            <w:pPr>
              <w:widowControl/>
              <w:spacing w:line="276" w:lineRule="auto"/>
              <w:jc w:val="center"/>
              <w:rPr>
                <w:rFonts w:ascii="宋体" w:hAnsi="宋体" w:cs="宋体"/>
                <w:b/>
                <w:color w:val="FFFFFF"/>
                <w:kern w:val="0"/>
                <w:sz w:val="16"/>
                <w:szCs w:val="16"/>
              </w:rPr>
            </w:pPr>
            <w:r w:rsidRPr="0082662A">
              <w:rPr>
                <w:rFonts w:ascii="宋体" w:hAnsi="宋体" w:cs="宋体" w:hint="eastAsia"/>
                <w:b/>
                <w:color w:val="FFFFFF"/>
                <w:kern w:val="0"/>
                <w:sz w:val="16"/>
                <w:szCs w:val="16"/>
              </w:rPr>
              <w:t>销售毛利率</w:t>
            </w:r>
          </w:p>
        </w:tc>
        <w:tc>
          <w:tcPr>
            <w:tcW w:w="3200" w:type="dxa"/>
            <w:gridSpan w:val="5"/>
            <w:shd w:val="clear" w:color="auto" w:fill="C00000"/>
            <w:noWrap/>
            <w:vAlign w:val="bottom"/>
            <w:hideMark/>
          </w:tcPr>
          <w:p w:rsidR="00800E02" w:rsidRPr="0082662A" w:rsidRDefault="00800E02" w:rsidP="00B80F53">
            <w:pPr>
              <w:widowControl/>
              <w:spacing w:line="276" w:lineRule="auto"/>
              <w:jc w:val="center"/>
              <w:rPr>
                <w:rFonts w:ascii="宋体" w:hAnsi="宋体" w:cs="宋体"/>
                <w:b/>
                <w:color w:val="FFFFFF"/>
                <w:kern w:val="0"/>
                <w:sz w:val="16"/>
                <w:szCs w:val="16"/>
              </w:rPr>
            </w:pPr>
            <w:r w:rsidRPr="0082662A">
              <w:rPr>
                <w:rFonts w:ascii="宋体" w:hAnsi="宋体" w:cs="宋体" w:hint="eastAsia"/>
                <w:b/>
                <w:color w:val="FFFFFF"/>
                <w:kern w:val="0"/>
                <w:sz w:val="16"/>
                <w:szCs w:val="16"/>
              </w:rPr>
              <w:t>销售净利率</w:t>
            </w:r>
          </w:p>
        </w:tc>
        <w:tc>
          <w:tcPr>
            <w:tcW w:w="2956" w:type="dxa"/>
            <w:gridSpan w:val="4"/>
            <w:shd w:val="clear" w:color="auto" w:fill="C00000"/>
            <w:noWrap/>
            <w:vAlign w:val="center"/>
            <w:hideMark/>
          </w:tcPr>
          <w:p w:rsidR="00800E02" w:rsidRPr="0082662A" w:rsidRDefault="00800E02" w:rsidP="00B80F53">
            <w:pPr>
              <w:widowControl/>
              <w:spacing w:line="276" w:lineRule="auto"/>
              <w:jc w:val="center"/>
              <w:rPr>
                <w:rFonts w:ascii="宋体" w:hAnsi="宋体" w:cs="宋体"/>
                <w:b/>
                <w:color w:val="FFFFFF"/>
                <w:kern w:val="0"/>
                <w:sz w:val="16"/>
                <w:szCs w:val="16"/>
              </w:rPr>
            </w:pPr>
            <w:r w:rsidRPr="0082662A">
              <w:rPr>
                <w:rFonts w:ascii="宋体" w:hAnsi="宋体" w:cs="宋体" w:hint="eastAsia"/>
                <w:b/>
                <w:color w:val="FFFFFF"/>
                <w:kern w:val="0"/>
                <w:sz w:val="16"/>
                <w:szCs w:val="16"/>
              </w:rPr>
              <w:t>期间费用率</w:t>
            </w:r>
          </w:p>
        </w:tc>
      </w:tr>
      <w:tr w:rsidR="00800E02" w:rsidRPr="0082662A" w:rsidTr="00800E02">
        <w:trPr>
          <w:trHeight w:val="300"/>
        </w:trPr>
        <w:tc>
          <w:tcPr>
            <w:tcW w:w="840" w:type="dxa"/>
            <w:gridSpan w:val="3"/>
            <w:tcBorders>
              <w:top w:val="nil"/>
              <w:left w:val="nil"/>
            </w:tcBorders>
            <w:shd w:val="clear" w:color="auto" w:fill="C00000"/>
            <w:noWrap/>
            <w:vAlign w:val="bottom"/>
            <w:hideMark/>
          </w:tcPr>
          <w:p w:rsidR="00800E02" w:rsidRPr="0082662A" w:rsidRDefault="00800E02" w:rsidP="00B80F53">
            <w:pPr>
              <w:widowControl/>
              <w:spacing w:line="276" w:lineRule="auto"/>
              <w:jc w:val="left"/>
              <w:rPr>
                <w:rFonts w:ascii="宋体" w:hAnsi="宋体" w:cs="宋体"/>
                <w:b/>
                <w:color w:val="FFFFFF"/>
                <w:kern w:val="0"/>
                <w:sz w:val="16"/>
                <w:szCs w:val="16"/>
              </w:rPr>
            </w:pPr>
            <w:r w:rsidRPr="0082662A">
              <w:rPr>
                <w:rFonts w:ascii="宋体" w:hAnsi="宋体" w:cs="宋体" w:hint="eastAsia"/>
                <w:b/>
                <w:color w:val="FFFFFF"/>
                <w:kern w:val="0"/>
                <w:sz w:val="16"/>
                <w:szCs w:val="16"/>
              </w:rPr>
              <w:t>时间</w:t>
            </w:r>
          </w:p>
        </w:tc>
        <w:tc>
          <w:tcPr>
            <w:tcW w:w="616" w:type="dxa"/>
            <w:tcBorders>
              <w:top w:val="nil"/>
              <w:left w:val="nil"/>
            </w:tcBorders>
            <w:shd w:val="clear" w:color="auto" w:fill="C00000"/>
            <w:noWrap/>
            <w:vAlign w:val="bottom"/>
            <w:hideMark/>
          </w:tcPr>
          <w:p w:rsidR="00800E02" w:rsidRPr="0082662A" w:rsidRDefault="00800E02" w:rsidP="00B80F53">
            <w:pPr>
              <w:widowControl/>
              <w:spacing w:line="276" w:lineRule="auto"/>
              <w:jc w:val="left"/>
              <w:rPr>
                <w:rFonts w:ascii="宋体" w:hAnsi="宋体" w:cs="宋体"/>
                <w:b/>
                <w:color w:val="FFFFFF"/>
                <w:kern w:val="0"/>
                <w:sz w:val="16"/>
                <w:szCs w:val="16"/>
              </w:rPr>
            </w:pPr>
            <w:r w:rsidRPr="0082662A">
              <w:rPr>
                <w:rFonts w:ascii="宋体" w:hAnsi="宋体" w:cs="宋体" w:hint="eastAsia"/>
                <w:b/>
                <w:color w:val="FFFFFF"/>
                <w:kern w:val="0"/>
                <w:sz w:val="16"/>
                <w:szCs w:val="16"/>
              </w:rPr>
              <w:t>零售</w:t>
            </w:r>
          </w:p>
        </w:tc>
        <w:tc>
          <w:tcPr>
            <w:tcW w:w="733" w:type="dxa"/>
            <w:tcBorders>
              <w:top w:val="nil"/>
            </w:tcBorders>
            <w:shd w:val="clear" w:color="auto" w:fill="C00000"/>
            <w:noWrap/>
            <w:vAlign w:val="bottom"/>
            <w:hideMark/>
          </w:tcPr>
          <w:p w:rsidR="00800E02" w:rsidRPr="0082662A" w:rsidRDefault="00800E02" w:rsidP="00B80F53">
            <w:pPr>
              <w:widowControl/>
              <w:spacing w:line="276" w:lineRule="auto"/>
              <w:jc w:val="left"/>
              <w:rPr>
                <w:rFonts w:ascii="宋体" w:hAnsi="宋体" w:cs="宋体"/>
                <w:b/>
                <w:color w:val="FFFFFF"/>
                <w:kern w:val="0"/>
                <w:sz w:val="16"/>
                <w:szCs w:val="16"/>
              </w:rPr>
            </w:pPr>
            <w:r w:rsidRPr="0082662A">
              <w:rPr>
                <w:rFonts w:ascii="宋体" w:hAnsi="宋体" w:cs="宋体" w:hint="eastAsia"/>
                <w:b/>
                <w:color w:val="FFFFFF"/>
                <w:kern w:val="0"/>
                <w:sz w:val="16"/>
                <w:szCs w:val="16"/>
              </w:rPr>
              <w:t>百货零售</w:t>
            </w:r>
          </w:p>
        </w:tc>
        <w:tc>
          <w:tcPr>
            <w:tcW w:w="733" w:type="dxa"/>
            <w:tcBorders>
              <w:top w:val="nil"/>
            </w:tcBorders>
            <w:shd w:val="clear" w:color="auto" w:fill="C00000"/>
            <w:noWrap/>
            <w:vAlign w:val="bottom"/>
            <w:hideMark/>
          </w:tcPr>
          <w:p w:rsidR="00800E02" w:rsidRPr="0082662A" w:rsidRDefault="00800E02" w:rsidP="00B80F53">
            <w:pPr>
              <w:widowControl/>
              <w:spacing w:line="276" w:lineRule="auto"/>
              <w:jc w:val="left"/>
              <w:rPr>
                <w:rFonts w:ascii="宋体" w:hAnsi="宋体" w:cs="宋体"/>
                <w:b/>
                <w:color w:val="FFFFFF"/>
                <w:kern w:val="0"/>
                <w:sz w:val="16"/>
                <w:szCs w:val="16"/>
              </w:rPr>
            </w:pPr>
            <w:r w:rsidRPr="0082662A">
              <w:rPr>
                <w:rFonts w:ascii="宋体" w:hAnsi="宋体" w:cs="宋体" w:hint="eastAsia"/>
                <w:b/>
                <w:color w:val="FFFFFF"/>
                <w:kern w:val="0"/>
                <w:sz w:val="16"/>
                <w:szCs w:val="16"/>
              </w:rPr>
              <w:t>专业连锁</w:t>
            </w:r>
          </w:p>
        </w:tc>
        <w:tc>
          <w:tcPr>
            <w:tcW w:w="1086" w:type="dxa"/>
            <w:tcBorders>
              <w:top w:val="nil"/>
            </w:tcBorders>
            <w:shd w:val="clear" w:color="auto" w:fill="C00000"/>
            <w:noWrap/>
            <w:vAlign w:val="bottom"/>
            <w:hideMark/>
          </w:tcPr>
          <w:p w:rsidR="00800E02" w:rsidRPr="0082662A" w:rsidRDefault="00800E02" w:rsidP="00B80F53">
            <w:pPr>
              <w:widowControl/>
              <w:spacing w:line="276" w:lineRule="auto"/>
              <w:jc w:val="left"/>
              <w:rPr>
                <w:rFonts w:ascii="宋体" w:hAnsi="宋体" w:cs="宋体"/>
                <w:b/>
                <w:color w:val="FFFFFF"/>
                <w:kern w:val="0"/>
                <w:sz w:val="16"/>
                <w:szCs w:val="16"/>
              </w:rPr>
            </w:pPr>
            <w:r w:rsidRPr="0082662A">
              <w:rPr>
                <w:rFonts w:ascii="宋体" w:hAnsi="宋体" w:cs="宋体" w:hint="eastAsia"/>
                <w:b/>
                <w:color w:val="FFFFFF"/>
                <w:kern w:val="0"/>
                <w:sz w:val="16"/>
                <w:szCs w:val="16"/>
              </w:rPr>
              <w:t>商业物业经营</w:t>
            </w:r>
          </w:p>
        </w:tc>
        <w:tc>
          <w:tcPr>
            <w:tcW w:w="536" w:type="dxa"/>
            <w:tcBorders>
              <w:top w:val="nil"/>
            </w:tcBorders>
            <w:shd w:val="clear" w:color="auto" w:fill="C00000"/>
            <w:noWrap/>
            <w:vAlign w:val="bottom"/>
            <w:hideMark/>
          </w:tcPr>
          <w:p w:rsidR="00800E02" w:rsidRPr="0082662A" w:rsidRDefault="00800E02" w:rsidP="00B80F53">
            <w:pPr>
              <w:widowControl/>
              <w:spacing w:line="276" w:lineRule="auto"/>
              <w:jc w:val="left"/>
              <w:rPr>
                <w:rFonts w:ascii="宋体" w:hAnsi="宋体" w:cs="宋体"/>
                <w:b/>
                <w:color w:val="FFFFFF"/>
                <w:kern w:val="0"/>
                <w:sz w:val="16"/>
                <w:szCs w:val="16"/>
              </w:rPr>
            </w:pPr>
            <w:r w:rsidRPr="0082662A">
              <w:rPr>
                <w:rFonts w:ascii="宋体" w:hAnsi="宋体" w:cs="宋体" w:hint="eastAsia"/>
                <w:b/>
                <w:color w:val="FFFFFF"/>
                <w:kern w:val="0"/>
                <w:sz w:val="16"/>
                <w:szCs w:val="16"/>
              </w:rPr>
              <w:t>零售</w:t>
            </w:r>
          </w:p>
        </w:tc>
        <w:tc>
          <w:tcPr>
            <w:tcW w:w="765" w:type="dxa"/>
            <w:tcBorders>
              <w:top w:val="nil"/>
            </w:tcBorders>
            <w:shd w:val="clear" w:color="auto" w:fill="C00000"/>
            <w:noWrap/>
            <w:vAlign w:val="bottom"/>
            <w:hideMark/>
          </w:tcPr>
          <w:p w:rsidR="00800E02" w:rsidRPr="0082662A" w:rsidRDefault="00800E02" w:rsidP="00B80F53">
            <w:pPr>
              <w:widowControl/>
              <w:spacing w:line="276" w:lineRule="auto"/>
              <w:jc w:val="left"/>
              <w:rPr>
                <w:rFonts w:ascii="宋体" w:hAnsi="宋体" w:cs="宋体"/>
                <w:b/>
                <w:color w:val="FFFFFF"/>
                <w:kern w:val="0"/>
                <w:sz w:val="16"/>
                <w:szCs w:val="16"/>
              </w:rPr>
            </w:pPr>
            <w:r w:rsidRPr="0082662A">
              <w:rPr>
                <w:rFonts w:ascii="宋体" w:hAnsi="宋体" w:cs="宋体" w:hint="eastAsia"/>
                <w:b/>
                <w:color w:val="FFFFFF"/>
                <w:kern w:val="0"/>
                <w:sz w:val="16"/>
                <w:szCs w:val="16"/>
              </w:rPr>
              <w:t>百货零售</w:t>
            </w:r>
          </w:p>
        </w:tc>
        <w:tc>
          <w:tcPr>
            <w:tcW w:w="765" w:type="dxa"/>
            <w:gridSpan w:val="2"/>
            <w:tcBorders>
              <w:top w:val="nil"/>
            </w:tcBorders>
            <w:shd w:val="clear" w:color="auto" w:fill="C00000"/>
            <w:noWrap/>
            <w:vAlign w:val="bottom"/>
            <w:hideMark/>
          </w:tcPr>
          <w:p w:rsidR="00800E02" w:rsidRPr="0082662A" w:rsidRDefault="00800E02" w:rsidP="00B80F53">
            <w:pPr>
              <w:widowControl/>
              <w:spacing w:line="276" w:lineRule="auto"/>
              <w:jc w:val="left"/>
              <w:rPr>
                <w:rFonts w:ascii="宋体" w:hAnsi="宋体" w:cs="宋体"/>
                <w:b/>
                <w:color w:val="FFFFFF"/>
                <w:kern w:val="0"/>
                <w:sz w:val="16"/>
                <w:szCs w:val="16"/>
              </w:rPr>
            </w:pPr>
            <w:r w:rsidRPr="0082662A">
              <w:rPr>
                <w:rFonts w:ascii="宋体" w:hAnsi="宋体" w:cs="宋体" w:hint="eastAsia"/>
                <w:b/>
                <w:color w:val="FFFFFF"/>
                <w:kern w:val="0"/>
                <w:sz w:val="16"/>
                <w:szCs w:val="16"/>
              </w:rPr>
              <w:t>专业连锁</w:t>
            </w:r>
          </w:p>
        </w:tc>
        <w:tc>
          <w:tcPr>
            <w:tcW w:w="1134" w:type="dxa"/>
            <w:tcBorders>
              <w:top w:val="nil"/>
            </w:tcBorders>
            <w:shd w:val="clear" w:color="auto" w:fill="C00000"/>
            <w:noWrap/>
            <w:vAlign w:val="bottom"/>
            <w:hideMark/>
          </w:tcPr>
          <w:p w:rsidR="00800E02" w:rsidRPr="0082662A" w:rsidRDefault="00800E02" w:rsidP="00B80F53">
            <w:pPr>
              <w:widowControl/>
              <w:spacing w:line="276" w:lineRule="auto"/>
              <w:jc w:val="left"/>
              <w:rPr>
                <w:rFonts w:ascii="宋体" w:hAnsi="宋体" w:cs="宋体"/>
                <w:b/>
                <w:color w:val="FFFFFF"/>
                <w:kern w:val="0"/>
                <w:sz w:val="16"/>
                <w:szCs w:val="16"/>
              </w:rPr>
            </w:pPr>
            <w:r w:rsidRPr="0082662A">
              <w:rPr>
                <w:rFonts w:ascii="宋体" w:hAnsi="宋体" w:cs="宋体" w:hint="eastAsia"/>
                <w:b/>
                <w:color w:val="FFFFFF"/>
                <w:kern w:val="0"/>
                <w:sz w:val="16"/>
                <w:szCs w:val="16"/>
              </w:rPr>
              <w:t>商业物业经营</w:t>
            </w:r>
          </w:p>
        </w:tc>
        <w:tc>
          <w:tcPr>
            <w:tcW w:w="616" w:type="dxa"/>
            <w:tcBorders>
              <w:top w:val="nil"/>
            </w:tcBorders>
            <w:shd w:val="clear" w:color="auto" w:fill="C00000"/>
            <w:noWrap/>
            <w:vAlign w:val="bottom"/>
            <w:hideMark/>
          </w:tcPr>
          <w:p w:rsidR="00800E02" w:rsidRPr="0082662A" w:rsidRDefault="00800E02" w:rsidP="00B80F53">
            <w:pPr>
              <w:widowControl/>
              <w:spacing w:line="276" w:lineRule="auto"/>
              <w:jc w:val="left"/>
              <w:rPr>
                <w:rFonts w:ascii="宋体" w:hAnsi="宋体" w:cs="宋体"/>
                <w:b/>
                <w:color w:val="FFFFFF"/>
                <w:kern w:val="0"/>
                <w:sz w:val="16"/>
                <w:szCs w:val="16"/>
              </w:rPr>
            </w:pPr>
            <w:r w:rsidRPr="0082662A">
              <w:rPr>
                <w:rFonts w:ascii="宋体" w:hAnsi="宋体" w:cs="宋体" w:hint="eastAsia"/>
                <w:b/>
                <w:color w:val="FFFFFF"/>
                <w:kern w:val="0"/>
                <w:sz w:val="16"/>
                <w:szCs w:val="16"/>
              </w:rPr>
              <w:t>零售</w:t>
            </w:r>
          </w:p>
        </w:tc>
        <w:tc>
          <w:tcPr>
            <w:tcW w:w="786" w:type="dxa"/>
            <w:tcBorders>
              <w:top w:val="nil"/>
            </w:tcBorders>
            <w:shd w:val="clear" w:color="auto" w:fill="C00000"/>
            <w:noWrap/>
            <w:vAlign w:val="bottom"/>
            <w:hideMark/>
          </w:tcPr>
          <w:p w:rsidR="00800E02" w:rsidRPr="0082662A" w:rsidRDefault="00800E02" w:rsidP="00B80F53">
            <w:pPr>
              <w:widowControl/>
              <w:spacing w:line="276" w:lineRule="auto"/>
              <w:jc w:val="left"/>
              <w:rPr>
                <w:rFonts w:ascii="宋体" w:hAnsi="宋体" w:cs="宋体"/>
                <w:b/>
                <w:color w:val="FFFFFF"/>
                <w:kern w:val="0"/>
                <w:sz w:val="16"/>
                <w:szCs w:val="16"/>
              </w:rPr>
            </w:pPr>
            <w:r w:rsidRPr="0082662A">
              <w:rPr>
                <w:rFonts w:ascii="宋体" w:hAnsi="宋体" w:cs="宋体" w:hint="eastAsia"/>
                <w:b/>
                <w:color w:val="FFFFFF"/>
                <w:kern w:val="0"/>
                <w:sz w:val="16"/>
                <w:szCs w:val="16"/>
              </w:rPr>
              <w:t>百货零售</w:t>
            </w:r>
          </w:p>
        </w:tc>
        <w:tc>
          <w:tcPr>
            <w:tcW w:w="786" w:type="dxa"/>
            <w:tcBorders>
              <w:top w:val="nil"/>
            </w:tcBorders>
            <w:shd w:val="clear" w:color="auto" w:fill="C00000"/>
            <w:noWrap/>
            <w:vAlign w:val="bottom"/>
            <w:hideMark/>
          </w:tcPr>
          <w:p w:rsidR="00800E02" w:rsidRPr="0082662A" w:rsidRDefault="00800E02" w:rsidP="00B80F53">
            <w:pPr>
              <w:widowControl/>
              <w:spacing w:line="276" w:lineRule="auto"/>
              <w:jc w:val="left"/>
              <w:rPr>
                <w:rFonts w:ascii="宋体" w:hAnsi="宋体" w:cs="宋体"/>
                <w:b/>
                <w:color w:val="FFFFFF"/>
                <w:kern w:val="0"/>
                <w:sz w:val="16"/>
                <w:szCs w:val="16"/>
              </w:rPr>
            </w:pPr>
            <w:r w:rsidRPr="0082662A">
              <w:rPr>
                <w:rFonts w:ascii="宋体" w:hAnsi="宋体" w:cs="宋体" w:hint="eastAsia"/>
                <w:b/>
                <w:color w:val="FFFFFF"/>
                <w:kern w:val="0"/>
                <w:sz w:val="16"/>
                <w:szCs w:val="16"/>
              </w:rPr>
              <w:t>专业连锁</w:t>
            </w:r>
          </w:p>
        </w:tc>
        <w:tc>
          <w:tcPr>
            <w:tcW w:w="768" w:type="dxa"/>
            <w:tcBorders>
              <w:top w:val="nil"/>
              <w:right w:val="nil"/>
            </w:tcBorders>
            <w:shd w:val="clear" w:color="auto" w:fill="C00000"/>
            <w:noWrap/>
            <w:vAlign w:val="bottom"/>
            <w:hideMark/>
          </w:tcPr>
          <w:p w:rsidR="00800E02" w:rsidRPr="0082662A" w:rsidRDefault="00800E02" w:rsidP="00B80F53">
            <w:pPr>
              <w:widowControl/>
              <w:spacing w:line="276" w:lineRule="auto"/>
              <w:jc w:val="left"/>
              <w:rPr>
                <w:rFonts w:ascii="宋体" w:hAnsi="宋体" w:cs="宋体"/>
                <w:b/>
                <w:color w:val="FFFFFF"/>
                <w:kern w:val="0"/>
                <w:sz w:val="16"/>
                <w:szCs w:val="16"/>
              </w:rPr>
            </w:pPr>
            <w:r w:rsidRPr="0082662A">
              <w:rPr>
                <w:rFonts w:ascii="宋体" w:hAnsi="宋体" w:cs="宋体" w:hint="eastAsia"/>
                <w:b/>
                <w:color w:val="FFFFFF"/>
                <w:kern w:val="0"/>
                <w:sz w:val="16"/>
                <w:szCs w:val="16"/>
              </w:rPr>
              <w:t>商业物业经营</w:t>
            </w:r>
          </w:p>
        </w:tc>
      </w:tr>
      <w:tr w:rsidR="00800E02" w:rsidRPr="0082662A" w:rsidTr="00800E02">
        <w:trPr>
          <w:trHeight w:val="300"/>
        </w:trPr>
        <w:tc>
          <w:tcPr>
            <w:tcW w:w="840" w:type="dxa"/>
            <w:gridSpan w:val="3"/>
            <w:tcBorders>
              <w:left w:val="nil"/>
            </w:tcBorders>
            <w:shd w:val="clear" w:color="auto" w:fill="auto"/>
            <w:noWrap/>
            <w:vAlign w:val="bottom"/>
            <w:hideMark/>
          </w:tcPr>
          <w:p w:rsidR="00800E02" w:rsidRPr="0082662A" w:rsidRDefault="00800E02" w:rsidP="00B80F53">
            <w:pPr>
              <w:widowControl/>
              <w:spacing w:line="276" w:lineRule="auto"/>
              <w:jc w:val="left"/>
              <w:rPr>
                <w:rFonts w:ascii="宋体" w:hAnsi="宋体" w:cs="宋体"/>
                <w:color w:val="000000"/>
                <w:kern w:val="0"/>
                <w:sz w:val="16"/>
                <w:szCs w:val="16"/>
              </w:rPr>
            </w:pPr>
            <w:r w:rsidRPr="0082662A">
              <w:rPr>
                <w:rFonts w:ascii="宋体" w:hAnsi="宋体" w:cs="宋体" w:hint="eastAsia"/>
                <w:color w:val="000000"/>
                <w:kern w:val="0"/>
                <w:sz w:val="16"/>
                <w:szCs w:val="16"/>
              </w:rPr>
              <w:t>2007年</w:t>
            </w:r>
          </w:p>
        </w:tc>
        <w:tc>
          <w:tcPr>
            <w:tcW w:w="616" w:type="dxa"/>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18.02</w:t>
            </w:r>
          </w:p>
        </w:tc>
        <w:tc>
          <w:tcPr>
            <w:tcW w:w="733" w:type="dxa"/>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20</w:t>
            </w:r>
          </w:p>
        </w:tc>
        <w:tc>
          <w:tcPr>
            <w:tcW w:w="733" w:type="dxa"/>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15.71</w:t>
            </w:r>
          </w:p>
        </w:tc>
        <w:tc>
          <w:tcPr>
            <w:tcW w:w="1086" w:type="dxa"/>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23.73</w:t>
            </w:r>
          </w:p>
        </w:tc>
        <w:tc>
          <w:tcPr>
            <w:tcW w:w="536" w:type="dxa"/>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3.81</w:t>
            </w:r>
          </w:p>
        </w:tc>
        <w:tc>
          <w:tcPr>
            <w:tcW w:w="765" w:type="dxa"/>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4.32</w:t>
            </w:r>
          </w:p>
        </w:tc>
        <w:tc>
          <w:tcPr>
            <w:tcW w:w="765" w:type="dxa"/>
            <w:gridSpan w:val="2"/>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3.07</w:t>
            </w:r>
          </w:p>
        </w:tc>
        <w:tc>
          <w:tcPr>
            <w:tcW w:w="1134" w:type="dxa"/>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6.54</w:t>
            </w:r>
          </w:p>
        </w:tc>
        <w:tc>
          <w:tcPr>
            <w:tcW w:w="616" w:type="dxa"/>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12.99</w:t>
            </w:r>
          </w:p>
        </w:tc>
        <w:tc>
          <w:tcPr>
            <w:tcW w:w="786" w:type="dxa"/>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14.21</w:t>
            </w:r>
          </w:p>
        </w:tc>
        <w:tc>
          <w:tcPr>
            <w:tcW w:w="786" w:type="dxa"/>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11.53</w:t>
            </w:r>
          </w:p>
        </w:tc>
        <w:tc>
          <w:tcPr>
            <w:tcW w:w="768" w:type="dxa"/>
            <w:tcBorders>
              <w:right w:val="nil"/>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16.84</w:t>
            </w:r>
          </w:p>
        </w:tc>
      </w:tr>
      <w:tr w:rsidR="00800E02" w:rsidRPr="0082662A" w:rsidTr="00800E02">
        <w:trPr>
          <w:trHeight w:val="300"/>
        </w:trPr>
        <w:tc>
          <w:tcPr>
            <w:tcW w:w="840" w:type="dxa"/>
            <w:gridSpan w:val="3"/>
            <w:tcBorders>
              <w:top w:val="nil"/>
              <w:left w:val="nil"/>
            </w:tcBorders>
            <w:shd w:val="clear" w:color="auto" w:fill="D9D9D9"/>
            <w:noWrap/>
            <w:vAlign w:val="bottom"/>
            <w:hideMark/>
          </w:tcPr>
          <w:p w:rsidR="00800E02" w:rsidRPr="0082662A" w:rsidRDefault="00800E02" w:rsidP="00B80F53">
            <w:pPr>
              <w:widowControl/>
              <w:spacing w:line="276" w:lineRule="auto"/>
              <w:jc w:val="left"/>
              <w:rPr>
                <w:rFonts w:ascii="宋体" w:hAnsi="宋体" w:cs="宋体"/>
                <w:color w:val="000000"/>
                <w:kern w:val="0"/>
                <w:sz w:val="16"/>
                <w:szCs w:val="16"/>
              </w:rPr>
            </w:pPr>
            <w:r w:rsidRPr="0082662A">
              <w:rPr>
                <w:rFonts w:ascii="宋体" w:hAnsi="宋体" w:cs="宋体" w:hint="eastAsia"/>
                <w:color w:val="000000"/>
                <w:kern w:val="0"/>
                <w:sz w:val="16"/>
                <w:szCs w:val="16"/>
              </w:rPr>
              <w:t>2008年</w:t>
            </w:r>
          </w:p>
        </w:tc>
        <w:tc>
          <w:tcPr>
            <w:tcW w:w="616"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18.59</w:t>
            </w:r>
          </w:p>
        </w:tc>
        <w:tc>
          <w:tcPr>
            <w:tcW w:w="733"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19.59</w:t>
            </w:r>
          </w:p>
        </w:tc>
        <w:tc>
          <w:tcPr>
            <w:tcW w:w="733"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16.9</w:t>
            </w:r>
          </w:p>
        </w:tc>
        <w:tc>
          <w:tcPr>
            <w:tcW w:w="1086"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29.71</w:t>
            </w:r>
          </w:p>
        </w:tc>
        <w:tc>
          <w:tcPr>
            <w:tcW w:w="536"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3.44</w:t>
            </w:r>
          </w:p>
        </w:tc>
        <w:tc>
          <w:tcPr>
            <w:tcW w:w="765"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3.22</w:t>
            </w:r>
          </w:p>
        </w:tc>
        <w:tc>
          <w:tcPr>
            <w:tcW w:w="765" w:type="dxa"/>
            <w:gridSpan w:val="2"/>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3.08</w:t>
            </w:r>
          </w:p>
        </w:tc>
        <w:tc>
          <w:tcPr>
            <w:tcW w:w="1134"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10.04</w:t>
            </w:r>
          </w:p>
        </w:tc>
        <w:tc>
          <w:tcPr>
            <w:tcW w:w="616"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13.57</w:t>
            </w:r>
          </w:p>
        </w:tc>
        <w:tc>
          <w:tcPr>
            <w:tcW w:w="786"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14.74</w:t>
            </w:r>
          </w:p>
        </w:tc>
        <w:tc>
          <w:tcPr>
            <w:tcW w:w="786"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12.52</w:t>
            </w:r>
          </w:p>
        </w:tc>
        <w:tc>
          <w:tcPr>
            <w:tcW w:w="768" w:type="dxa"/>
            <w:tcBorders>
              <w:top w:val="nil"/>
              <w:right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14.98</w:t>
            </w:r>
          </w:p>
        </w:tc>
      </w:tr>
      <w:tr w:rsidR="00800E02" w:rsidRPr="0082662A" w:rsidTr="00800E02">
        <w:trPr>
          <w:trHeight w:val="300"/>
        </w:trPr>
        <w:tc>
          <w:tcPr>
            <w:tcW w:w="840" w:type="dxa"/>
            <w:gridSpan w:val="3"/>
            <w:tcBorders>
              <w:top w:val="nil"/>
              <w:left w:val="nil"/>
            </w:tcBorders>
            <w:shd w:val="clear" w:color="auto" w:fill="auto"/>
            <w:noWrap/>
            <w:vAlign w:val="bottom"/>
            <w:hideMark/>
          </w:tcPr>
          <w:p w:rsidR="00800E02" w:rsidRPr="0082662A" w:rsidRDefault="00800E02" w:rsidP="00B80F53">
            <w:pPr>
              <w:widowControl/>
              <w:spacing w:line="276" w:lineRule="auto"/>
              <w:jc w:val="left"/>
              <w:rPr>
                <w:rFonts w:ascii="宋体" w:hAnsi="宋体" w:cs="宋体"/>
                <w:color w:val="000000"/>
                <w:kern w:val="0"/>
                <w:sz w:val="16"/>
                <w:szCs w:val="16"/>
              </w:rPr>
            </w:pPr>
            <w:r w:rsidRPr="0082662A">
              <w:rPr>
                <w:rFonts w:ascii="宋体" w:hAnsi="宋体" w:cs="宋体" w:hint="eastAsia"/>
                <w:color w:val="000000"/>
                <w:kern w:val="0"/>
                <w:sz w:val="16"/>
                <w:szCs w:val="16"/>
              </w:rPr>
              <w:t>2009年</w:t>
            </w:r>
          </w:p>
        </w:tc>
        <w:tc>
          <w:tcPr>
            <w:tcW w:w="616" w:type="dxa"/>
            <w:tcBorders>
              <w:top w:val="nil"/>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18.66</w:t>
            </w:r>
          </w:p>
        </w:tc>
        <w:tc>
          <w:tcPr>
            <w:tcW w:w="733" w:type="dxa"/>
            <w:tcBorders>
              <w:top w:val="nil"/>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19.19</w:t>
            </w:r>
          </w:p>
        </w:tc>
        <w:tc>
          <w:tcPr>
            <w:tcW w:w="733" w:type="dxa"/>
            <w:tcBorders>
              <w:top w:val="nil"/>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17.14</w:t>
            </w:r>
          </w:p>
        </w:tc>
        <w:tc>
          <w:tcPr>
            <w:tcW w:w="1086" w:type="dxa"/>
            <w:tcBorders>
              <w:top w:val="nil"/>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32.86</w:t>
            </w:r>
          </w:p>
        </w:tc>
        <w:tc>
          <w:tcPr>
            <w:tcW w:w="536" w:type="dxa"/>
            <w:tcBorders>
              <w:top w:val="nil"/>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3.63</w:t>
            </w:r>
          </w:p>
        </w:tc>
        <w:tc>
          <w:tcPr>
            <w:tcW w:w="765" w:type="dxa"/>
            <w:tcBorders>
              <w:top w:val="nil"/>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3.41</w:t>
            </w:r>
          </w:p>
        </w:tc>
        <w:tc>
          <w:tcPr>
            <w:tcW w:w="765" w:type="dxa"/>
            <w:gridSpan w:val="2"/>
            <w:tcBorders>
              <w:top w:val="nil"/>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3.38</w:t>
            </w:r>
          </w:p>
        </w:tc>
        <w:tc>
          <w:tcPr>
            <w:tcW w:w="1134" w:type="dxa"/>
            <w:tcBorders>
              <w:top w:val="nil"/>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8.92</w:t>
            </w:r>
          </w:p>
        </w:tc>
        <w:tc>
          <w:tcPr>
            <w:tcW w:w="616" w:type="dxa"/>
            <w:tcBorders>
              <w:top w:val="nil"/>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13.19</w:t>
            </w:r>
          </w:p>
        </w:tc>
        <w:tc>
          <w:tcPr>
            <w:tcW w:w="786" w:type="dxa"/>
            <w:tcBorders>
              <w:top w:val="nil"/>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14.37</w:t>
            </w:r>
          </w:p>
        </w:tc>
        <w:tc>
          <w:tcPr>
            <w:tcW w:w="786" w:type="dxa"/>
            <w:tcBorders>
              <w:top w:val="nil"/>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12.26</w:t>
            </w:r>
          </w:p>
        </w:tc>
        <w:tc>
          <w:tcPr>
            <w:tcW w:w="768" w:type="dxa"/>
            <w:tcBorders>
              <w:top w:val="nil"/>
              <w:right w:val="nil"/>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13.38</w:t>
            </w:r>
          </w:p>
        </w:tc>
      </w:tr>
      <w:tr w:rsidR="00800E02" w:rsidRPr="0082662A" w:rsidTr="00800E02">
        <w:trPr>
          <w:trHeight w:val="300"/>
        </w:trPr>
        <w:tc>
          <w:tcPr>
            <w:tcW w:w="840" w:type="dxa"/>
            <w:gridSpan w:val="3"/>
            <w:tcBorders>
              <w:top w:val="nil"/>
              <w:left w:val="nil"/>
            </w:tcBorders>
            <w:shd w:val="clear" w:color="auto" w:fill="D9D9D9"/>
            <w:noWrap/>
            <w:vAlign w:val="bottom"/>
            <w:hideMark/>
          </w:tcPr>
          <w:p w:rsidR="00800E02" w:rsidRPr="0082662A" w:rsidRDefault="00800E02" w:rsidP="00B80F53">
            <w:pPr>
              <w:widowControl/>
              <w:spacing w:line="276" w:lineRule="auto"/>
              <w:jc w:val="left"/>
              <w:rPr>
                <w:rFonts w:ascii="宋体" w:hAnsi="宋体" w:cs="宋体"/>
                <w:color w:val="000000"/>
                <w:kern w:val="0"/>
                <w:sz w:val="16"/>
                <w:szCs w:val="16"/>
              </w:rPr>
            </w:pPr>
            <w:r w:rsidRPr="0082662A">
              <w:rPr>
                <w:rFonts w:ascii="宋体" w:hAnsi="宋体" w:cs="宋体" w:hint="eastAsia"/>
                <w:color w:val="000000"/>
                <w:kern w:val="0"/>
                <w:sz w:val="16"/>
                <w:szCs w:val="16"/>
              </w:rPr>
              <w:t>2010年</w:t>
            </w:r>
          </w:p>
        </w:tc>
        <w:tc>
          <w:tcPr>
            <w:tcW w:w="616"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18.84</w:t>
            </w:r>
          </w:p>
        </w:tc>
        <w:tc>
          <w:tcPr>
            <w:tcW w:w="733"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18.81</w:t>
            </w:r>
          </w:p>
        </w:tc>
        <w:tc>
          <w:tcPr>
            <w:tcW w:w="733"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17.6</w:t>
            </w:r>
          </w:p>
        </w:tc>
        <w:tc>
          <w:tcPr>
            <w:tcW w:w="1086"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38.85</w:t>
            </w:r>
          </w:p>
        </w:tc>
        <w:tc>
          <w:tcPr>
            <w:tcW w:w="536"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3.92</w:t>
            </w:r>
          </w:p>
        </w:tc>
        <w:tc>
          <w:tcPr>
            <w:tcW w:w="765"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3.39</w:t>
            </w:r>
          </w:p>
        </w:tc>
        <w:tc>
          <w:tcPr>
            <w:tcW w:w="765" w:type="dxa"/>
            <w:gridSpan w:val="2"/>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3.69</w:t>
            </w:r>
          </w:p>
        </w:tc>
        <w:tc>
          <w:tcPr>
            <w:tcW w:w="1134"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14.49</w:t>
            </w:r>
          </w:p>
        </w:tc>
        <w:tc>
          <w:tcPr>
            <w:tcW w:w="616"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13.08</w:t>
            </w:r>
          </w:p>
        </w:tc>
        <w:tc>
          <w:tcPr>
            <w:tcW w:w="786"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13.72</w:t>
            </w:r>
          </w:p>
        </w:tc>
        <w:tc>
          <w:tcPr>
            <w:tcW w:w="786" w:type="dxa"/>
            <w:tcBorders>
              <w:top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12.44</w:t>
            </w:r>
          </w:p>
        </w:tc>
        <w:tc>
          <w:tcPr>
            <w:tcW w:w="768" w:type="dxa"/>
            <w:tcBorders>
              <w:top w:val="nil"/>
              <w:right w:val="nil"/>
            </w:tcBorders>
            <w:shd w:val="clear" w:color="auto" w:fill="D9D9D9"/>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14.74</w:t>
            </w:r>
          </w:p>
        </w:tc>
      </w:tr>
      <w:tr w:rsidR="00800E02" w:rsidRPr="0082662A" w:rsidTr="00800E02">
        <w:trPr>
          <w:trHeight w:val="300"/>
        </w:trPr>
        <w:tc>
          <w:tcPr>
            <w:tcW w:w="840" w:type="dxa"/>
            <w:gridSpan w:val="3"/>
            <w:tcBorders>
              <w:top w:val="nil"/>
              <w:left w:val="nil"/>
              <w:bottom w:val="single" w:sz="12" w:space="0" w:color="C00000"/>
            </w:tcBorders>
            <w:shd w:val="clear" w:color="auto" w:fill="auto"/>
            <w:noWrap/>
            <w:vAlign w:val="bottom"/>
            <w:hideMark/>
          </w:tcPr>
          <w:p w:rsidR="00800E02" w:rsidRPr="0082662A" w:rsidRDefault="00800E02" w:rsidP="00B80F53">
            <w:pPr>
              <w:widowControl/>
              <w:spacing w:line="276" w:lineRule="auto"/>
              <w:jc w:val="left"/>
              <w:rPr>
                <w:rFonts w:ascii="宋体" w:hAnsi="宋体" w:cs="宋体"/>
                <w:color w:val="000000"/>
                <w:kern w:val="0"/>
                <w:sz w:val="16"/>
                <w:szCs w:val="16"/>
              </w:rPr>
            </w:pPr>
            <w:r w:rsidRPr="0082662A">
              <w:rPr>
                <w:rFonts w:ascii="宋体" w:hAnsi="宋体" w:cs="宋体" w:hint="eastAsia"/>
                <w:color w:val="000000"/>
                <w:kern w:val="0"/>
                <w:sz w:val="16"/>
                <w:szCs w:val="16"/>
              </w:rPr>
              <w:t>3Q 2011年</w:t>
            </w:r>
          </w:p>
        </w:tc>
        <w:tc>
          <w:tcPr>
            <w:tcW w:w="616" w:type="dxa"/>
            <w:tcBorders>
              <w:top w:val="nil"/>
              <w:bottom w:val="single" w:sz="12" w:space="0" w:color="C00000"/>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18.74</w:t>
            </w:r>
          </w:p>
        </w:tc>
        <w:tc>
          <w:tcPr>
            <w:tcW w:w="733" w:type="dxa"/>
            <w:tcBorders>
              <w:top w:val="nil"/>
              <w:bottom w:val="single" w:sz="12" w:space="0" w:color="C00000"/>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18.29</w:t>
            </w:r>
          </w:p>
        </w:tc>
        <w:tc>
          <w:tcPr>
            <w:tcW w:w="733" w:type="dxa"/>
            <w:tcBorders>
              <w:top w:val="nil"/>
              <w:bottom w:val="single" w:sz="12" w:space="0" w:color="C00000"/>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17.97</w:t>
            </w:r>
          </w:p>
        </w:tc>
        <w:tc>
          <w:tcPr>
            <w:tcW w:w="1086" w:type="dxa"/>
            <w:tcBorders>
              <w:top w:val="nil"/>
              <w:bottom w:val="single" w:sz="12" w:space="0" w:color="C00000"/>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39.13</w:t>
            </w:r>
          </w:p>
        </w:tc>
        <w:tc>
          <w:tcPr>
            <w:tcW w:w="536" w:type="dxa"/>
            <w:tcBorders>
              <w:top w:val="nil"/>
              <w:bottom w:val="single" w:sz="12" w:space="0" w:color="C00000"/>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4.08</w:t>
            </w:r>
          </w:p>
        </w:tc>
        <w:tc>
          <w:tcPr>
            <w:tcW w:w="765" w:type="dxa"/>
            <w:tcBorders>
              <w:top w:val="nil"/>
              <w:bottom w:val="single" w:sz="12" w:space="0" w:color="C00000"/>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3.93</w:t>
            </w:r>
          </w:p>
        </w:tc>
        <w:tc>
          <w:tcPr>
            <w:tcW w:w="765" w:type="dxa"/>
            <w:gridSpan w:val="2"/>
            <w:tcBorders>
              <w:top w:val="nil"/>
              <w:bottom w:val="single" w:sz="12" w:space="0" w:color="C00000"/>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3.6</w:t>
            </w:r>
          </w:p>
        </w:tc>
        <w:tc>
          <w:tcPr>
            <w:tcW w:w="1134" w:type="dxa"/>
            <w:tcBorders>
              <w:top w:val="nil"/>
              <w:bottom w:val="single" w:sz="12" w:space="0" w:color="C00000"/>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14.71</w:t>
            </w:r>
          </w:p>
        </w:tc>
        <w:tc>
          <w:tcPr>
            <w:tcW w:w="616" w:type="dxa"/>
            <w:tcBorders>
              <w:top w:val="nil"/>
              <w:bottom w:val="single" w:sz="12" w:space="0" w:color="C00000"/>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12.97</w:t>
            </w:r>
          </w:p>
        </w:tc>
        <w:tc>
          <w:tcPr>
            <w:tcW w:w="786" w:type="dxa"/>
            <w:tcBorders>
              <w:top w:val="nil"/>
              <w:bottom w:val="single" w:sz="12" w:space="0" w:color="C00000"/>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12.75</w:t>
            </w:r>
          </w:p>
        </w:tc>
        <w:tc>
          <w:tcPr>
            <w:tcW w:w="786" w:type="dxa"/>
            <w:tcBorders>
              <w:top w:val="nil"/>
              <w:bottom w:val="single" w:sz="12" w:space="0" w:color="C00000"/>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12.95</w:t>
            </w:r>
          </w:p>
        </w:tc>
        <w:tc>
          <w:tcPr>
            <w:tcW w:w="768" w:type="dxa"/>
            <w:tcBorders>
              <w:top w:val="nil"/>
              <w:bottom w:val="single" w:sz="12" w:space="0" w:color="C00000"/>
              <w:right w:val="nil"/>
            </w:tcBorders>
            <w:shd w:val="clear" w:color="auto" w:fill="auto"/>
            <w:noWrap/>
            <w:vAlign w:val="bottom"/>
            <w:hideMark/>
          </w:tcPr>
          <w:p w:rsidR="00800E02" w:rsidRPr="0082662A" w:rsidRDefault="00800E02" w:rsidP="00B80F53">
            <w:pPr>
              <w:widowControl/>
              <w:spacing w:line="276" w:lineRule="auto"/>
              <w:jc w:val="right"/>
              <w:rPr>
                <w:rFonts w:ascii="宋体" w:hAnsi="宋体" w:cs="宋体"/>
                <w:color w:val="000000"/>
                <w:kern w:val="0"/>
                <w:sz w:val="16"/>
                <w:szCs w:val="16"/>
              </w:rPr>
            </w:pPr>
            <w:r w:rsidRPr="0082662A">
              <w:rPr>
                <w:rFonts w:ascii="宋体" w:hAnsi="宋体" w:cs="宋体" w:hint="eastAsia"/>
                <w:color w:val="000000"/>
                <w:kern w:val="0"/>
                <w:sz w:val="16"/>
                <w:szCs w:val="16"/>
              </w:rPr>
              <w:t>16.3</w:t>
            </w:r>
          </w:p>
        </w:tc>
      </w:tr>
      <w:tr w:rsidR="00800E02" w:rsidRPr="007C69F9" w:rsidTr="00800E02">
        <w:tblPrEx>
          <w:tblCellMar>
            <w:left w:w="0" w:type="dxa"/>
            <w:right w:w="0" w:type="dxa"/>
          </w:tblCellMar>
          <w:tblLook w:val="01E0"/>
        </w:tblPrEx>
        <w:trPr>
          <w:gridBefore w:val="1"/>
          <w:gridAfter w:val="6"/>
          <w:wBefore w:w="12" w:type="dxa"/>
          <w:wAfter w:w="4755" w:type="dxa"/>
        </w:trPr>
        <w:tc>
          <w:tcPr>
            <w:tcW w:w="325" w:type="dxa"/>
            <w:noWrap/>
          </w:tcPr>
          <w:p w:rsidR="00800E02" w:rsidRPr="007C69F9" w:rsidRDefault="00800E02" w:rsidP="008B0962">
            <w:pPr>
              <w:adjustRightInd w:val="0"/>
              <w:snapToGrid w:val="0"/>
              <w:spacing w:afterLines="50" w:line="276" w:lineRule="auto"/>
              <w:rPr>
                <w:rFonts w:ascii="宋体" w:hAnsi="宋体" w:cs="宋体"/>
                <w:kern w:val="0"/>
                <w:sz w:val="18"/>
                <w:szCs w:val="18"/>
              </w:rPr>
            </w:pPr>
          </w:p>
        </w:tc>
        <w:tc>
          <w:tcPr>
            <w:tcW w:w="5072" w:type="dxa"/>
            <w:gridSpan w:val="8"/>
            <w:tcBorders>
              <w:top w:val="single" w:sz="12" w:space="0" w:color="C8000B"/>
            </w:tcBorders>
          </w:tcPr>
          <w:p w:rsidR="00097DFD" w:rsidRDefault="00800E02" w:rsidP="008B0962">
            <w:pPr>
              <w:tabs>
                <w:tab w:val="right" w:pos="5136"/>
              </w:tabs>
              <w:adjustRightInd w:val="0"/>
              <w:snapToGrid w:val="0"/>
              <w:spacing w:afterLines="50" w:line="276" w:lineRule="auto"/>
              <w:rPr>
                <w:rFonts w:ascii="宋体" w:hAnsi="宋体" w:cs="宋体"/>
                <w:kern w:val="0"/>
                <w:sz w:val="18"/>
                <w:szCs w:val="18"/>
              </w:rPr>
            </w:pPr>
            <w:r w:rsidRPr="007C69F9">
              <w:rPr>
                <w:rFonts w:ascii="宋体" w:hAnsi="宋体" w:hint="eastAsia"/>
                <w:sz w:val="18"/>
                <w:szCs w:val="18"/>
              </w:rPr>
              <w:t>资料来源：wind，</w:t>
            </w:r>
            <w:r>
              <w:rPr>
                <w:rFonts w:ascii="宋体" w:hAnsi="宋体" w:hint="eastAsia"/>
                <w:sz w:val="18"/>
                <w:szCs w:val="18"/>
              </w:rPr>
              <w:t>华商基金</w:t>
            </w:r>
            <w:r>
              <w:rPr>
                <w:rFonts w:ascii="宋体" w:hAnsi="宋体"/>
                <w:sz w:val="18"/>
                <w:szCs w:val="18"/>
              </w:rPr>
              <w:tab/>
            </w:r>
          </w:p>
        </w:tc>
      </w:tr>
    </w:tbl>
    <w:p w:rsidR="00800E02" w:rsidRPr="00AD60DC" w:rsidRDefault="00800E02" w:rsidP="00800E02">
      <w:pPr>
        <w:pStyle w:val="af8"/>
        <w:spacing w:before="156" w:line="276" w:lineRule="auto"/>
        <w:ind w:leftChars="0" w:left="0" w:firstLineChars="0" w:firstLine="0"/>
        <w:rPr>
          <w:rFonts w:ascii="楷体_GB2312" w:eastAsia="楷体_GB2312"/>
          <w:color w:val="000000" w:themeColor="text1"/>
        </w:rPr>
      </w:pPr>
      <w:bookmarkStart w:id="56" w:name="_Toc310862518"/>
      <w:r w:rsidRPr="00AD60DC">
        <w:rPr>
          <w:rFonts w:ascii="楷体_GB2312" w:eastAsia="楷体_GB2312" w:hint="eastAsia"/>
          <w:color w:val="000000" w:themeColor="text1"/>
        </w:rPr>
        <w:t>表3：2007-2011.3Q零售板块费用率（%）</w:t>
      </w:r>
      <w:bookmarkEnd w:id="56"/>
    </w:p>
    <w:tbl>
      <w:tblPr>
        <w:tblW w:w="10561" w:type="dxa"/>
        <w:tblLook w:val="04A0"/>
      </w:tblPr>
      <w:tblGrid>
        <w:gridCol w:w="12"/>
        <w:gridCol w:w="309"/>
        <w:gridCol w:w="519"/>
        <w:gridCol w:w="536"/>
        <w:gridCol w:w="755"/>
        <w:gridCol w:w="755"/>
        <w:gridCol w:w="1119"/>
        <w:gridCol w:w="536"/>
        <w:gridCol w:w="765"/>
        <w:gridCol w:w="103"/>
        <w:gridCol w:w="662"/>
        <w:gridCol w:w="1134"/>
        <w:gridCol w:w="536"/>
        <w:gridCol w:w="810"/>
        <w:gridCol w:w="810"/>
        <w:gridCol w:w="1200"/>
      </w:tblGrid>
      <w:tr w:rsidR="00800E02" w:rsidRPr="00311731" w:rsidTr="00800E02">
        <w:trPr>
          <w:trHeight w:val="300"/>
        </w:trPr>
        <w:tc>
          <w:tcPr>
            <w:tcW w:w="840" w:type="dxa"/>
            <w:gridSpan w:val="3"/>
            <w:tcBorders>
              <w:left w:val="single" w:sz="8" w:space="0" w:color="auto"/>
            </w:tcBorders>
            <w:shd w:val="clear" w:color="auto" w:fill="C00000"/>
            <w:noWrap/>
            <w:vAlign w:val="center"/>
            <w:hideMark/>
          </w:tcPr>
          <w:p w:rsidR="00800E02" w:rsidRPr="00311731" w:rsidRDefault="00800E02" w:rsidP="00B80F53">
            <w:pPr>
              <w:widowControl/>
              <w:spacing w:line="276" w:lineRule="auto"/>
              <w:jc w:val="left"/>
              <w:rPr>
                <w:rFonts w:ascii="宋体" w:hAnsi="宋体" w:cs="宋体"/>
                <w:b/>
                <w:color w:val="FFFFFF"/>
                <w:kern w:val="0"/>
                <w:sz w:val="16"/>
                <w:szCs w:val="16"/>
              </w:rPr>
            </w:pPr>
            <w:r w:rsidRPr="00311731">
              <w:rPr>
                <w:rFonts w:ascii="宋体" w:hAnsi="宋体" w:cs="宋体" w:hint="eastAsia"/>
                <w:b/>
                <w:color w:val="FFFFFF"/>
                <w:kern w:val="0"/>
                <w:sz w:val="16"/>
                <w:szCs w:val="16"/>
              </w:rPr>
              <w:t xml:space="preserve">　</w:t>
            </w:r>
          </w:p>
        </w:tc>
        <w:tc>
          <w:tcPr>
            <w:tcW w:w="3165" w:type="dxa"/>
            <w:gridSpan w:val="4"/>
            <w:shd w:val="clear" w:color="auto" w:fill="C00000"/>
            <w:noWrap/>
            <w:vAlign w:val="bottom"/>
            <w:hideMark/>
          </w:tcPr>
          <w:p w:rsidR="00800E02" w:rsidRPr="00311731" w:rsidRDefault="00800E02" w:rsidP="00B80F53">
            <w:pPr>
              <w:widowControl/>
              <w:spacing w:line="276" w:lineRule="auto"/>
              <w:jc w:val="center"/>
              <w:rPr>
                <w:rFonts w:ascii="宋体" w:hAnsi="宋体" w:cs="宋体"/>
                <w:b/>
                <w:color w:val="FFFFFF"/>
                <w:kern w:val="0"/>
                <w:sz w:val="16"/>
                <w:szCs w:val="16"/>
              </w:rPr>
            </w:pPr>
            <w:r w:rsidRPr="00311731">
              <w:rPr>
                <w:rFonts w:ascii="宋体" w:hAnsi="宋体" w:cs="宋体" w:hint="eastAsia"/>
                <w:b/>
                <w:color w:val="FFFFFF"/>
                <w:kern w:val="0"/>
                <w:sz w:val="16"/>
                <w:szCs w:val="16"/>
              </w:rPr>
              <w:t>营业费用率</w:t>
            </w:r>
          </w:p>
        </w:tc>
        <w:tc>
          <w:tcPr>
            <w:tcW w:w="3200" w:type="dxa"/>
            <w:gridSpan w:val="5"/>
            <w:shd w:val="clear" w:color="auto" w:fill="C00000"/>
            <w:noWrap/>
            <w:vAlign w:val="bottom"/>
            <w:hideMark/>
          </w:tcPr>
          <w:p w:rsidR="00800E02" w:rsidRPr="00311731" w:rsidRDefault="00800E02" w:rsidP="00B80F53">
            <w:pPr>
              <w:widowControl/>
              <w:spacing w:line="276" w:lineRule="auto"/>
              <w:jc w:val="center"/>
              <w:rPr>
                <w:rFonts w:ascii="宋体" w:hAnsi="宋体" w:cs="宋体"/>
                <w:b/>
                <w:color w:val="FFFFFF"/>
                <w:kern w:val="0"/>
                <w:sz w:val="16"/>
                <w:szCs w:val="16"/>
              </w:rPr>
            </w:pPr>
            <w:r w:rsidRPr="00311731">
              <w:rPr>
                <w:rFonts w:ascii="宋体" w:hAnsi="宋体" w:cs="宋体" w:hint="eastAsia"/>
                <w:b/>
                <w:color w:val="FFFFFF"/>
                <w:kern w:val="0"/>
                <w:sz w:val="16"/>
                <w:szCs w:val="16"/>
              </w:rPr>
              <w:t>管理费用率</w:t>
            </w:r>
          </w:p>
        </w:tc>
        <w:tc>
          <w:tcPr>
            <w:tcW w:w="3356" w:type="dxa"/>
            <w:gridSpan w:val="4"/>
            <w:shd w:val="clear" w:color="auto" w:fill="C00000"/>
            <w:noWrap/>
            <w:vAlign w:val="bottom"/>
            <w:hideMark/>
          </w:tcPr>
          <w:p w:rsidR="00800E02" w:rsidRPr="00311731" w:rsidRDefault="00800E02" w:rsidP="00B80F53">
            <w:pPr>
              <w:widowControl/>
              <w:spacing w:line="276" w:lineRule="auto"/>
              <w:jc w:val="center"/>
              <w:rPr>
                <w:rFonts w:ascii="宋体" w:hAnsi="宋体" w:cs="宋体"/>
                <w:b/>
                <w:color w:val="FFFFFF"/>
                <w:kern w:val="0"/>
                <w:sz w:val="16"/>
                <w:szCs w:val="16"/>
              </w:rPr>
            </w:pPr>
            <w:r w:rsidRPr="00311731">
              <w:rPr>
                <w:rFonts w:ascii="宋体" w:hAnsi="宋体" w:cs="宋体" w:hint="eastAsia"/>
                <w:b/>
                <w:color w:val="FFFFFF"/>
                <w:kern w:val="0"/>
                <w:sz w:val="16"/>
                <w:szCs w:val="16"/>
              </w:rPr>
              <w:t>财务费用率</w:t>
            </w:r>
          </w:p>
        </w:tc>
      </w:tr>
      <w:tr w:rsidR="00800E02" w:rsidRPr="0082662A" w:rsidTr="00800E02">
        <w:trPr>
          <w:trHeight w:val="300"/>
        </w:trPr>
        <w:tc>
          <w:tcPr>
            <w:tcW w:w="840" w:type="dxa"/>
            <w:gridSpan w:val="3"/>
            <w:tcBorders>
              <w:top w:val="nil"/>
              <w:left w:val="single" w:sz="8" w:space="0" w:color="auto"/>
            </w:tcBorders>
            <w:shd w:val="clear" w:color="auto" w:fill="C00000"/>
            <w:noWrap/>
            <w:vAlign w:val="bottom"/>
            <w:hideMark/>
          </w:tcPr>
          <w:p w:rsidR="00800E02" w:rsidRPr="00311731" w:rsidRDefault="00800E02" w:rsidP="00B80F53">
            <w:pPr>
              <w:widowControl/>
              <w:spacing w:line="276" w:lineRule="auto"/>
              <w:jc w:val="left"/>
              <w:rPr>
                <w:rFonts w:ascii="宋体" w:hAnsi="宋体" w:cs="宋体"/>
                <w:b/>
                <w:color w:val="FFFFFF"/>
                <w:kern w:val="0"/>
                <w:sz w:val="16"/>
                <w:szCs w:val="16"/>
              </w:rPr>
            </w:pPr>
            <w:r w:rsidRPr="00311731">
              <w:rPr>
                <w:rFonts w:ascii="宋体" w:hAnsi="宋体" w:cs="宋体" w:hint="eastAsia"/>
                <w:b/>
                <w:color w:val="FFFFFF"/>
                <w:kern w:val="0"/>
                <w:sz w:val="16"/>
                <w:szCs w:val="16"/>
              </w:rPr>
              <w:t>时间</w:t>
            </w:r>
          </w:p>
        </w:tc>
        <w:tc>
          <w:tcPr>
            <w:tcW w:w="536" w:type="dxa"/>
            <w:tcBorders>
              <w:top w:val="nil"/>
            </w:tcBorders>
            <w:shd w:val="clear" w:color="auto" w:fill="C00000"/>
            <w:noWrap/>
            <w:vAlign w:val="bottom"/>
            <w:hideMark/>
          </w:tcPr>
          <w:p w:rsidR="00800E02" w:rsidRPr="00311731" w:rsidRDefault="00800E02" w:rsidP="00B80F53">
            <w:pPr>
              <w:widowControl/>
              <w:spacing w:line="276" w:lineRule="auto"/>
              <w:jc w:val="left"/>
              <w:rPr>
                <w:rFonts w:ascii="宋体" w:hAnsi="宋体" w:cs="宋体"/>
                <w:b/>
                <w:color w:val="FFFFFF"/>
                <w:kern w:val="0"/>
                <w:sz w:val="16"/>
                <w:szCs w:val="16"/>
              </w:rPr>
            </w:pPr>
            <w:r w:rsidRPr="00311731">
              <w:rPr>
                <w:rFonts w:ascii="宋体" w:hAnsi="宋体" w:cs="宋体" w:hint="eastAsia"/>
                <w:b/>
                <w:color w:val="FFFFFF"/>
                <w:kern w:val="0"/>
                <w:sz w:val="16"/>
                <w:szCs w:val="16"/>
              </w:rPr>
              <w:t>零售</w:t>
            </w:r>
          </w:p>
        </w:tc>
        <w:tc>
          <w:tcPr>
            <w:tcW w:w="755" w:type="dxa"/>
            <w:tcBorders>
              <w:top w:val="nil"/>
            </w:tcBorders>
            <w:shd w:val="clear" w:color="auto" w:fill="C00000"/>
            <w:noWrap/>
            <w:vAlign w:val="bottom"/>
            <w:hideMark/>
          </w:tcPr>
          <w:p w:rsidR="00800E02" w:rsidRPr="00311731" w:rsidRDefault="00800E02" w:rsidP="00B80F53">
            <w:pPr>
              <w:widowControl/>
              <w:spacing w:line="276" w:lineRule="auto"/>
              <w:jc w:val="left"/>
              <w:rPr>
                <w:rFonts w:ascii="宋体" w:hAnsi="宋体" w:cs="宋体"/>
                <w:b/>
                <w:color w:val="FFFFFF"/>
                <w:kern w:val="0"/>
                <w:sz w:val="16"/>
                <w:szCs w:val="16"/>
              </w:rPr>
            </w:pPr>
            <w:r w:rsidRPr="00311731">
              <w:rPr>
                <w:rFonts w:ascii="宋体" w:hAnsi="宋体" w:cs="宋体" w:hint="eastAsia"/>
                <w:b/>
                <w:color w:val="FFFFFF"/>
                <w:kern w:val="0"/>
                <w:sz w:val="16"/>
                <w:szCs w:val="16"/>
              </w:rPr>
              <w:t>百货零售</w:t>
            </w:r>
          </w:p>
        </w:tc>
        <w:tc>
          <w:tcPr>
            <w:tcW w:w="755" w:type="dxa"/>
            <w:tcBorders>
              <w:top w:val="nil"/>
            </w:tcBorders>
            <w:shd w:val="clear" w:color="auto" w:fill="C00000"/>
            <w:noWrap/>
            <w:vAlign w:val="bottom"/>
            <w:hideMark/>
          </w:tcPr>
          <w:p w:rsidR="00800E02" w:rsidRPr="00311731" w:rsidRDefault="00800E02" w:rsidP="00B80F53">
            <w:pPr>
              <w:widowControl/>
              <w:spacing w:line="276" w:lineRule="auto"/>
              <w:jc w:val="left"/>
              <w:rPr>
                <w:rFonts w:ascii="宋体" w:hAnsi="宋体" w:cs="宋体"/>
                <w:b/>
                <w:color w:val="FFFFFF"/>
                <w:kern w:val="0"/>
                <w:sz w:val="16"/>
                <w:szCs w:val="16"/>
              </w:rPr>
            </w:pPr>
            <w:r w:rsidRPr="00311731">
              <w:rPr>
                <w:rFonts w:ascii="宋体" w:hAnsi="宋体" w:cs="宋体" w:hint="eastAsia"/>
                <w:b/>
                <w:color w:val="FFFFFF"/>
                <w:kern w:val="0"/>
                <w:sz w:val="16"/>
                <w:szCs w:val="16"/>
              </w:rPr>
              <w:t>专业连锁</w:t>
            </w:r>
          </w:p>
        </w:tc>
        <w:tc>
          <w:tcPr>
            <w:tcW w:w="1119" w:type="dxa"/>
            <w:tcBorders>
              <w:top w:val="nil"/>
            </w:tcBorders>
            <w:shd w:val="clear" w:color="auto" w:fill="C00000"/>
            <w:noWrap/>
            <w:vAlign w:val="bottom"/>
            <w:hideMark/>
          </w:tcPr>
          <w:p w:rsidR="00800E02" w:rsidRPr="00311731" w:rsidRDefault="00800E02" w:rsidP="00B80F53">
            <w:pPr>
              <w:widowControl/>
              <w:spacing w:line="276" w:lineRule="auto"/>
              <w:jc w:val="left"/>
              <w:rPr>
                <w:rFonts w:ascii="宋体" w:hAnsi="宋体" w:cs="宋体"/>
                <w:b/>
                <w:color w:val="FFFFFF"/>
                <w:kern w:val="0"/>
                <w:sz w:val="16"/>
                <w:szCs w:val="16"/>
              </w:rPr>
            </w:pPr>
            <w:r w:rsidRPr="00311731">
              <w:rPr>
                <w:rFonts w:ascii="宋体" w:hAnsi="宋体" w:cs="宋体" w:hint="eastAsia"/>
                <w:b/>
                <w:color w:val="FFFFFF"/>
                <w:kern w:val="0"/>
                <w:sz w:val="16"/>
                <w:szCs w:val="16"/>
              </w:rPr>
              <w:t>商业物业经营</w:t>
            </w:r>
          </w:p>
        </w:tc>
        <w:tc>
          <w:tcPr>
            <w:tcW w:w="536" w:type="dxa"/>
            <w:tcBorders>
              <w:top w:val="nil"/>
            </w:tcBorders>
            <w:shd w:val="clear" w:color="auto" w:fill="C00000"/>
            <w:noWrap/>
            <w:vAlign w:val="bottom"/>
            <w:hideMark/>
          </w:tcPr>
          <w:p w:rsidR="00800E02" w:rsidRPr="00311731" w:rsidRDefault="00800E02" w:rsidP="00B80F53">
            <w:pPr>
              <w:widowControl/>
              <w:spacing w:line="276" w:lineRule="auto"/>
              <w:jc w:val="left"/>
              <w:rPr>
                <w:rFonts w:ascii="宋体" w:hAnsi="宋体" w:cs="宋体"/>
                <w:b/>
                <w:color w:val="FFFFFF"/>
                <w:kern w:val="0"/>
                <w:sz w:val="16"/>
                <w:szCs w:val="16"/>
              </w:rPr>
            </w:pPr>
            <w:r w:rsidRPr="00311731">
              <w:rPr>
                <w:rFonts w:ascii="宋体" w:hAnsi="宋体" w:cs="宋体" w:hint="eastAsia"/>
                <w:b/>
                <w:color w:val="FFFFFF"/>
                <w:kern w:val="0"/>
                <w:sz w:val="16"/>
                <w:szCs w:val="16"/>
              </w:rPr>
              <w:t>零售</w:t>
            </w:r>
          </w:p>
        </w:tc>
        <w:tc>
          <w:tcPr>
            <w:tcW w:w="765" w:type="dxa"/>
            <w:tcBorders>
              <w:top w:val="nil"/>
            </w:tcBorders>
            <w:shd w:val="clear" w:color="auto" w:fill="C00000"/>
            <w:noWrap/>
            <w:vAlign w:val="bottom"/>
            <w:hideMark/>
          </w:tcPr>
          <w:p w:rsidR="00800E02" w:rsidRPr="00311731" w:rsidRDefault="00800E02" w:rsidP="00B80F53">
            <w:pPr>
              <w:widowControl/>
              <w:spacing w:line="276" w:lineRule="auto"/>
              <w:jc w:val="left"/>
              <w:rPr>
                <w:rFonts w:ascii="宋体" w:hAnsi="宋体" w:cs="宋体"/>
                <w:b/>
                <w:color w:val="FFFFFF"/>
                <w:kern w:val="0"/>
                <w:sz w:val="16"/>
                <w:szCs w:val="16"/>
              </w:rPr>
            </w:pPr>
            <w:r w:rsidRPr="00311731">
              <w:rPr>
                <w:rFonts w:ascii="宋体" w:hAnsi="宋体" w:cs="宋体" w:hint="eastAsia"/>
                <w:b/>
                <w:color w:val="FFFFFF"/>
                <w:kern w:val="0"/>
                <w:sz w:val="16"/>
                <w:szCs w:val="16"/>
              </w:rPr>
              <w:t>百货零售</w:t>
            </w:r>
          </w:p>
        </w:tc>
        <w:tc>
          <w:tcPr>
            <w:tcW w:w="765" w:type="dxa"/>
            <w:gridSpan w:val="2"/>
            <w:tcBorders>
              <w:top w:val="nil"/>
            </w:tcBorders>
            <w:shd w:val="clear" w:color="auto" w:fill="C00000"/>
            <w:noWrap/>
            <w:vAlign w:val="bottom"/>
            <w:hideMark/>
          </w:tcPr>
          <w:p w:rsidR="00800E02" w:rsidRPr="00311731" w:rsidRDefault="00800E02" w:rsidP="00B80F53">
            <w:pPr>
              <w:widowControl/>
              <w:spacing w:line="276" w:lineRule="auto"/>
              <w:jc w:val="left"/>
              <w:rPr>
                <w:rFonts w:ascii="宋体" w:hAnsi="宋体" w:cs="宋体"/>
                <w:b/>
                <w:color w:val="FFFFFF"/>
                <w:kern w:val="0"/>
                <w:sz w:val="16"/>
                <w:szCs w:val="16"/>
              </w:rPr>
            </w:pPr>
            <w:r w:rsidRPr="00311731">
              <w:rPr>
                <w:rFonts w:ascii="宋体" w:hAnsi="宋体" w:cs="宋体" w:hint="eastAsia"/>
                <w:b/>
                <w:color w:val="FFFFFF"/>
                <w:kern w:val="0"/>
                <w:sz w:val="16"/>
                <w:szCs w:val="16"/>
              </w:rPr>
              <w:t>专业连锁</w:t>
            </w:r>
          </w:p>
        </w:tc>
        <w:tc>
          <w:tcPr>
            <w:tcW w:w="1134" w:type="dxa"/>
            <w:tcBorders>
              <w:top w:val="nil"/>
            </w:tcBorders>
            <w:shd w:val="clear" w:color="auto" w:fill="C00000"/>
            <w:noWrap/>
            <w:vAlign w:val="bottom"/>
            <w:hideMark/>
          </w:tcPr>
          <w:p w:rsidR="00800E02" w:rsidRPr="00311731" w:rsidRDefault="00800E02" w:rsidP="00B80F53">
            <w:pPr>
              <w:widowControl/>
              <w:spacing w:line="276" w:lineRule="auto"/>
              <w:jc w:val="left"/>
              <w:rPr>
                <w:rFonts w:ascii="宋体" w:hAnsi="宋体" w:cs="宋体"/>
                <w:b/>
                <w:color w:val="FFFFFF"/>
                <w:kern w:val="0"/>
                <w:sz w:val="16"/>
                <w:szCs w:val="16"/>
              </w:rPr>
            </w:pPr>
            <w:r w:rsidRPr="00311731">
              <w:rPr>
                <w:rFonts w:ascii="宋体" w:hAnsi="宋体" w:cs="宋体" w:hint="eastAsia"/>
                <w:b/>
                <w:color w:val="FFFFFF"/>
                <w:kern w:val="0"/>
                <w:sz w:val="16"/>
                <w:szCs w:val="16"/>
              </w:rPr>
              <w:t>商业物业经营</w:t>
            </w:r>
          </w:p>
        </w:tc>
        <w:tc>
          <w:tcPr>
            <w:tcW w:w="536" w:type="dxa"/>
            <w:tcBorders>
              <w:top w:val="nil"/>
            </w:tcBorders>
            <w:shd w:val="clear" w:color="auto" w:fill="C00000"/>
            <w:noWrap/>
            <w:vAlign w:val="bottom"/>
            <w:hideMark/>
          </w:tcPr>
          <w:p w:rsidR="00800E02" w:rsidRPr="00311731" w:rsidRDefault="00800E02" w:rsidP="00B80F53">
            <w:pPr>
              <w:widowControl/>
              <w:spacing w:line="276" w:lineRule="auto"/>
              <w:jc w:val="left"/>
              <w:rPr>
                <w:rFonts w:ascii="宋体" w:hAnsi="宋体" w:cs="宋体"/>
                <w:b/>
                <w:color w:val="FFFFFF"/>
                <w:kern w:val="0"/>
                <w:sz w:val="16"/>
                <w:szCs w:val="16"/>
              </w:rPr>
            </w:pPr>
            <w:r w:rsidRPr="00311731">
              <w:rPr>
                <w:rFonts w:ascii="宋体" w:hAnsi="宋体" w:cs="宋体" w:hint="eastAsia"/>
                <w:b/>
                <w:color w:val="FFFFFF"/>
                <w:kern w:val="0"/>
                <w:sz w:val="16"/>
                <w:szCs w:val="16"/>
              </w:rPr>
              <w:t>零售</w:t>
            </w:r>
          </w:p>
        </w:tc>
        <w:tc>
          <w:tcPr>
            <w:tcW w:w="810" w:type="dxa"/>
            <w:tcBorders>
              <w:top w:val="nil"/>
            </w:tcBorders>
            <w:shd w:val="clear" w:color="auto" w:fill="C00000"/>
            <w:noWrap/>
            <w:vAlign w:val="bottom"/>
            <w:hideMark/>
          </w:tcPr>
          <w:p w:rsidR="00800E02" w:rsidRPr="00311731" w:rsidRDefault="00800E02" w:rsidP="00B80F53">
            <w:pPr>
              <w:widowControl/>
              <w:spacing w:line="276" w:lineRule="auto"/>
              <w:jc w:val="left"/>
              <w:rPr>
                <w:rFonts w:ascii="宋体" w:hAnsi="宋体" w:cs="宋体"/>
                <w:b/>
                <w:color w:val="FFFFFF"/>
                <w:kern w:val="0"/>
                <w:sz w:val="16"/>
                <w:szCs w:val="16"/>
              </w:rPr>
            </w:pPr>
            <w:r w:rsidRPr="00311731">
              <w:rPr>
                <w:rFonts w:ascii="宋体" w:hAnsi="宋体" w:cs="宋体" w:hint="eastAsia"/>
                <w:b/>
                <w:color w:val="FFFFFF"/>
                <w:kern w:val="0"/>
                <w:sz w:val="16"/>
                <w:szCs w:val="16"/>
              </w:rPr>
              <w:t>百货零售</w:t>
            </w:r>
          </w:p>
        </w:tc>
        <w:tc>
          <w:tcPr>
            <w:tcW w:w="810" w:type="dxa"/>
            <w:tcBorders>
              <w:top w:val="nil"/>
            </w:tcBorders>
            <w:shd w:val="clear" w:color="auto" w:fill="C00000"/>
            <w:noWrap/>
            <w:vAlign w:val="bottom"/>
            <w:hideMark/>
          </w:tcPr>
          <w:p w:rsidR="00800E02" w:rsidRPr="00311731" w:rsidRDefault="00800E02" w:rsidP="00B80F53">
            <w:pPr>
              <w:widowControl/>
              <w:spacing w:line="276" w:lineRule="auto"/>
              <w:jc w:val="left"/>
              <w:rPr>
                <w:rFonts w:ascii="宋体" w:hAnsi="宋体" w:cs="宋体"/>
                <w:b/>
                <w:color w:val="FFFFFF"/>
                <w:kern w:val="0"/>
                <w:sz w:val="16"/>
                <w:szCs w:val="16"/>
              </w:rPr>
            </w:pPr>
            <w:r w:rsidRPr="00311731">
              <w:rPr>
                <w:rFonts w:ascii="宋体" w:hAnsi="宋体" w:cs="宋体" w:hint="eastAsia"/>
                <w:b/>
                <w:color w:val="FFFFFF"/>
                <w:kern w:val="0"/>
                <w:sz w:val="16"/>
                <w:szCs w:val="16"/>
              </w:rPr>
              <w:t>专业连锁</w:t>
            </w:r>
          </w:p>
        </w:tc>
        <w:tc>
          <w:tcPr>
            <w:tcW w:w="1200" w:type="dxa"/>
            <w:tcBorders>
              <w:top w:val="nil"/>
              <w:right w:val="nil"/>
            </w:tcBorders>
            <w:shd w:val="clear" w:color="auto" w:fill="C00000"/>
            <w:noWrap/>
            <w:vAlign w:val="bottom"/>
            <w:hideMark/>
          </w:tcPr>
          <w:p w:rsidR="00800E02" w:rsidRPr="00311731" w:rsidRDefault="00800E02" w:rsidP="00B80F53">
            <w:pPr>
              <w:widowControl/>
              <w:spacing w:line="276" w:lineRule="auto"/>
              <w:jc w:val="left"/>
              <w:rPr>
                <w:rFonts w:ascii="宋体" w:hAnsi="宋体" w:cs="宋体"/>
                <w:b/>
                <w:color w:val="FFFFFF"/>
                <w:kern w:val="0"/>
                <w:sz w:val="16"/>
                <w:szCs w:val="16"/>
              </w:rPr>
            </w:pPr>
            <w:r w:rsidRPr="00311731">
              <w:rPr>
                <w:rFonts w:ascii="宋体" w:hAnsi="宋体" w:cs="宋体" w:hint="eastAsia"/>
                <w:b/>
                <w:color w:val="FFFFFF"/>
                <w:kern w:val="0"/>
                <w:sz w:val="16"/>
                <w:szCs w:val="16"/>
              </w:rPr>
              <w:t>商业物业经营</w:t>
            </w:r>
          </w:p>
        </w:tc>
      </w:tr>
      <w:tr w:rsidR="00800E02" w:rsidRPr="00311731" w:rsidTr="00800E02">
        <w:trPr>
          <w:trHeight w:val="300"/>
        </w:trPr>
        <w:tc>
          <w:tcPr>
            <w:tcW w:w="840" w:type="dxa"/>
            <w:gridSpan w:val="3"/>
            <w:tcBorders>
              <w:left w:val="nil"/>
            </w:tcBorders>
            <w:shd w:val="clear" w:color="auto" w:fill="auto"/>
            <w:noWrap/>
            <w:vAlign w:val="bottom"/>
            <w:hideMark/>
          </w:tcPr>
          <w:p w:rsidR="00800E02" w:rsidRPr="00311731" w:rsidRDefault="00800E02" w:rsidP="00B80F53">
            <w:pPr>
              <w:widowControl/>
              <w:spacing w:line="276" w:lineRule="auto"/>
              <w:jc w:val="left"/>
              <w:rPr>
                <w:rFonts w:ascii="宋体" w:hAnsi="宋体" w:cs="宋体"/>
                <w:color w:val="000000"/>
                <w:kern w:val="0"/>
                <w:sz w:val="16"/>
                <w:szCs w:val="16"/>
              </w:rPr>
            </w:pPr>
            <w:r w:rsidRPr="00311731">
              <w:rPr>
                <w:rFonts w:ascii="宋体" w:hAnsi="宋体" w:cs="宋体" w:hint="eastAsia"/>
                <w:color w:val="000000"/>
                <w:kern w:val="0"/>
                <w:sz w:val="16"/>
                <w:szCs w:val="16"/>
              </w:rPr>
              <w:t>2007年</w:t>
            </w:r>
          </w:p>
        </w:tc>
        <w:tc>
          <w:tcPr>
            <w:tcW w:w="536" w:type="dxa"/>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8.01</w:t>
            </w:r>
          </w:p>
        </w:tc>
        <w:tc>
          <w:tcPr>
            <w:tcW w:w="755" w:type="dxa"/>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6.19</w:t>
            </w:r>
          </w:p>
        </w:tc>
        <w:tc>
          <w:tcPr>
            <w:tcW w:w="755" w:type="dxa"/>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9.54</w:t>
            </w:r>
          </w:p>
        </w:tc>
        <w:tc>
          <w:tcPr>
            <w:tcW w:w="1119" w:type="dxa"/>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7.67</w:t>
            </w:r>
          </w:p>
        </w:tc>
        <w:tc>
          <w:tcPr>
            <w:tcW w:w="536" w:type="dxa"/>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4.33</w:t>
            </w:r>
          </w:p>
        </w:tc>
        <w:tc>
          <w:tcPr>
            <w:tcW w:w="765" w:type="dxa"/>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7.02</w:t>
            </w:r>
          </w:p>
        </w:tc>
        <w:tc>
          <w:tcPr>
            <w:tcW w:w="765" w:type="dxa"/>
            <w:gridSpan w:val="2"/>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1.71</w:t>
            </w:r>
          </w:p>
        </w:tc>
        <w:tc>
          <w:tcPr>
            <w:tcW w:w="1134" w:type="dxa"/>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7.81</w:t>
            </w:r>
          </w:p>
        </w:tc>
        <w:tc>
          <w:tcPr>
            <w:tcW w:w="536" w:type="dxa"/>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0.65</w:t>
            </w:r>
          </w:p>
        </w:tc>
        <w:tc>
          <w:tcPr>
            <w:tcW w:w="810" w:type="dxa"/>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1</w:t>
            </w:r>
          </w:p>
        </w:tc>
        <w:tc>
          <w:tcPr>
            <w:tcW w:w="810" w:type="dxa"/>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0.28</w:t>
            </w:r>
          </w:p>
        </w:tc>
        <w:tc>
          <w:tcPr>
            <w:tcW w:w="1200" w:type="dxa"/>
            <w:tcBorders>
              <w:right w:val="nil"/>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1.36</w:t>
            </w:r>
          </w:p>
        </w:tc>
      </w:tr>
      <w:tr w:rsidR="00800E02" w:rsidRPr="00311731" w:rsidTr="00800E02">
        <w:trPr>
          <w:trHeight w:val="300"/>
        </w:trPr>
        <w:tc>
          <w:tcPr>
            <w:tcW w:w="840" w:type="dxa"/>
            <w:gridSpan w:val="3"/>
            <w:tcBorders>
              <w:top w:val="nil"/>
              <w:left w:val="nil"/>
            </w:tcBorders>
            <w:shd w:val="clear" w:color="auto" w:fill="D9D9D9"/>
            <w:noWrap/>
            <w:vAlign w:val="bottom"/>
            <w:hideMark/>
          </w:tcPr>
          <w:p w:rsidR="00800E02" w:rsidRPr="00311731" w:rsidRDefault="00800E02" w:rsidP="00B80F53">
            <w:pPr>
              <w:widowControl/>
              <w:spacing w:line="276" w:lineRule="auto"/>
              <w:jc w:val="left"/>
              <w:rPr>
                <w:rFonts w:ascii="宋体" w:hAnsi="宋体" w:cs="宋体"/>
                <w:color w:val="000000"/>
                <w:kern w:val="0"/>
                <w:sz w:val="16"/>
                <w:szCs w:val="16"/>
              </w:rPr>
            </w:pPr>
            <w:r w:rsidRPr="00311731">
              <w:rPr>
                <w:rFonts w:ascii="宋体" w:hAnsi="宋体" w:cs="宋体" w:hint="eastAsia"/>
                <w:color w:val="000000"/>
                <w:kern w:val="0"/>
                <w:sz w:val="16"/>
                <w:szCs w:val="16"/>
              </w:rPr>
              <w:t>2008年</w:t>
            </w:r>
          </w:p>
        </w:tc>
        <w:tc>
          <w:tcPr>
            <w:tcW w:w="536"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8.5</w:t>
            </w:r>
          </w:p>
        </w:tc>
        <w:tc>
          <w:tcPr>
            <w:tcW w:w="755"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6.29</w:t>
            </w:r>
          </w:p>
        </w:tc>
        <w:tc>
          <w:tcPr>
            <w:tcW w:w="755"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10.52</w:t>
            </w:r>
          </w:p>
        </w:tc>
        <w:tc>
          <w:tcPr>
            <w:tcW w:w="1119"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5.23</w:t>
            </w:r>
          </w:p>
        </w:tc>
        <w:tc>
          <w:tcPr>
            <w:tcW w:w="536"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4.49</w:t>
            </w:r>
          </w:p>
        </w:tc>
        <w:tc>
          <w:tcPr>
            <w:tcW w:w="765"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7.41</w:t>
            </w:r>
          </w:p>
        </w:tc>
        <w:tc>
          <w:tcPr>
            <w:tcW w:w="765" w:type="dxa"/>
            <w:gridSpan w:val="2"/>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1.87</w:t>
            </w:r>
          </w:p>
        </w:tc>
        <w:tc>
          <w:tcPr>
            <w:tcW w:w="1134"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8.17</w:t>
            </w:r>
          </w:p>
        </w:tc>
        <w:tc>
          <w:tcPr>
            <w:tcW w:w="536"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0.58</w:t>
            </w:r>
          </w:p>
        </w:tc>
        <w:tc>
          <w:tcPr>
            <w:tcW w:w="810"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1.04</w:t>
            </w:r>
          </w:p>
        </w:tc>
        <w:tc>
          <w:tcPr>
            <w:tcW w:w="810"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0.13</w:t>
            </w:r>
          </w:p>
        </w:tc>
        <w:tc>
          <w:tcPr>
            <w:tcW w:w="1200" w:type="dxa"/>
            <w:tcBorders>
              <w:top w:val="nil"/>
              <w:right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1.58</w:t>
            </w:r>
          </w:p>
        </w:tc>
      </w:tr>
      <w:tr w:rsidR="00800E02" w:rsidRPr="00311731" w:rsidTr="00800E02">
        <w:trPr>
          <w:trHeight w:val="300"/>
        </w:trPr>
        <w:tc>
          <w:tcPr>
            <w:tcW w:w="840" w:type="dxa"/>
            <w:gridSpan w:val="3"/>
            <w:tcBorders>
              <w:top w:val="nil"/>
              <w:left w:val="nil"/>
            </w:tcBorders>
            <w:shd w:val="clear" w:color="auto" w:fill="auto"/>
            <w:noWrap/>
            <w:vAlign w:val="bottom"/>
            <w:hideMark/>
          </w:tcPr>
          <w:p w:rsidR="00800E02" w:rsidRPr="00311731" w:rsidRDefault="00800E02" w:rsidP="00B80F53">
            <w:pPr>
              <w:widowControl/>
              <w:spacing w:line="276" w:lineRule="auto"/>
              <w:jc w:val="left"/>
              <w:rPr>
                <w:rFonts w:ascii="宋体" w:hAnsi="宋体" w:cs="宋体"/>
                <w:color w:val="000000"/>
                <w:kern w:val="0"/>
                <w:sz w:val="16"/>
                <w:szCs w:val="16"/>
              </w:rPr>
            </w:pPr>
            <w:r w:rsidRPr="00311731">
              <w:rPr>
                <w:rFonts w:ascii="宋体" w:hAnsi="宋体" w:cs="宋体" w:hint="eastAsia"/>
                <w:color w:val="000000"/>
                <w:kern w:val="0"/>
                <w:sz w:val="16"/>
                <w:szCs w:val="16"/>
              </w:rPr>
              <w:t>2009年</w:t>
            </w:r>
          </w:p>
        </w:tc>
        <w:tc>
          <w:tcPr>
            <w:tcW w:w="536" w:type="dxa"/>
            <w:tcBorders>
              <w:top w:val="nil"/>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8.56</w:t>
            </w:r>
          </w:p>
        </w:tc>
        <w:tc>
          <w:tcPr>
            <w:tcW w:w="755" w:type="dxa"/>
            <w:tcBorders>
              <w:top w:val="nil"/>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6.67</w:t>
            </w:r>
          </w:p>
        </w:tc>
        <w:tc>
          <w:tcPr>
            <w:tcW w:w="755" w:type="dxa"/>
            <w:tcBorders>
              <w:top w:val="nil"/>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10.32</w:t>
            </w:r>
          </w:p>
        </w:tc>
        <w:tc>
          <w:tcPr>
            <w:tcW w:w="1119" w:type="dxa"/>
            <w:tcBorders>
              <w:top w:val="nil"/>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4.67</w:t>
            </w:r>
          </w:p>
        </w:tc>
        <w:tc>
          <w:tcPr>
            <w:tcW w:w="536" w:type="dxa"/>
            <w:tcBorders>
              <w:top w:val="nil"/>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4.18</w:t>
            </w:r>
          </w:p>
        </w:tc>
        <w:tc>
          <w:tcPr>
            <w:tcW w:w="765" w:type="dxa"/>
            <w:tcBorders>
              <w:top w:val="nil"/>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6.81</w:t>
            </w:r>
          </w:p>
        </w:tc>
        <w:tc>
          <w:tcPr>
            <w:tcW w:w="765" w:type="dxa"/>
            <w:gridSpan w:val="2"/>
            <w:tcBorders>
              <w:top w:val="nil"/>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1.92</w:t>
            </w:r>
          </w:p>
        </w:tc>
        <w:tc>
          <w:tcPr>
            <w:tcW w:w="1134" w:type="dxa"/>
            <w:tcBorders>
              <w:top w:val="nil"/>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7.13</w:t>
            </w:r>
          </w:p>
        </w:tc>
        <w:tc>
          <w:tcPr>
            <w:tcW w:w="536" w:type="dxa"/>
            <w:tcBorders>
              <w:top w:val="nil"/>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0.45</w:t>
            </w:r>
          </w:p>
        </w:tc>
        <w:tc>
          <w:tcPr>
            <w:tcW w:w="810" w:type="dxa"/>
            <w:tcBorders>
              <w:top w:val="nil"/>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0.89</w:t>
            </w:r>
          </w:p>
        </w:tc>
        <w:tc>
          <w:tcPr>
            <w:tcW w:w="810" w:type="dxa"/>
            <w:tcBorders>
              <w:top w:val="nil"/>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0.02</w:t>
            </w:r>
          </w:p>
        </w:tc>
        <w:tc>
          <w:tcPr>
            <w:tcW w:w="1200" w:type="dxa"/>
            <w:tcBorders>
              <w:top w:val="nil"/>
              <w:right w:val="nil"/>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1.58</w:t>
            </w:r>
          </w:p>
        </w:tc>
      </w:tr>
      <w:tr w:rsidR="00800E02" w:rsidRPr="00311731" w:rsidTr="00800E02">
        <w:trPr>
          <w:trHeight w:val="300"/>
        </w:trPr>
        <w:tc>
          <w:tcPr>
            <w:tcW w:w="840" w:type="dxa"/>
            <w:gridSpan w:val="3"/>
            <w:tcBorders>
              <w:top w:val="nil"/>
              <w:left w:val="nil"/>
            </w:tcBorders>
            <w:shd w:val="clear" w:color="auto" w:fill="D9D9D9"/>
            <w:noWrap/>
            <w:vAlign w:val="bottom"/>
            <w:hideMark/>
          </w:tcPr>
          <w:p w:rsidR="00800E02" w:rsidRPr="00311731" w:rsidRDefault="00800E02" w:rsidP="00B80F53">
            <w:pPr>
              <w:widowControl/>
              <w:spacing w:line="276" w:lineRule="auto"/>
              <w:jc w:val="left"/>
              <w:rPr>
                <w:rFonts w:ascii="宋体" w:hAnsi="宋体" w:cs="宋体"/>
                <w:color w:val="000000"/>
                <w:kern w:val="0"/>
                <w:sz w:val="16"/>
                <w:szCs w:val="16"/>
              </w:rPr>
            </w:pPr>
            <w:r w:rsidRPr="00311731">
              <w:rPr>
                <w:rFonts w:ascii="宋体" w:hAnsi="宋体" w:cs="宋体" w:hint="eastAsia"/>
                <w:color w:val="000000"/>
                <w:kern w:val="0"/>
                <w:sz w:val="16"/>
                <w:szCs w:val="16"/>
              </w:rPr>
              <w:t>2010年</w:t>
            </w:r>
          </w:p>
        </w:tc>
        <w:tc>
          <w:tcPr>
            <w:tcW w:w="536"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8.79</w:t>
            </w:r>
          </w:p>
        </w:tc>
        <w:tc>
          <w:tcPr>
            <w:tcW w:w="755"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7.07</w:t>
            </w:r>
          </w:p>
        </w:tc>
        <w:tc>
          <w:tcPr>
            <w:tcW w:w="755"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10.45</w:t>
            </w:r>
          </w:p>
        </w:tc>
        <w:tc>
          <w:tcPr>
            <w:tcW w:w="1119"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5.51</w:t>
            </w:r>
          </w:p>
        </w:tc>
        <w:tc>
          <w:tcPr>
            <w:tcW w:w="536"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3.91</w:t>
            </w:r>
          </w:p>
        </w:tc>
        <w:tc>
          <w:tcPr>
            <w:tcW w:w="765"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5.88</w:t>
            </w:r>
          </w:p>
        </w:tc>
        <w:tc>
          <w:tcPr>
            <w:tcW w:w="765" w:type="dxa"/>
            <w:gridSpan w:val="2"/>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2.01</w:t>
            </w:r>
          </w:p>
        </w:tc>
        <w:tc>
          <w:tcPr>
            <w:tcW w:w="1134"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7.69</w:t>
            </w:r>
          </w:p>
        </w:tc>
        <w:tc>
          <w:tcPr>
            <w:tcW w:w="536"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0.38</w:t>
            </w:r>
          </w:p>
        </w:tc>
        <w:tc>
          <w:tcPr>
            <w:tcW w:w="810"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0.77</w:t>
            </w:r>
          </w:p>
        </w:tc>
        <w:tc>
          <w:tcPr>
            <w:tcW w:w="810" w:type="dxa"/>
            <w:tcBorders>
              <w:top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-0.02</w:t>
            </w:r>
          </w:p>
        </w:tc>
        <w:tc>
          <w:tcPr>
            <w:tcW w:w="1200" w:type="dxa"/>
            <w:tcBorders>
              <w:top w:val="nil"/>
              <w:right w:val="nil"/>
            </w:tcBorders>
            <w:shd w:val="clear" w:color="auto" w:fill="D9D9D9"/>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1.54</w:t>
            </w:r>
          </w:p>
        </w:tc>
      </w:tr>
      <w:tr w:rsidR="00800E02" w:rsidRPr="00311731" w:rsidTr="00800E02">
        <w:trPr>
          <w:trHeight w:val="300"/>
        </w:trPr>
        <w:tc>
          <w:tcPr>
            <w:tcW w:w="840" w:type="dxa"/>
            <w:gridSpan w:val="3"/>
            <w:tcBorders>
              <w:top w:val="nil"/>
              <w:left w:val="nil"/>
              <w:bottom w:val="single" w:sz="12" w:space="0" w:color="C00000"/>
            </w:tcBorders>
            <w:shd w:val="clear" w:color="auto" w:fill="auto"/>
            <w:noWrap/>
            <w:vAlign w:val="bottom"/>
            <w:hideMark/>
          </w:tcPr>
          <w:p w:rsidR="00800E02" w:rsidRPr="00311731" w:rsidRDefault="00800E02" w:rsidP="00B80F53">
            <w:pPr>
              <w:widowControl/>
              <w:spacing w:line="276" w:lineRule="auto"/>
              <w:jc w:val="left"/>
              <w:rPr>
                <w:rFonts w:ascii="宋体" w:hAnsi="宋体" w:cs="宋体"/>
                <w:color w:val="000000"/>
                <w:kern w:val="0"/>
                <w:sz w:val="16"/>
                <w:szCs w:val="16"/>
              </w:rPr>
            </w:pPr>
            <w:r>
              <w:rPr>
                <w:rFonts w:ascii="宋体" w:hAnsi="宋体" w:cs="宋体" w:hint="eastAsia"/>
                <w:color w:val="000000"/>
                <w:kern w:val="0"/>
                <w:sz w:val="16"/>
                <w:szCs w:val="16"/>
              </w:rPr>
              <w:lastRenderedPageBreak/>
              <w:t xml:space="preserve">3Q </w:t>
            </w:r>
            <w:r w:rsidRPr="00311731">
              <w:rPr>
                <w:rFonts w:ascii="宋体" w:hAnsi="宋体" w:cs="宋体" w:hint="eastAsia"/>
                <w:color w:val="000000"/>
                <w:kern w:val="0"/>
                <w:sz w:val="16"/>
                <w:szCs w:val="16"/>
              </w:rPr>
              <w:t>2011年</w:t>
            </w:r>
          </w:p>
        </w:tc>
        <w:tc>
          <w:tcPr>
            <w:tcW w:w="536" w:type="dxa"/>
            <w:tcBorders>
              <w:top w:val="nil"/>
              <w:bottom w:val="single" w:sz="12" w:space="0" w:color="C00000"/>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8.7</w:t>
            </w:r>
          </w:p>
        </w:tc>
        <w:tc>
          <w:tcPr>
            <w:tcW w:w="755" w:type="dxa"/>
            <w:tcBorders>
              <w:top w:val="nil"/>
              <w:bottom w:val="single" w:sz="12" w:space="0" w:color="C00000"/>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6.69</w:t>
            </w:r>
          </w:p>
        </w:tc>
        <w:tc>
          <w:tcPr>
            <w:tcW w:w="755" w:type="dxa"/>
            <w:tcBorders>
              <w:top w:val="nil"/>
              <w:bottom w:val="single" w:sz="12" w:space="0" w:color="C00000"/>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10.52</w:t>
            </w:r>
          </w:p>
        </w:tc>
        <w:tc>
          <w:tcPr>
            <w:tcW w:w="1119" w:type="dxa"/>
            <w:tcBorders>
              <w:top w:val="nil"/>
              <w:bottom w:val="single" w:sz="12" w:space="0" w:color="C00000"/>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6.36</w:t>
            </w:r>
          </w:p>
        </w:tc>
        <w:tc>
          <w:tcPr>
            <w:tcW w:w="536" w:type="dxa"/>
            <w:tcBorders>
              <w:top w:val="nil"/>
              <w:bottom w:val="single" w:sz="12" w:space="0" w:color="C00000"/>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3.89</w:t>
            </w:r>
          </w:p>
        </w:tc>
        <w:tc>
          <w:tcPr>
            <w:tcW w:w="765" w:type="dxa"/>
            <w:tcBorders>
              <w:top w:val="nil"/>
              <w:bottom w:val="single" w:sz="12" w:space="0" w:color="C00000"/>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5.42</w:t>
            </w:r>
          </w:p>
        </w:tc>
        <w:tc>
          <w:tcPr>
            <w:tcW w:w="765" w:type="dxa"/>
            <w:gridSpan w:val="2"/>
            <w:tcBorders>
              <w:top w:val="nil"/>
              <w:bottom w:val="single" w:sz="12" w:space="0" w:color="C00000"/>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2.41</w:t>
            </w:r>
          </w:p>
        </w:tc>
        <w:tc>
          <w:tcPr>
            <w:tcW w:w="1134" w:type="dxa"/>
            <w:tcBorders>
              <w:top w:val="nil"/>
              <w:bottom w:val="single" w:sz="12" w:space="0" w:color="C00000"/>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7.15</w:t>
            </w:r>
          </w:p>
        </w:tc>
        <w:tc>
          <w:tcPr>
            <w:tcW w:w="536" w:type="dxa"/>
            <w:tcBorders>
              <w:top w:val="nil"/>
              <w:bottom w:val="single" w:sz="12" w:space="0" w:color="C00000"/>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0.38</w:t>
            </w:r>
          </w:p>
        </w:tc>
        <w:tc>
          <w:tcPr>
            <w:tcW w:w="810" w:type="dxa"/>
            <w:tcBorders>
              <w:top w:val="nil"/>
              <w:bottom w:val="single" w:sz="12" w:space="0" w:color="C00000"/>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0.64</w:t>
            </w:r>
          </w:p>
        </w:tc>
        <w:tc>
          <w:tcPr>
            <w:tcW w:w="810" w:type="dxa"/>
            <w:tcBorders>
              <w:top w:val="nil"/>
              <w:bottom w:val="single" w:sz="12" w:space="0" w:color="C00000"/>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0.02</w:t>
            </w:r>
          </w:p>
        </w:tc>
        <w:tc>
          <w:tcPr>
            <w:tcW w:w="1200" w:type="dxa"/>
            <w:tcBorders>
              <w:top w:val="nil"/>
              <w:bottom w:val="single" w:sz="12" w:space="0" w:color="C00000"/>
              <w:right w:val="nil"/>
            </w:tcBorders>
            <w:shd w:val="clear" w:color="auto" w:fill="auto"/>
            <w:noWrap/>
            <w:vAlign w:val="bottom"/>
            <w:hideMark/>
          </w:tcPr>
          <w:p w:rsidR="00800E02" w:rsidRPr="00311731" w:rsidRDefault="00800E02" w:rsidP="00B80F53">
            <w:pPr>
              <w:widowControl/>
              <w:spacing w:line="276" w:lineRule="auto"/>
              <w:jc w:val="right"/>
              <w:rPr>
                <w:rFonts w:ascii="宋体" w:hAnsi="宋体" w:cs="宋体"/>
                <w:color w:val="000000"/>
                <w:kern w:val="0"/>
                <w:sz w:val="16"/>
                <w:szCs w:val="16"/>
              </w:rPr>
            </w:pPr>
            <w:r w:rsidRPr="00311731">
              <w:rPr>
                <w:rFonts w:ascii="宋体" w:hAnsi="宋体" w:cs="宋体" w:hint="eastAsia"/>
                <w:color w:val="000000"/>
                <w:kern w:val="0"/>
                <w:sz w:val="16"/>
                <w:szCs w:val="16"/>
              </w:rPr>
              <w:t>2.79</w:t>
            </w:r>
          </w:p>
        </w:tc>
      </w:tr>
      <w:tr w:rsidR="00800E02" w:rsidRPr="007C69F9" w:rsidTr="00800E02">
        <w:tblPrEx>
          <w:tblCellMar>
            <w:left w:w="0" w:type="dxa"/>
            <w:right w:w="0" w:type="dxa"/>
          </w:tblCellMar>
          <w:tblLook w:val="01E0"/>
        </w:tblPrEx>
        <w:trPr>
          <w:gridBefore w:val="1"/>
          <w:gridAfter w:val="6"/>
          <w:wBefore w:w="12" w:type="dxa"/>
          <w:wAfter w:w="5152" w:type="dxa"/>
        </w:trPr>
        <w:tc>
          <w:tcPr>
            <w:tcW w:w="293" w:type="dxa"/>
            <w:noWrap/>
          </w:tcPr>
          <w:p w:rsidR="00097DFD" w:rsidRDefault="00097DFD" w:rsidP="008B0962">
            <w:pPr>
              <w:adjustRightInd w:val="0"/>
              <w:snapToGrid w:val="0"/>
              <w:spacing w:afterLines="50" w:line="276" w:lineRule="auto"/>
              <w:rPr>
                <w:rFonts w:ascii="宋体" w:hAnsi="宋体" w:cs="宋体"/>
                <w:kern w:val="0"/>
                <w:sz w:val="18"/>
                <w:szCs w:val="18"/>
              </w:rPr>
            </w:pPr>
          </w:p>
        </w:tc>
        <w:tc>
          <w:tcPr>
            <w:tcW w:w="5104" w:type="dxa"/>
            <w:gridSpan w:val="8"/>
            <w:tcBorders>
              <w:top w:val="single" w:sz="12" w:space="0" w:color="C8000B"/>
            </w:tcBorders>
          </w:tcPr>
          <w:p w:rsidR="00097DFD" w:rsidRDefault="00800E02" w:rsidP="008B0962">
            <w:pPr>
              <w:adjustRightInd w:val="0"/>
              <w:snapToGrid w:val="0"/>
              <w:spacing w:afterLines="50" w:line="276" w:lineRule="auto"/>
              <w:rPr>
                <w:rFonts w:ascii="宋体" w:hAnsi="宋体" w:cs="宋体"/>
                <w:kern w:val="0"/>
                <w:sz w:val="18"/>
                <w:szCs w:val="18"/>
              </w:rPr>
            </w:pPr>
            <w:r w:rsidRPr="007C69F9">
              <w:rPr>
                <w:rFonts w:ascii="宋体" w:hAnsi="宋体" w:hint="eastAsia"/>
                <w:sz w:val="18"/>
                <w:szCs w:val="18"/>
              </w:rPr>
              <w:t>资料来源：wind，</w:t>
            </w:r>
            <w:r>
              <w:rPr>
                <w:rFonts w:ascii="宋体" w:hAnsi="宋体" w:hint="eastAsia"/>
                <w:sz w:val="18"/>
                <w:szCs w:val="18"/>
              </w:rPr>
              <w:t>华商基金</w:t>
            </w:r>
          </w:p>
        </w:tc>
      </w:tr>
    </w:tbl>
    <w:p w:rsidR="00800E02" w:rsidRPr="00800E02" w:rsidRDefault="00800E02" w:rsidP="00800E02">
      <w:pPr>
        <w:pStyle w:val="a5"/>
        <w:ind w:leftChars="1400" w:left="2940" w:firstLineChars="50" w:firstLine="105"/>
        <w:rPr>
          <w:rFonts w:ascii="楷体_GB2312" w:eastAsia="楷体_GB2312"/>
          <w:kern w:val="0"/>
        </w:rPr>
      </w:pPr>
    </w:p>
    <w:p w:rsidR="00800E02" w:rsidRPr="00800E02" w:rsidRDefault="00800E02" w:rsidP="00800E02">
      <w:pPr>
        <w:pStyle w:val="a5"/>
        <w:ind w:leftChars="1400" w:left="2940" w:firstLineChars="50" w:firstLine="105"/>
        <w:rPr>
          <w:rFonts w:ascii="楷体_GB2312" w:eastAsia="楷体_GB2312"/>
          <w:kern w:val="0"/>
        </w:rPr>
      </w:pPr>
      <w:r w:rsidRPr="00800E02">
        <w:rPr>
          <w:rFonts w:ascii="楷体_GB2312" w:eastAsia="楷体_GB2312" w:hint="eastAsia"/>
          <w:kern w:val="0"/>
        </w:rPr>
        <w:t>一方面，传统零售企业尤其是以租赁物业为主的超市行业及家电连锁企业，受租金上涨压力较大，租金的上升直接吞噬了企业利润，另外人工成本也在不断上升，进一步挤压企业盈利空间。《2010年中国连锁百强》报告显示，2010年连锁企业续约房租成本平均上涨约30%。，人工成本平均上涨15%。</w:t>
      </w:r>
    </w:p>
    <w:p w:rsidR="00800E02" w:rsidRPr="00800E02" w:rsidRDefault="00800E02" w:rsidP="00800E02">
      <w:pPr>
        <w:pStyle w:val="a5"/>
        <w:ind w:leftChars="1400" w:left="2940" w:firstLineChars="50" w:firstLine="105"/>
        <w:rPr>
          <w:rFonts w:ascii="楷体_GB2312" w:eastAsia="楷体_GB2312"/>
          <w:kern w:val="0"/>
        </w:rPr>
      </w:pPr>
    </w:p>
    <w:p w:rsidR="00800E02" w:rsidRPr="00800E02" w:rsidRDefault="00800E02" w:rsidP="00800E02">
      <w:pPr>
        <w:pStyle w:val="a5"/>
        <w:ind w:leftChars="1400" w:left="2940" w:firstLineChars="50" w:firstLine="105"/>
        <w:rPr>
          <w:rFonts w:ascii="楷体_GB2312" w:eastAsia="楷体_GB2312"/>
          <w:kern w:val="0"/>
        </w:rPr>
      </w:pPr>
      <w:r w:rsidRPr="00800E02">
        <w:rPr>
          <w:rFonts w:ascii="楷体_GB2312" w:eastAsia="楷体_GB2312" w:hint="eastAsia"/>
          <w:kern w:val="0"/>
        </w:rPr>
        <w:t>另一方面，传统零售商主要以实体店经营为主，与网络零售商具有不同的竞争优势，在较高的通胀水平影响下，网络零售商以低价便捷的竞争优势实现突破，分流了一部分消费力量，成为高通胀形势下传统零售商最大的竞争对手。今年网络零售商对传统零售商的冲击尤为明显，以淘宝商城为例，仅2011年11月11日这一天全天淘宝商城搞促销交易额33.6亿元 ，而去年同一天淘宝商城交易额9.36亿元，可谓增速迅猛。各商业业态必须在不断提高内外功修炼，才能在市场中占据一席之地。</w:t>
      </w:r>
    </w:p>
    <w:p w:rsidR="00097DFD" w:rsidRDefault="00DC28EC" w:rsidP="008B0962">
      <w:pPr>
        <w:pStyle w:val="1"/>
        <w:numPr>
          <w:ilvl w:val="0"/>
          <w:numId w:val="4"/>
        </w:numPr>
        <w:spacing w:beforeLines="50" w:afterLines="50" w:line="480" w:lineRule="auto"/>
        <w:ind w:left="2705"/>
        <w:rPr>
          <w:rFonts w:ascii="楷体_GB2312" w:eastAsia="楷体_GB2312"/>
          <w:bCs w:val="0"/>
          <w:kern w:val="0"/>
          <w:sz w:val="21"/>
          <w:szCs w:val="21"/>
        </w:rPr>
      </w:pPr>
      <w:bookmarkStart w:id="57" w:name="_Toc313737763"/>
      <w:r>
        <w:rPr>
          <w:rFonts w:ascii="楷体_GB2312" w:eastAsia="楷体_GB2312" w:hint="eastAsia"/>
          <w:bCs w:val="0"/>
          <w:kern w:val="0"/>
          <w:sz w:val="21"/>
          <w:szCs w:val="21"/>
        </w:rPr>
        <w:t>金融，房地产及建筑行业</w:t>
      </w:r>
      <w:bookmarkEnd w:id="57"/>
    </w:p>
    <w:p w:rsidR="00DC28EC" w:rsidRDefault="00DC28EC" w:rsidP="00DC28EC"/>
    <w:p w:rsidR="00DC28EC" w:rsidRPr="00DC28EC" w:rsidRDefault="00DC28EC" w:rsidP="00DC28EC">
      <w:pPr>
        <w:pStyle w:val="a5"/>
        <w:ind w:leftChars="1400" w:left="2940" w:firstLineChars="50" w:firstLine="105"/>
        <w:rPr>
          <w:rFonts w:ascii="楷体_GB2312" w:eastAsia="楷体_GB2312"/>
          <w:kern w:val="0"/>
        </w:rPr>
      </w:pPr>
      <w:r w:rsidRPr="00DC28EC">
        <w:rPr>
          <w:rFonts w:ascii="楷体_GB2312" w:eastAsia="楷体_GB2312" w:hint="eastAsia"/>
          <w:kern w:val="0"/>
        </w:rPr>
        <w:t>从美国日本韩国等国家房地产发展经验来看，一个国家人口出生率见顶之后的20-25年，以及抚养比见底的前后，该国的房地产市场将进入到“去地产化”阶段，即房地产市场销售、新开工、投资等增速平台系统性下移的阶段。中国的出生率1987年筑顶，抚养比2010年筑底，意味着中国正在进入“去地产化”阶段。因此，从行业中长期趋势来看，我们认为中国房地产市场的高速增长阶段已基本结束，行业正进入规模平稳增长的阶段。</w:t>
      </w:r>
    </w:p>
    <w:p w:rsidR="00DC28EC" w:rsidRPr="00DC28EC" w:rsidRDefault="00DC28EC" w:rsidP="00DC28EC">
      <w:pPr>
        <w:pStyle w:val="a5"/>
        <w:ind w:leftChars="1400" w:left="2940" w:firstLineChars="50" w:firstLine="105"/>
        <w:rPr>
          <w:rFonts w:ascii="楷体_GB2312" w:eastAsia="楷体_GB2312"/>
          <w:kern w:val="0"/>
        </w:rPr>
      </w:pPr>
    </w:p>
    <w:tbl>
      <w:tblPr>
        <w:tblW w:w="8925" w:type="dxa"/>
        <w:tblInd w:w="1558" w:type="dxa"/>
        <w:tblLayout w:type="fixed"/>
        <w:tblLook w:val="0000"/>
      </w:tblPr>
      <w:tblGrid>
        <w:gridCol w:w="8925"/>
      </w:tblGrid>
      <w:tr w:rsidR="00DC28EC" w:rsidRPr="00DC28EC" w:rsidTr="00DC28EC">
        <w:trPr>
          <w:trHeight w:val="183"/>
        </w:trPr>
        <w:tc>
          <w:tcPr>
            <w:tcW w:w="8925" w:type="dxa"/>
            <w:tcBorders>
              <w:top w:val="single" w:sz="4" w:space="0" w:color="auto"/>
              <w:bottom w:val="single" w:sz="4" w:space="0" w:color="auto"/>
            </w:tcBorders>
          </w:tcPr>
          <w:p w:rsidR="00DC28EC" w:rsidRPr="00DC28EC" w:rsidRDefault="00DC28EC" w:rsidP="00DC28EC">
            <w:pPr>
              <w:pStyle w:val="a5"/>
              <w:ind w:leftChars="1400" w:left="2940" w:firstLineChars="50" w:firstLine="105"/>
              <w:rPr>
                <w:rFonts w:ascii="楷体_GB2312" w:eastAsia="楷体_GB2312"/>
                <w:kern w:val="0"/>
              </w:rPr>
            </w:pPr>
            <w:r w:rsidRPr="00DC28EC">
              <w:rPr>
                <w:rFonts w:ascii="楷体_GB2312" w:eastAsia="楷体_GB2312" w:hint="eastAsia"/>
                <w:kern w:val="0"/>
              </w:rPr>
              <w:t>图</w:t>
            </w:r>
            <w:r w:rsidRPr="00DC28EC">
              <w:rPr>
                <w:rFonts w:ascii="楷体_GB2312" w:eastAsia="楷体_GB2312"/>
                <w:kern w:val="0"/>
              </w:rPr>
              <w:t xml:space="preserve"> </w:t>
            </w:r>
            <w:r w:rsidRPr="00DC28EC">
              <w:rPr>
                <w:rFonts w:ascii="楷体_GB2312" w:eastAsia="楷体_GB2312" w:hint="eastAsia"/>
                <w:kern w:val="0"/>
              </w:rPr>
              <w:t>1</w:t>
            </w:r>
            <w:r w:rsidRPr="00DC28EC">
              <w:rPr>
                <w:rFonts w:ascii="楷体_GB2312" w:eastAsia="楷体_GB2312"/>
                <w:kern w:val="0"/>
              </w:rPr>
              <w:t xml:space="preserve"> </w:t>
            </w:r>
            <w:r w:rsidRPr="00DC28EC">
              <w:rPr>
                <w:rFonts w:ascii="楷体_GB2312" w:eastAsia="楷体_GB2312" w:hint="eastAsia"/>
                <w:kern w:val="0"/>
              </w:rPr>
              <w:t>中国新房开工和出生率</w:t>
            </w:r>
          </w:p>
        </w:tc>
      </w:tr>
      <w:tr w:rsidR="00DC28EC" w:rsidRPr="00DC28EC" w:rsidTr="00DC28EC">
        <w:trPr>
          <w:trHeight w:val="183"/>
        </w:trPr>
        <w:tc>
          <w:tcPr>
            <w:tcW w:w="8925" w:type="dxa"/>
            <w:tcBorders>
              <w:top w:val="single" w:sz="4" w:space="0" w:color="auto"/>
              <w:bottom w:val="single" w:sz="4" w:space="0" w:color="auto"/>
            </w:tcBorders>
            <w:vAlign w:val="center"/>
          </w:tcPr>
          <w:p w:rsidR="00DC28EC" w:rsidRPr="00DC28EC" w:rsidRDefault="00DC28EC" w:rsidP="00DC28EC">
            <w:pPr>
              <w:pStyle w:val="a5"/>
              <w:rPr>
                <w:rFonts w:ascii="楷体_GB2312" w:eastAsia="楷体_GB2312"/>
                <w:kern w:val="0"/>
              </w:rPr>
            </w:pPr>
            <w:r w:rsidRPr="00DC28EC">
              <w:rPr>
                <w:rFonts w:ascii="楷体_GB2312" w:eastAsia="楷体_GB2312"/>
                <w:noProof/>
                <w:kern w:val="0"/>
              </w:rPr>
              <w:drawing>
                <wp:inline distT="0" distB="0" distL="0" distR="0">
                  <wp:extent cx="5391150" cy="1866900"/>
                  <wp:effectExtent l="19050" t="0" r="0" b="0"/>
                  <wp:docPr id="67" name="对象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DC28EC" w:rsidRPr="00DC28EC" w:rsidTr="00DC28EC">
        <w:trPr>
          <w:trHeight w:val="183"/>
        </w:trPr>
        <w:tc>
          <w:tcPr>
            <w:tcW w:w="8925" w:type="dxa"/>
            <w:tcBorders>
              <w:top w:val="single" w:sz="4" w:space="0" w:color="auto"/>
              <w:bottom w:val="single" w:sz="4" w:space="0" w:color="auto"/>
            </w:tcBorders>
            <w:vAlign w:val="center"/>
          </w:tcPr>
          <w:p w:rsidR="00DC28EC" w:rsidRPr="00DC28EC" w:rsidRDefault="00DC28EC" w:rsidP="00DC28EC">
            <w:pPr>
              <w:pStyle w:val="a5"/>
              <w:pBdr>
                <w:bottom w:val="single" w:sz="6" w:space="1" w:color="auto"/>
              </w:pBdr>
              <w:rPr>
                <w:rFonts w:ascii="楷体_GB2312" w:eastAsia="楷体_GB2312"/>
                <w:kern w:val="0"/>
              </w:rPr>
            </w:pPr>
            <w:r w:rsidRPr="00DC28EC">
              <w:rPr>
                <w:rFonts w:ascii="楷体_GB2312" w:eastAsia="楷体_GB2312" w:hint="eastAsia"/>
                <w:kern w:val="0"/>
              </w:rPr>
              <w:t>数据来源：CEIC，华商基金</w:t>
            </w:r>
          </w:p>
        </w:tc>
      </w:tr>
    </w:tbl>
    <w:p w:rsidR="00DC28EC" w:rsidRPr="00DC28EC" w:rsidRDefault="00DC28EC" w:rsidP="00DC28EC">
      <w:pPr>
        <w:pStyle w:val="a5"/>
        <w:ind w:leftChars="1400" w:left="2940" w:firstLineChars="50" w:firstLine="105"/>
        <w:rPr>
          <w:rFonts w:ascii="楷体_GB2312" w:eastAsia="楷体_GB2312"/>
          <w:kern w:val="0"/>
        </w:rPr>
      </w:pPr>
    </w:p>
    <w:p w:rsidR="00DC28EC" w:rsidRDefault="00DC28EC" w:rsidP="00DC28EC">
      <w:pPr>
        <w:pStyle w:val="a5"/>
        <w:ind w:leftChars="1400" w:left="2940" w:firstLineChars="50" w:firstLine="105"/>
        <w:rPr>
          <w:rFonts w:ascii="楷体_GB2312" w:eastAsia="楷体_GB2312"/>
          <w:kern w:val="0"/>
        </w:rPr>
      </w:pPr>
      <w:r w:rsidRPr="00DC28EC">
        <w:rPr>
          <w:rFonts w:ascii="楷体_GB2312" w:eastAsia="楷体_GB2312" w:hint="eastAsia"/>
          <w:kern w:val="0"/>
        </w:rPr>
        <w:t>地产调控政策的影响将在2012年全面体现，我们判断2012年开发商面临的生存环境将依然艰难。限购和限贷政策有效抑制了投机性需求，同时也使刚性需求受到了影响，在调控政策难以大范围退出的情况下，我们判断商品房需求改善空间有限。而2011年房地产新开工面积同比大幅增长，销售增长缓慢，这将使得可售住宅存量持续上升的趋势至少延续到2012年上半年，而供需关系的持续失衡将促使房价出现实质性下降，我们预计2012年全年商品房销售面积下滑4%左右，销售均价下滑6%左右。受销量萎缩和资金紧张影响，预计明年房地产新开工水平将延续2011年下半年以来的放缓趋势，再考虑到2012年保障房新开工目标下滑，我们判断2012年新开工面积下滑12%左右，房地产投资增速也将出现明显的下滑，预计全年增速在15%左右。</w:t>
      </w:r>
    </w:p>
    <w:p w:rsidR="00DC28EC" w:rsidRPr="00901269" w:rsidRDefault="00DC28EC" w:rsidP="00DC28EC">
      <w:pPr>
        <w:pStyle w:val="ac"/>
        <w:ind w:left="360" w:firstLineChars="0" w:firstLine="0"/>
        <w:rPr>
          <w:rFonts w:ascii="Times New Roman" w:eastAsia="仿宋_GB2312" w:hAnsi="Times New Roman" w:cs="Times New Roman"/>
          <w:sz w:val="18"/>
          <w:szCs w:val="18"/>
        </w:rPr>
      </w:pPr>
    </w:p>
    <w:tbl>
      <w:tblPr>
        <w:tblW w:w="0" w:type="auto"/>
        <w:jc w:val="center"/>
        <w:tblInd w:w="423" w:type="dxa"/>
        <w:tblLayout w:type="fixed"/>
        <w:tblLook w:val="0000"/>
      </w:tblPr>
      <w:tblGrid>
        <w:gridCol w:w="8925"/>
      </w:tblGrid>
      <w:tr w:rsidR="00DC28EC" w:rsidRPr="009B7C73" w:rsidTr="00B80F53">
        <w:trPr>
          <w:trHeight w:val="183"/>
          <w:jc w:val="center"/>
        </w:trPr>
        <w:tc>
          <w:tcPr>
            <w:tcW w:w="8925" w:type="dxa"/>
            <w:tcBorders>
              <w:top w:val="single" w:sz="4" w:space="0" w:color="auto"/>
              <w:bottom w:val="single" w:sz="4" w:space="0" w:color="auto"/>
            </w:tcBorders>
          </w:tcPr>
          <w:p w:rsidR="00DC28EC" w:rsidRPr="009B7C73" w:rsidRDefault="00DC28EC" w:rsidP="00B80F53">
            <w:pPr>
              <w:pStyle w:val="ae"/>
              <w:snapToGrid w:val="0"/>
              <w:ind w:rightChars="-56" w:right="-118"/>
              <w:jc w:val="both"/>
              <w:rPr>
                <w:rFonts w:ascii="Times New Roman" w:eastAsia="仿宋_GB2312" w:hAnsi="Times New Roman" w:cs="Times New Roman"/>
                <w:b/>
                <w:kern w:val="2"/>
              </w:rPr>
            </w:pPr>
            <w:r w:rsidRPr="009B7C73">
              <w:rPr>
                <w:rFonts w:ascii="Times New Roman" w:eastAsia="仿宋_GB2312" w:hAnsi="Times New Roman" w:cs="Times New Roman" w:hint="eastAsia"/>
                <w:b/>
                <w:kern w:val="2"/>
              </w:rPr>
              <w:t>图</w:t>
            </w:r>
            <w:r w:rsidRPr="009B7C73">
              <w:rPr>
                <w:rFonts w:ascii="Times New Roman" w:eastAsia="仿宋_GB2312" w:hAnsi="Times New Roman" w:cs="Times New Roman"/>
                <w:b/>
                <w:kern w:val="2"/>
              </w:rPr>
              <w:t xml:space="preserve"> </w:t>
            </w:r>
            <w:r w:rsidRPr="009B7C73">
              <w:rPr>
                <w:rFonts w:ascii="Times New Roman" w:eastAsia="仿宋_GB2312" w:hAnsi="Times New Roman" w:cs="Times New Roman" w:hint="eastAsia"/>
                <w:b/>
                <w:kern w:val="2"/>
              </w:rPr>
              <w:t xml:space="preserve"> </w:t>
            </w:r>
            <w:r w:rsidRPr="009B7C73">
              <w:rPr>
                <w:rFonts w:ascii="Times New Roman" w:eastAsia="仿宋_GB2312" w:hAnsi="Times New Roman" w:cs="Times New Roman" w:hint="eastAsia"/>
                <w:b/>
                <w:kern w:val="2"/>
              </w:rPr>
              <w:t>商品房</w:t>
            </w:r>
            <w:r>
              <w:rPr>
                <w:rFonts w:ascii="Times New Roman" w:eastAsia="仿宋_GB2312" w:hAnsi="Times New Roman" w:cs="Times New Roman" w:hint="eastAsia"/>
                <w:b/>
                <w:kern w:val="2"/>
              </w:rPr>
              <w:t>月度</w:t>
            </w:r>
            <w:r w:rsidRPr="009B7C73">
              <w:rPr>
                <w:rFonts w:ascii="Times New Roman" w:eastAsia="仿宋_GB2312" w:hAnsi="Times New Roman" w:cs="Times New Roman" w:hint="eastAsia"/>
                <w:b/>
                <w:kern w:val="2"/>
              </w:rPr>
              <w:t>销售面积</w:t>
            </w:r>
            <w:r>
              <w:rPr>
                <w:rFonts w:ascii="Times New Roman" w:eastAsia="仿宋_GB2312" w:hAnsi="Times New Roman" w:cs="Times New Roman" w:hint="eastAsia"/>
                <w:b/>
                <w:kern w:val="2"/>
              </w:rPr>
              <w:t>（百万平米），季度</w:t>
            </w:r>
          </w:p>
        </w:tc>
      </w:tr>
      <w:tr w:rsidR="00DC28EC" w:rsidTr="00B80F53">
        <w:trPr>
          <w:trHeight w:val="183"/>
          <w:jc w:val="center"/>
        </w:trPr>
        <w:tc>
          <w:tcPr>
            <w:tcW w:w="8925" w:type="dxa"/>
            <w:tcBorders>
              <w:top w:val="single" w:sz="4" w:space="0" w:color="auto"/>
              <w:bottom w:val="single" w:sz="4" w:space="0" w:color="auto"/>
            </w:tcBorders>
          </w:tcPr>
          <w:p w:rsidR="00DC28EC" w:rsidRDefault="00DC28EC" w:rsidP="00B80F53">
            <w:pPr>
              <w:pStyle w:val="ae"/>
              <w:snapToGrid w:val="0"/>
              <w:ind w:leftChars="-51" w:left="-107" w:rightChars="-56" w:right="-118"/>
              <w:jc w:val="both"/>
              <w:rPr>
                <w:rFonts w:ascii="Times New Roman" w:eastAsia="仿宋_GB2312" w:hAnsi="Times New Roman" w:cs="Times New Roman"/>
                <w:sz w:val="16"/>
                <w:szCs w:val="16"/>
              </w:rPr>
            </w:pPr>
            <w:r>
              <w:rPr>
                <w:rFonts w:ascii="仿宋_GB2312" w:eastAsia="仿宋_GB2312"/>
                <w:noProof/>
                <w:sz w:val="2"/>
                <w:szCs w:val="2"/>
              </w:rPr>
              <w:drawing>
                <wp:inline distT="0" distB="0" distL="0" distR="0">
                  <wp:extent cx="5534025" cy="1924050"/>
                  <wp:effectExtent l="0" t="0" r="0" b="0"/>
                  <wp:docPr id="69" name="对象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DC28EC" w:rsidTr="00B80F53">
        <w:trPr>
          <w:trHeight w:val="183"/>
          <w:jc w:val="center"/>
        </w:trPr>
        <w:tc>
          <w:tcPr>
            <w:tcW w:w="8925" w:type="dxa"/>
            <w:tcBorders>
              <w:top w:val="single" w:sz="4" w:space="0" w:color="auto"/>
              <w:bottom w:val="single" w:sz="4" w:space="0" w:color="auto"/>
            </w:tcBorders>
          </w:tcPr>
          <w:p w:rsidR="00DC28EC" w:rsidRDefault="00DC28EC" w:rsidP="00B80F53">
            <w:pPr>
              <w:pStyle w:val="a3"/>
              <w:ind w:rightChars="-56" w:right="-118"/>
              <w:rPr>
                <w:rFonts w:eastAsia="仿宋_GB2312"/>
                <w:sz w:val="16"/>
                <w:szCs w:val="16"/>
              </w:rPr>
            </w:pPr>
            <w:r>
              <w:rPr>
                <w:rFonts w:eastAsia="仿宋_GB2312" w:hint="eastAsia"/>
                <w:sz w:val="16"/>
                <w:szCs w:val="16"/>
              </w:rPr>
              <w:t>数据来源：</w:t>
            </w:r>
            <w:r w:rsidRPr="00054FF1">
              <w:rPr>
                <w:rFonts w:eastAsia="仿宋_GB2312"/>
                <w:sz w:val="16"/>
                <w:szCs w:val="16"/>
              </w:rPr>
              <w:t>CEIC</w:t>
            </w:r>
            <w:r>
              <w:rPr>
                <w:rFonts w:ascii="Arial" w:eastAsia="仿宋_GB2312" w:hAnsi="Arial" w:cs="Arial" w:hint="eastAsia"/>
                <w:sz w:val="16"/>
                <w:szCs w:val="16"/>
              </w:rPr>
              <w:t>，华商基金</w:t>
            </w:r>
          </w:p>
        </w:tc>
      </w:tr>
    </w:tbl>
    <w:p w:rsidR="00DC28EC" w:rsidRDefault="00DC28EC" w:rsidP="00DC28EC">
      <w:pPr>
        <w:pStyle w:val="ac"/>
        <w:ind w:left="360" w:firstLineChars="0" w:firstLine="0"/>
      </w:pPr>
    </w:p>
    <w:p w:rsidR="00DC28EC" w:rsidRPr="00DC28EC" w:rsidRDefault="00DC28EC" w:rsidP="00DC28EC">
      <w:pPr>
        <w:pStyle w:val="a5"/>
        <w:ind w:leftChars="1400" w:left="2940" w:firstLineChars="50" w:firstLine="105"/>
        <w:rPr>
          <w:rFonts w:ascii="楷体_GB2312" w:eastAsia="楷体_GB2312"/>
          <w:kern w:val="0"/>
        </w:rPr>
      </w:pPr>
    </w:p>
    <w:p w:rsidR="00DC28EC" w:rsidRPr="00DC28EC" w:rsidRDefault="00DC28EC" w:rsidP="00DC28EC">
      <w:pPr>
        <w:pStyle w:val="a5"/>
        <w:ind w:leftChars="1400" w:left="2940" w:firstLineChars="50" w:firstLine="105"/>
        <w:rPr>
          <w:rFonts w:ascii="楷体_GB2312" w:eastAsia="楷体_GB2312"/>
          <w:kern w:val="0"/>
        </w:rPr>
      </w:pPr>
      <w:r w:rsidRPr="00DC28EC">
        <w:rPr>
          <w:rFonts w:ascii="楷体_GB2312" w:eastAsia="楷体_GB2312" w:hint="eastAsia"/>
          <w:kern w:val="0"/>
        </w:rPr>
        <w:t>从过去几年的历史经验来看，地产股的走势和政府的宏观调控政策紧密相关，因此，对2012年政府调控政策取向的判断非常重要。如上所述，在当前的政策和供需格局之下，2012年房地产市场库存将创新高，房价下行趋势明显，政府的调控目标将得以实现，所以我们认为调控政策没有进一步收紧的必要。在国内“土地财政”和“吃饭财政”制度并未发生实质性变革的前提下，地方政府对于土地财政和土地金融极度依赖，我们认为地方政府要求放松地产调控的动力非常足；而面对国内外复杂的政治经济局势，中央政府需要兼顾调结构的长期目标和保增长的现实压力，因此也不排除在必要的时候对现有的调控政策进行某些调整。但是，我们认为政策放松的空间并不大。由于制度上缺失，商品房的投资品属性仍然很强，政策放松速度过快或幅度过大必然使得现有的矛盾进一步的激化，更加不利于行业的长期发展。</w:t>
      </w:r>
    </w:p>
    <w:p w:rsidR="00DC28EC" w:rsidRPr="00DC28EC" w:rsidRDefault="00DC28EC" w:rsidP="00DC28EC">
      <w:pPr>
        <w:pStyle w:val="a5"/>
        <w:ind w:leftChars="1400" w:left="2940" w:firstLineChars="50" w:firstLine="105"/>
        <w:rPr>
          <w:rFonts w:ascii="楷体_GB2312" w:eastAsia="楷体_GB2312"/>
          <w:kern w:val="0"/>
        </w:rPr>
      </w:pPr>
    </w:p>
    <w:p w:rsidR="00DC28EC" w:rsidRPr="00DC28EC" w:rsidRDefault="00DC28EC" w:rsidP="00DC28EC">
      <w:pPr>
        <w:pStyle w:val="a5"/>
        <w:ind w:leftChars="1400" w:left="2940" w:firstLineChars="50" w:firstLine="105"/>
        <w:rPr>
          <w:rFonts w:ascii="楷体_GB2312" w:eastAsia="楷体_GB2312"/>
          <w:kern w:val="0"/>
        </w:rPr>
      </w:pPr>
      <w:r w:rsidRPr="00DC28EC">
        <w:rPr>
          <w:rFonts w:ascii="楷体_GB2312" w:eastAsia="楷体_GB2312" w:hint="eastAsia"/>
          <w:kern w:val="0"/>
        </w:rPr>
        <w:t>在行业基本面下行，调控政策放松空间不大的情况下，地产股难有趋势性投资机会。同时，目前的A股地产股估值已处于历史底部，也显著低于国际水平，估值水平进一步下行的空间也不大，具备一定的防御价值。如果2012年国内的通胀水平出现趋势性回落，可能意味着紧缩的货币政策有望终结，则有望提升整个板块的估值水平，带来相应的投资机会。在股票的选择上，我们认为有两条主线：一是行业</w:t>
      </w:r>
      <w:r w:rsidRPr="00DC28EC">
        <w:rPr>
          <w:rFonts w:ascii="楷体_GB2312" w:eastAsia="楷体_GB2312" w:hint="eastAsia"/>
          <w:kern w:val="0"/>
        </w:rPr>
        <w:lastRenderedPageBreak/>
        <w:t>龙头，主要逻辑是房地产行业已经从高速发展阶段过渡到了平稳增长阶段，龙头公司受益于行业集中度不断提升，增长更加确定；二是轻资产高周转的开发商，主要逻辑是房价和地价暴涨的时代已经过去，未来开发商的盈利模式将从攫取尽可能多的土地红利向尽可能提高资产周转速度转变，轻资产高周转的开发商能获得更高的ROE水平。</w:t>
      </w:r>
    </w:p>
    <w:p w:rsidR="00DC28EC" w:rsidRPr="00DC28EC" w:rsidRDefault="00DC28EC" w:rsidP="00DC28EC">
      <w:pPr>
        <w:pStyle w:val="a5"/>
        <w:ind w:leftChars="1400" w:left="2940" w:firstLineChars="50" w:firstLine="105"/>
        <w:rPr>
          <w:rFonts w:ascii="楷体_GB2312" w:eastAsia="楷体_GB2312"/>
          <w:kern w:val="0"/>
        </w:rPr>
      </w:pPr>
    </w:p>
    <w:p w:rsidR="00DC28EC" w:rsidRPr="00DC28EC" w:rsidRDefault="00DC28EC" w:rsidP="00164BC2">
      <w:pPr>
        <w:pStyle w:val="a5"/>
        <w:numPr>
          <w:ilvl w:val="0"/>
          <w:numId w:val="18"/>
        </w:numPr>
        <w:rPr>
          <w:rFonts w:ascii="楷体_GB2312" w:eastAsia="楷体_GB2312"/>
          <w:kern w:val="0"/>
        </w:rPr>
      </w:pPr>
      <w:r w:rsidRPr="00DC28EC">
        <w:rPr>
          <w:rFonts w:ascii="楷体_GB2312" w:eastAsia="楷体_GB2312" w:hint="eastAsia"/>
          <w:kern w:val="0"/>
        </w:rPr>
        <w:t>银行：</w:t>
      </w:r>
    </w:p>
    <w:p w:rsidR="00DC28EC" w:rsidRPr="00DC28EC" w:rsidRDefault="00DC28EC" w:rsidP="00DC28EC">
      <w:pPr>
        <w:pStyle w:val="a5"/>
        <w:ind w:leftChars="1400" w:left="2940" w:firstLineChars="50" w:firstLine="105"/>
        <w:rPr>
          <w:rFonts w:ascii="楷体_GB2312" w:eastAsia="楷体_GB2312"/>
          <w:kern w:val="0"/>
        </w:rPr>
      </w:pPr>
    </w:p>
    <w:p w:rsidR="00DC28EC" w:rsidRPr="00DC28EC" w:rsidRDefault="00DC28EC" w:rsidP="00DC28EC">
      <w:pPr>
        <w:pStyle w:val="a5"/>
        <w:ind w:leftChars="1400" w:left="2940" w:firstLineChars="50" w:firstLine="105"/>
        <w:rPr>
          <w:rFonts w:ascii="楷体_GB2312" w:eastAsia="楷体_GB2312"/>
          <w:kern w:val="0"/>
        </w:rPr>
      </w:pPr>
      <w:r w:rsidRPr="00DC28EC">
        <w:rPr>
          <w:rFonts w:ascii="楷体_GB2312" w:eastAsia="楷体_GB2312" w:hint="eastAsia"/>
          <w:kern w:val="0"/>
        </w:rPr>
        <w:t>2012年货币政策或略有放松。由于外汇占款流入的减少，加上2012年央行公开市场到期量仅9000亿左右，央行将通过多次下调存款准备金率来提高货币乘数，从而将M2增速维持在14%左右的水平。我们预计2012年存款增速比2011年略有好转，达到13-14%，预计2012年信贷增长8万亿、增速为14.6%。受贷存比影响，股份制银行贷款增速将和大银行接近，而城商行贷款增速有望达到20%的水平。</w:t>
      </w:r>
      <w:r w:rsidRPr="00DC28EC">
        <w:rPr>
          <w:rFonts w:ascii="楷体_GB2312" w:eastAsia="楷体_GB2312"/>
          <w:kern w:val="0"/>
        </w:rPr>
        <w:t xml:space="preserve"> </w:t>
      </w:r>
    </w:p>
    <w:p w:rsidR="00DC28EC" w:rsidRPr="00DC28EC" w:rsidRDefault="00DC28EC" w:rsidP="00DC28EC">
      <w:pPr>
        <w:pStyle w:val="a5"/>
        <w:ind w:leftChars="1400" w:left="2940" w:firstLineChars="50" w:firstLine="105"/>
        <w:rPr>
          <w:rFonts w:ascii="楷体_GB2312" w:eastAsia="楷体_GB2312"/>
          <w:kern w:val="0"/>
        </w:rPr>
      </w:pPr>
    </w:p>
    <w:p w:rsidR="00DC28EC" w:rsidRPr="00DC28EC" w:rsidRDefault="00DC28EC" w:rsidP="00DC28EC">
      <w:pPr>
        <w:pStyle w:val="a5"/>
        <w:ind w:leftChars="1400" w:left="2940" w:firstLineChars="50" w:firstLine="105"/>
        <w:rPr>
          <w:rFonts w:ascii="楷体_GB2312" w:eastAsia="楷体_GB2312"/>
          <w:kern w:val="0"/>
        </w:rPr>
      </w:pPr>
      <w:r w:rsidRPr="00DC28EC">
        <w:rPr>
          <w:rFonts w:ascii="楷体_GB2312" w:eastAsia="楷体_GB2312" w:hint="eastAsia"/>
          <w:kern w:val="0"/>
        </w:rPr>
        <w:t>2012年银行净息差将比2011年略有下行。2012年对净息差形成正面贡献的因素主要包括</w:t>
      </w:r>
      <w:r w:rsidRPr="00DC28EC">
        <w:rPr>
          <w:rFonts w:ascii="楷体_GB2312" w:eastAsia="楷体_GB2312"/>
          <w:kern w:val="0"/>
        </w:rPr>
        <w:t>按揭重定价、中小贷款占比提升</w:t>
      </w:r>
      <w:r w:rsidRPr="00DC28EC">
        <w:rPr>
          <w:rFonts w:ascii="楷体_GB2312" w:eastAsia="楷体_GB2312" w:hint="eastAsia"/>
          <w:kern w:val="0"/>
        </w:rPr>
        <w:t>和准备金率下调等。预计一季度在资产重定价带动下，息差环比会有5-10bp左右提升。影响净息差的负面因素包括存款重定价和定期化推动存款成本提升、银行议价能力下降和资金市场利率下行。预计从二季度开始，净息差将环比小幅下滑。</w:t>
      </w:r>
    </w:p>
    <w:p w:rsidR="00DC28EC" w:rsidRPr="00DC28EC" w:rsidRDefault="00DC28EC" w:rsidP="00DC28EC">
      <w:pPr>
        <w:pStyle w:val="a5"/>
        <w:ind w:leftChars="1400" w:left="2940" w:firstLineChars="50" w:firstLine="105"/>
        <w:rPr>
          <w:rFonts w:ascii="楷体_GB2312" w:eastAsia="楷体_GB2312"/>
          <w:kern w:val="0"/>
        </w:rPr>
      </w:pPr>
    </w:p>
    <w:p w:rsidR="00DC28EC" w:rsidRPr="00DC28EC" w:rsidRDefault="00DC28EC" w:rsidP="00DC28EC">
      <w:pPr>
        <w:pStyle w:val="a5"/>
        <w:ind w:leftChars="1400" w:left="2940" w:firstLineChars="50" w:firstLine="105"/>
        <w:rPr>
          <w:rFonts w:ascii="楷体_GB2312" w:eastAsia="楷体_GB2312"/>
          <w:kern w:val="0"/>
        </w:rPr>
      </w:pPr>
      <w:r w:rsidRPr="00DC28EC">
        <w:rPr>
          <w:rFonts w:ascii="楷体_GB2312" w:eastAsia="楷体_GB2312" w:hint="eastAsia"/>
          <w:kern w:val="0"/>
        </w:rPr>
        <w:t>2012年不良贷款余额将温和反弹，不良率小幅上升，上市银行盈利增速16%左右。目前我国银行不良率处于历史极低水平，伴随着经济增速放缓和房价下行压力增强，预计不良贷款余额将温和反弹15%左右，不良率小幅上升至1.05%左右。预计上市银行整体盈利增速在16%左右，其中，股份制银行受贷存比和净息差影响较大，盈利增速向大银行靠拢，而城商行则受益于高资本充足率和低贷存比，盈利增速有望维持在20</w:t>
      </w:r>
      <w:r w:rsidRPr="00DC28EC">
        <w:rPr>
          <w:rFonts w:ascii="楷体_GB2312" w:eastAsia="楷体_GB2312"/>
          <w:kern w:val="0"/>
        </w:rPr>
        <w:t>%</w:t>
      </w:r>
      <w:r w:rsidRPr="00DC28EC">
        <w:rPr>
          <w:rFonts w:ascii="楷体_GB2312" w:eastAsia="楷体_GB2312" w:hint="eastAsia"/>
          <w:kern w:val="0"/>
        </w:rPr>
        <w:t>。我们预计2012年</w:t>
      </w:r>
      <w:r w:rsidRPr="00DC28EC">
        <w:rPr>
          <w:rFonts w:ascii="楷体_GB2312" w:eastAsia="楷体_GB2312"/>
          <w:kern w:val="0"/>
        </w:rPr>
        <w:t>1</w:t>
      </w:r>
      <w:r w:rsidRPr="00DC28EC">
        <w:rPr>
          <w:rFonts w:ascii="楷体_GB2312" w:eastAsia="楷体_GB2312" w:hint="eastAsia"/>
          <w:kern w:val="0"/>
        </w:rPr>
        <w:t>季度盈利增速将达到</w:t>
      </w:r>
      <w:r w:rsidRPr="00DC28EC">
        <w:rPr>
          <w:rFonts w:ascii="楷体_GB2312" w:eastAsia="楷体_GB2312"/>
          <w:kern w:val="0"/>
        </w:rPr>
        <w:t>2</w:t>
      </w:r>
      <w:r w:rsidRPr="00DC28EC">
        <w:rPr>
          <w:rFonts w:ascii="楷体_GB2312" w:eastAsia="楷体_GB2312" w:hint="eastAsia"/>
          <w:kern w:val="0"/>
        </w:rPr>
        <w:t>5</w:t>
      </w:r>
      <w:r w:rsidRPr="00DC28EC">
        <w:rPr>
          <w:rFonts w:ascii="楷体_GB2312" w:eastAsia="楷体_GB2312"/>
          <w:kern w:val="0"/>
        </w:rPr>
        <w:t>%</w:t>
      </w:r>
      <w:r w:rsidRPr="00DC28EC">
        <w:rPr>
          <w:rFonts w:ascii="楷体_GB2312" w:eastAsia="楷体_GB2312" w:hint="eastAsia"/>
          <w:kern w:val="0"/>
        </w:rPr>
        <w:t>左右，为全年高点，随后逐季放缓。</w:t>
      </w:r>
    </w:p>
    <w:p w:rsidR="00DC28EC" w:rsidRPr="00DC28EC" w:rsidRDefault="00DC28EC" w:rsidP="00DC28EC">
      <w:pPr>
        <w:pStyle w:val="a5"/>
        <w:ind w:leftChars="1400" w:left="2940" w:firstLineChars="50" w:firstLine="105"/>
        <w:rPr>
          <w:rFonts w:ascii="楷体_GB2312" w:eastAsia="楷体_GB2312"/>
          <w:kern w:val="0"/>
        </w:rPr>
      </w:pPr>
    </w:p>
    <w:p w:rsidR="00DC28EC" w:rsidRPr="00DC28EC" w:rsidRDefault="00DC28EC" w:rsidP="00DC28EC">
      <w:pPr>
        <w:pStyle w:val="a5"/>
        <w:ind w:leftChars="1400" w:left="2940" w:firstLineChars="50" w:firstLine="105"/>
        <w:rPr>
          <w:rFonts w:ascii="楷体_GB2312" w:eastAsia="楷体_GB2312"/>
          <w:kern w:val="0"/>
        </w:rPr>
      </w:pPr>
      <w:r w:rsidRPr="00DC28EC">
        <w:rPr>
          <w:rFonts w:ascii="楷体_GB2312" w:eastAsia="楷体_GB2312" w:hint="eastAsia"/>
          <w:kern w:val="0"/>
        </w:rPr>
        <w:t>银行股估值低，下行空间不大，全年有望实现10%-15%的绝对收益。目前银行股2012年PB1.1倍，进一步下降的空间不大，盈利增速虽放缓，但比较确定。因此，从全年来看，我们认为银行股有望实现10%-15%的绝对收益。从国内外经验历史经验来看，经济下行、货币政策放松初期，银行股的表现不佳，而经济反弹、流动性恢复后，是更好的投资银行股的时间窗口。因此，我们认为银行股绝对收益的机会更大概率上是在2012年下半年实现。</w:t>
      </w:r>
    </w:p>
    <w:p w:rsidR="00DC28EC" w:rsidRPr="00DC28EC" w:rsidRDefault="00DC28EC" w:rsidP="00DC28EC">
      <w:pPr>
        <w:pStyle w:val="a5"/>
        <w:ind w:leftChars="1400" w:left="2940" w:firstLineChars="50" w:firstLine="105"/>
        <w:rPr>
          <w:rFonts w:ascii="楷体_GB2312" w:eastAsia="楷体_GB2312"/>
          <w:kern w:val="0"/>
        </w:rPr>
      </w:pPr>
    </w:p>
    <w:p w:rsidR="00DC28EC" w:rsidRPr="00DC28EC" w:rsidRDefault="00DC28EC" w:rsidP="00164BC2">
      <w:pPr>
        <w:pStyle w:val="a5"/>
        <w:numPr>
          <w:ilvl w:val="0"/>
          <w:numId w:val="17"/>
        </w:numPr>
        <w:rPr>
          <w:rFonts w:ascii="楷体_GB2312" w:eastAsia="楷体_GB2312"/>
          <w:kern w:val="0"/>
        </w:rPr>
      </w:pPr>
      <w:r w:rsidRPr="00DC28EC">
        <w:rPr>
          <w:rFonts w:ascii="楷体_GB2312" w:eastAsia="楷体_GB2312" w:hint="eastAsia"/>
          <w:kern w:val="0"/>
        </w:rPr>
        <w:t>非银行金融</w:t>
      </w:r>
    </w:p>
    <w:p w:rsidR="00DC28EC" w:rsidRPr="00DC28EC" w:rsidRDefault="00DC28EC" w:rsidP="00DC28EC">
      <w:pPr>
        <w:pStyle w:val="a5"/>
        <w:ind w:leftChars="1400" w:left="2940" w:firstLineChars="50" w:firstLine="105"/>
        <w:rPr>
          <w:rFonts w:ascii="楷体_GB2312" w:eastAsia="楷体_GB2312"/>
          <w:kern w:val="0"/>
        </w:rPr>
      </w:pPr>
    </w:p>
    <w:p w:rsidR="00DC28EC" w:rsidRPr="00DC28EC" w:rsidRDefault="00DC28EC" w:rsidP="00DC28EC">
      <w:pPr>
        <w:pStyle w:val="a5"/>
        <w:ind w:leftChars="1400" w:left="2940" w:firstLineChars="50" w:firstLine="105"/>
        <w:rPr>
          <w:rFonts w:ascii="楷体_GB2312" w:eastAsia="楷体_GB2312"/>
          <w:kern w:val="0"/>
        </w:rPr>
      </w:pPr>
      <w:r w:rsidRPr="00DC28EC">
        <w:rPr>
          <w:rFonts w:ascii="楷体_GB2312" w:eastAsia="楷体_GB2312" w:hint="eastAsia"/>
          <w:kern w:val="0"/>
        </w:rPr>
        <w:t>保险：总体上来说，2012年寿险公司面临的市场环境将比2011年有所改善。从保</w:t>
      </w:r>
      <w:r w:rsidRPr="00DC28EC">
        <w:rPr>
          <w:rFonts w:ascii="楷体_GB2312" w:eastAsia="楷体_GB2312" w:hint="eastAsia"/>
          <w:kern w:val="0"/>
        </w:rPr>
        <w:lastRenderedPageBreak/>
        <w:t>费收入端来看，主要受到周期性和结构性因素影响。由于我国保费存在一定的储蓄性质，使得保费增速与储蓄存款增速存在着较高的相关性，而2011年较为严重的负利率环境使得居民的储蓄意愿减弱从而使得保险产品的销售出现了问题。我们判断2012年CPI将处于下行通道当中，负利率有望得到减轻甚至扭转，则2012年保费收入增速有望得到恢复。从结构性因素来看，银保渠道监管趋严，个险渠道增员困难等不利因素在2012年仍将继续存在，将继续对保费增速形成压制。因此，我们判断2012年保费增速将是有限的复苏。从投资收益端来看，2011年股债双杀的极端情况已经出现，我们判断2012年投资环境亦将有所改善。首先是债市有望延续温和复苏的趋势，部分缓解保险公司的资本金压力；其次股市在流动性改善的条件下，其表现有望好于2011年。从估值上来看，目前已处于历史最低水平，估值已反映了极度悲观的预期。因此，我们相对看好寿险公司在2012年的表现。</w:t>
      </w:r>
    </w:p>
    <w:p w:rsidR="00DC28EC" w:rsidRPr="00DC28EC" w:rsidRDefault="00DC28EC" w:rsidP="00DC28EC">
      <w:pPr>
        <w:pStyle w:val="a5"/>
        <w:ind w:leftChars="1400" w:left="2940" w:firstLineChars="50" w:firstLine="105"/>
        <w:rPr>
          <w:rFonts w:ascii="楷体_GB2312" w:eastAsia="楷体_GB2312"/>
          <w:kern w:val="0"/>
        </w:rPr>
      </w:pPr>
    </w:p>
    <w:p w:rsidR="00DC28EC" w:rsidRPr="00DC28EC" w:rsidRDefault="00DC28EC" w:rsidP="00DC28EC">
      <w:pPr>
        <w:pStyle w:val="a5"/>
        <w:ind w:leftChars="1400" w:left="2940" w:firstLineChars="50" w:firstLine="105"/>
        <w:rPr>
          <w:rFonts w:ascii="楷体_GB2312" w:eastAsia="楷体_GB2312"/>
          <w:kern w:val="0"/>
        </w:rPr>
      </w:pPr>
      <w:r w:rsidRPr="00DC28EC">
        <w:rPr>
          <w:rFonts w:ascii="楷体_GB2312" w:eastAsia="楷体_GB2312" w:hint="eastAsia"/>
          <w:kern w:val="0"/>
        </w:rPr>
        <w:t>券商：2012年，大小券商的表现有望出现分化，相对看好大型券商。从经纪业务来看，佣金率降幅已趋缓，预计2012年佣金率下降的空间非常有限，而月度换手率已接近过去十年的低点水平，由于2011年上半年基数较高，我们预计2012年行业经纪业务收入下滑幅度10%-15%。投行业务方面，预计2012年股票融资额和费率将与2011年大体持平，而在政策扶持下，债券融资有望成为亮点。创新业务方面，融资融券是最大的看点。2011年11月25日，沪深交易所分别发布《融资融券交易实施细则》，融资融券业务由试点转为常规，标的也从之前的90支股票增加至278支股票加4支ETF。2012年，融资融券的标的物有望进一步放开，而门槛有望进一步降低，预计融资融券业务对大型券商的利润贡献可望达到10%左右。另外，直投业务也可为早期参与该业务的大型券商贡献可观的利润。总的来说，券商传统业务在2012年难有起色，创新业务2012年有望发力，成为行业的亮点，更早布局创新业务，市场份额较大的大型券商将是最大的受益者。从估值上来看，大型券商的PB普遍在2倍以下，部分甚至低于1.5倍PB，具备一定的安全边际；而小券商盈利结构较为单一，盈利稳定性不足，目前估值普遍却在3倍PB左右，随着券商IPO门槛的降低，越来越多的券商上市，券商股的稀缺性进一步降低，其估值有较大的下行风险。因此，我们认为2012年券商股的表现有望分化，大型券商占优。</w:t>
      </w:r>
    </w:p>
    <w:p w:rsidR="00DC28EC" w:rsidRPr="00DC28EC" w:rsidRDefault="00DC28EC" w:rsidP="00DC28EC">
      <w:pPr>
        <w:pStyle w:val="a5"/>
        <w:ind w:leftChars="1400" w:left="2940" w:firstLineChars="50" w:firstLine="105"/>
        <w:rPr>
          <w:rFonts w:ascii="楷体_GB2312" w:eastAsia="楷体_GB2312"/>
          <w:kern w:val="0"/>
        </w:rPr>
      </w:pPr>
    </w:p>
    <w:p w:rsidR="00DC28EC" w:rsidRPr="00DC28EC" w:rsidRDefault="00DC28EC" w:rsidP="00DC28EC">
      <w:pPr>
        <w:pStyle w:val="a5"/>
        <w:ind w:leftChars="1400" w:left="2940" w:firstLineChars="50" w:firstLine="105"/>
        <w:rPr>
          <w:rFonts w:ascii="楷体_GB2312" w:eastAsia="楷体_GB2312"/>
          <w:kern w:val="0"/>
        </w:rPr>
      </w:pPr>
      <w:r w:rsidRPr="00DC28EC">
        <w:rPr>
          <w:rFonts w:ascii="楷体_GB2312" w:eastAsia="楷体_GB2312" w:hint="eastAsia"/>
          <w:kern w:val="0"/>
        </w:rPr>
        <w:t>建筑工程：</w:t>
      </w:r>
    </w:p>
    <w:p w:rsidR="00DC28EC" w:rsidRPr="00DC28EC" w:rsidRDefault="00DC28EC" w:rsidP="00DC28EC">
      <w:pPr>
        <w:pStyle w:val="a5"/>
        <w:ind w:leftChars="1400" w:left="2940" w:firstLineChars="50" w:firstLine="105"/>
        <w:rPr>
          <w:rFonts w:ascii="楷体_GB2312" w:eastAsia="楷体_GB2312"/>
          <w:kern w:val="0"/>
        </w:rPr>
      </w:pPr>
    </w:p>
    <w:p w:rsidR="00DC28EC" w:rsidRPr="00DC28EC" w:rsidRDefault="00DC28EC" w:rsidP="00DC28EC">
      <w:pPr>
        <w:pStyle w:val="a5"/>
        <w:ind w:leftChars="1400" w:left="2940" w:firstLineChars="50" w:firstLine="105"/>
        <w:rPr>
          <w:rFonts w:ascii="楷体_GB2312" w:eastAsia="楷体_GB2312"/>
          <w:kern w:val="0"/>
        </w:rPr>
      </w:pPr>
      <w:r w:rsidRPr="00DC28EC">
        <w:rPr>
          <w:rFonts w:ascii="楷体_GB2312" w:eastAsia="楷体_GB2312" w:hint="eastAsia"/>
          <w:kern w:val="0"/>
        </w:rPr>
        <w:t>根据国家“十二五”规划，我国十二五期间将加快转变经济发展方式，进行经济结构调整，这意味着十二五期间我国固定资产投资增速将由快速增长转向稳步放缓。实际上，2011年固定资产投资已经出现增速下滑的态势。房地产开发投资从2011年8月份开始回落，铁路投资增速从2011年3月份开始回落，公路投资增速从2011年下半年开始回落。展望2012年，我们认为地产和基建投资等核心驱动因素增速会进一步下滑，其中地产投资增速由2011年的接近30%下降到16%左右，而基建投资受制于土地财政的持续紧缩和融资平台的清理，增长的前景也不明朗。因此，我们认为大部分建筑工程公司2012年都处于核心驱动要素下行或持平的阶段，不确定性较大，难以出现较好的投资机会，而可能的投资机会有望出现在部分投资增速相对确定的细分行业，包括煤化工和水利水电等行业。</w:t>
      </w:r>
    </w:p>
    <w:p w:rsidR="00097DFD" w:rsidRDefault="00F64DFA" w:rsidP="008B0962">
      <w:pPr>
        <w:pStyle w:val="1"/>
        <w:numPr>
          <w:ilvl w:val="0"/>
          <w:numId w:val="4"/>
        </w:numPr>
        <w:spacing w:beforeLines="50" w:afterLines="50" w:line="480" w:lineRule="auto"/>
        <w:ind w:left="2705"/>
        <w:rPr>
          <w:rFonts w:ascii="楷体_GB2312" w:eastAsia="楷体_GB2312"/>
          <w:bCs w:val="0"/>
          <w:kern w:val="0"/>
          <w:sz w:val="21"/>
          <w:szCs w:val="21"/>
        </w:rPr>
      </w:pPr>
      <w:bookmarkStart w:id="58" w:name="_Toc313737764"/>
      <w:r w:rsidRPr="00B7262B">
        <w:rPr>
          <w:rFonts w:ascii="楷体_GB2312" w:eastAsia="楷体_GB2312" w:hint="eastAsia"/>
          <w:bCs w:val="0"/>
          <w:kern w:val="0"/>
          <w:sz w:val="21"/>
          <w:szCs w:val="21"/>
        </w:rPr>
        <w:lastRenderedPageBreak/>
        <w:t>汽车行业</w:t>
      </w:r>
      <w:bookmarkEnd w:id="58"/>
    </w:p>
    <w:p w:rsidR="00F64DFA" w:rsidRPr="00B7262B" w:rsidRDefault="00F64DFA" w:rsidP="00B7262B">
      <w:pPr>
        <w:pStyle w:val="af5"/>
        <w:spacing w:line="276" w:lineRule="auto"/>
        <w:ind w:leftChars="1150" w:left="2415"/>
        <w:rPr>
          <w:rFonts w:ascii="楷体_GB2312" w:eastAsia="楷体_GB2312" w:hAnsi="Times New Roman" w:cs="Times New Roman"/>
          <w:kern w:val="0"/>
          <w:sz w:val="21"/>
          <w:szCs w:val="21"/>
        </w:rPr>
      </w:pPr>
      <w:r w:rsidRPr="00B7262B">
        <w:rPr>
          <w:rFonts w:ascii="楷体_GB2312" w:eastAsia="楷体_GB2312" w:hAnsi="Times New Roman" w:cs="Times New Roman" w:hint="eastAsia"/>
          <w:kern w:val="0"/>
          <w:sz w:val="21"/>
          <w:szCs w:val="21"/>
        </w:rPr>
        <w:t>中国汽车市场在经历了2009、2010年45%、32%的高速增长后，由于需求透支、鼓励政策推出、北京限购、日本地震等负面因素影响，2011年增速明显放缓，全年行业增速预计只有3%，重卡市场更是出现了全年13%的下滑幅度。尽管中国汽车保有量仅为50/千人，理论增长前景广阔，但石油、道路等条件的限制使我国汽车长期增长承压。预计没有政策、突发事件冲击的背景下，2012年汽车行业整体增速会有一定的回升，预计在5%-10%区间内。但是，作为需求与产能均存在明显周期性的可选消费行业，明年的乘用车产能投放会对行业的盈利能力造成实质性的影响，而经济环境对商用车需求不利，应当对此抱有谨慎态度。我们认为未来投资机会将多出现在商用车排放升级、城市化带来的公交市场增长，以及不断成熟的售后市场，同时我们对新能源汽车行业产业方向与产业化进程密切关注。</w:t>
      </w:r>
    </w:p>
    <w:p w:rsidR="00F64DFA" w:rsidRPr="00B7262B" w:rsidRDefault="00F64DFA" w:rsidP="00B7262B">
      <w:pPr>
        <w:pStyle w:val="af5"/>
        <w:spacing w:line="276" w:lineRule="auto"/>
        <w:ind w:firstLineChars="1150" w:firstLine="2415"/>
        <w:rPr>
          <w:rFonts w:ascii="楷体_GB2312" w:eastAsia="楷体_GB2312" w:hAnsi="Times New Roman" w:cs="Times New Roman"/>
          <w:kern w:val="0"/>
          <w:sz w:val="21"/>
          <w:szCs w:val="21"/>
        </w:rPr>
      </w:pPr>
      <w:r w:rsidRPr="00B7262B">
        <w:rPr>
          <w:rFonts w:ascii="楷体_GB2312" w:eastAsia="楷体_GB2312" w:hAnsi="Times New Roman" w:cs="Times New Roman" w:hint="eastAsia"/>
          <w:kern w:val="0"/>
          <w:sz w:val="21"/>
          <w:szCs w:val="21"/>
        </w:rPr>
        <w:t>表1  2009-2011我国汽车销量数据表</w:t>
      </w:r>
    </w:p>
    <w:tbl>
      <w:tblPr>
        <w:tblW w:w="7954" w:type="dxa"/>
        <w:tblInd w:w="2518" w:type="dxa"/>
        <w:tblLook w:val="04A0"/>
      </w:tblPr>
      <w:tblGrid>
        <w:gridCol w:w="1074"/>
        <w:gridCol w:w="1480"/>
        <w:gridCol w:w="1320"/>
        <w:gridCol w:w="1220"/>
        <w:gridCol w:w="1440"/>
        <w:gridCol w:w="1420"/>
      </w:tblGrid>
      <w:tr w:rsidR="00F64DFA" w:rsidRPr="00B7262B" w:rsidTr="00B7262B">
        <w:trPr>
          <w:trHeight w:val="345"/>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2009</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2010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2010增速</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2011E</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2011增速E</w:t>
            </w:r>
          </w:p>
        </w:tc>
      </w:tr>
      <w:tr w:rsidR="00F64DFA" w:rsidRPr="00B7262B" w:rsidTr="00B7262B">
        <w:trPr>
          <w:trHeight w:val="34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汽车合计</w:t>
            </w:r>
          </w:p>
        </w:tc>
        <w:tc>
          <w:tcPr>
            <w:tcW w:w="148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1364</w:t>
            </w:r>
          </w:p>
        </w:tc>
        <w:tc>
          <w:tcPr>
            <w:tcW w:w="13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 xml:space="preserve">1804 </w:t>
            </w:r>
          </w:p>
        </w:tc>
        <w:tc>
          <w:tcPr>
            <w:tcW w:w="12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32%</w:t>
            </w:r>
          </w:p>
        </w:tc>
        <w:tc>
          <w:tcPr>
            <w:tcW w:w="144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1861</w:t>
            </w:r>
          </w:p>
        </w:tc>
        <w:tc>
          <w:tcPr>
            <w:tcW w:w="14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3.1%</w:t>
            </w:r>
          </w:p>
        </w:tc>
      </w:tr>
      <w:tr w:rsidR="00F64DFA" w:rsidRPr="00B7262B" w:rsidTr="00B7262B">
        <w:trPr>
          <w:trHeight w:val="34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F64DFA" w:rsidRPr="00B7262B" w:rsidRDefault="00F64DFA" w:rsidP="002E3949">
            <w:pPr>
              <w:jc w:val="right"/>
              <w:rPr>
                <w:rFonts w:ascii="楷体_GB2312" w:eastAsia="楷体_GB2312"/>
                <w:kern w:val="0"/>
              </w:rPr>
            </w:pPr>
            <w:r w:rsidRPr="00B7262B">
              <w:rPr>
                <w:rFonts w:ascii="楷体_GB2312" w:eastAsia="楷体_GB2312" w:hint="eastAsia"/>
                <w:kern w:val="0"/>
              </w:rPr>
              <w:t>其中：轿车</w:t>
            </w:r>
          </w:p>
        </w:tc>
        <w:tc>
          <w:tcPr>
            <w:tcW w:w="148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747</w:t>
            </w:r>
          </w:p>
        </w:tc>
        <w:tc>
          <w:tcPr>
            <w:tcW w:w="13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 xml:space="preserve">949 </w:t>
            </w:r>
          </w:p>
        </w:tc>
        <w:tc>
          <w:tcPr>
            <w:tcW w:w="12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27%</w:t>
            </w:r>
          </w:p>
        </w:tc>
        <w:tc>
          <w:tcPr>
            <w:tcW w:w="144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1020</w:t>
            </w:r>
          </w:p>
        </w:tc>
        <w:tc>
          <w:tcPr>
            <w:tcW w:w="14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7.4%</w:t>
            </w:r>
          </w:p>
        </w:tc>
      </w:tr>
      <w:tr w:rsidR="00F64DFA" w:rsidRPr="00B7262B" w:rsidTr="00B7262B">
        <w:trPr>
          <w:trHeight w:val="34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F64DFA" w:rsidRPr="00B7262B" w:rsidRDefault="00F64DFA" w:rsidP="002E3949">
            <w:pPr>
              <w:jc w:val="right"/>
              <w:rPr>
                <w:rFonts w:ascii="楷体_GB2312" w:eastAsia="楷体_GB2312"/>
                <w:kern w:val="0"/>
              </w:rPr>
            </w:pPr>
            <w:r w:rsidRPr="00B7262B">
              <w:rPr>
                <w:rFonts w:ascii="楷体_GB2312" w:eastAsia="楷体_GB2312" w:hint="eastAsia"/>
                <w:kern w:val="0"/>
              </w:rPr>
              <w:t xml:space="preserve">MPV </w:t>
            </w:r>
          </w:p>
        </w:tc>
        <w:tc>
          <w:tcPr>
            <w:tcW w:w="148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25</w:t>
            </w:r>
          </w:p>
        </w:tc>
        <w:tc>
          <w:tcPr>
            <w:tcW w:w="13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 xml:space="preserve">45 </w:t>
            </w:r>
          </w:p>
        </w:tc>
        <w:tc>
          <w:tcPr>
            <w:tcW w:w="12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78%</w:t>
            </w:r>
          </w:p>
        </w:tc>
        <w:tc>
          <w:tcPr>
            <w:tcW w:w="144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51</w:t>
            </w:r>
          </w:p>
        </w:tc>
        <w:tc>
          <w:tcPr>
            <w:tcW w:w="14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14.5%</w:t>
            </w:r>
          </w:p>
        </w:tc>
      </w:tr>
      <w:tr w:rsidR="00F64DFA" w:rsidRPr="00B7262B" w:rsidTr="00B7262B">
        <w:trPr>
          <w:trHeight w:val="34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F64DFA" w:rsidRPr="00B7262B" w:rsidRDefault="00F64DFA" w:rsidP="002E3949">
            <w:pPr>
              <w:jc w:val="right"/>
              <w:rPr>
                <w:rFonts w:ascii="楷体_GB2312" w:eastAsia="楷体_GB2312"/>
                <w:kern w:val="0"/>
              </w:rPr>
            </w:pPr>
            <w:r w:rsidRPr="00B7262B">
              <w:rPr>
                <w:rFonts w:ascii="楷体_GB2312" w:eastAsia="楷体_GB2312" w:hint="eastAsia"/>
                <w:kern w:val="0"/>
              </w:rPr>
              <w:t>SUV</w:t>
            </w:r>
          </w:p>
        </w:tc>
        <w:tc>
          <w:tcPr>
            <w:tcW w:w="148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66</w:t>
            </w:r>
          </w:p>
        </w:tc>
        <w:tc>
          <w:tcPr>
            <w:tcW w:w="13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 xml:space="preserve">132 </w:t>
            </w:r>
          </w:p>
        </w:tc>
        <w:tc>
          <w:tcPr>
            <w:tcW w:w="12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100%</w:t>
            </w:r>
          </w:p>
        </w:tc>
        <w:tc>
          <w:tcPr>
            <w:tcW w:w="144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156</w:t>
            </w:r>
          </w:p>
        </w:tc>
        <w:tc>
          <w:tcPr>
            <w:tcW w:w="14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18.4%</w:t>
            </w:r>
          </w:p>
        </w:tc>
      </w:tr>
      <w:tr w:rsidR="00F64DFA" w:rsidRPr="00B7262B" w:rsidTr="00B7262B">
        <w:trPr>
          <w:trHeight w:val="34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F64DFA" w:rsidRPr="00B7262B" w:rsidRDefault="00F64DFA" w:rsidP="002E3949">
            <w:pPr>
              <w:jc w:val="right"/>
              <w:rPr>
                <w:rFonts w:ascii="楷体_GB2312" w:eastAsia="楷体_GB2312"/>
                <w:kern w:val="0"/>
              </w:rPr>
            </w:pPr>
            <w:r w:rsidRPr="00B7262B">
              <w:rPr>
                <w:rFonts w:ascii="楷体_GB2312" w:eastAsia="楷体_GB2312" w:hint="eastAsia"/>
                <w:kern w:val="0"/>
              </w:rPr>
              <w:t>轻型卡车</w:t>
            </w:r>
          </w:p>
        </w:tc>
        <w:tc>
          <w:tcPr>
            <w:tcW w:w="148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156</w:t>
            </w:r>
          </w:p>
        </w:tc>
        <w:tc>
          <w:tcPr>
            <w:tcW w:w="13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 xml:space="preserve">195 </w:t>
            </w:r>
          </w:p>
        </w:tc>
        <w:tc>
          <w:tcPr>
            <w:tcW w:w="12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25%</w:t>
            </w:r>
          </w:p>
        </w:tc>
        <w:tc>
          <w:tcPr>
            <w:tcW w:w="144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188</w:t>
            </w:r>
          </w:p>
        </w:tc>
        <w:tc>
          <w:tcPr>
            <w:tcW w:w="14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-3.7%</w:t>
            </w:r>
          </w:p>
        </w:tc>
      </w:tr>
      <w:tr w:rsidR="00F64DFA" w:rsidRPr="00B7262B" w:rsidTr="00B7262B">
        <w:trPr>
          <w:trHeight w:val="34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F64DFA" w:rsidRPr="00B7262B" w:rsidRDefault="00F64DFA" w:rsidP="002E3949">
            <w:pPr>
              <w:jc w:val="right"/>
              <w:rPr>
                <w:rFonts w:ascii="楷体_GB2312" w:eastAsia="楷体_GB2312"/>
                <w:kern w:val="0"/>
              </w:rPr>
            </w:pPr>
            <w:r w:rsidRPr="00B7262B">
              <w:rPr>
                <w:rFonts w:ascii="楷体_GB2312" w:eastAsia="楷体_GB2312" w:hint="eastAsia"/>
                <w:kern w:val="0"/>
              </w:rPr>
              <w:t>重型卡车</w:t>
            </w:r>
          </w:p>
        </w:tc>
        <w:tc>
          <w:tcPr>
            <w:tcW w:w="148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64</w:t>
            </w:r>
          </w:p>
        </w:tc>
        <w:tc>
          <w:tcPr>
            <w:tcW w:w="13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 xml:space="preserve">101 </w:t>
            </w:r>
          </w:p>
        </w:tc>
        <w:tc>
          <w:tcPr>
            <w:tcW w:w="12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59%</w:t>
            </w:r>
          </w:p>
        </w:tc>
        <w:tc>
          <w:tcPr>
            <w:tcW w:w="144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89</w:t>
            </w:r>
          </w:p>
        </w:tc>
        <w:tc>
          <w:tcPr>
            <w:tcW w:w="14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-12.3%</w:t>
            </w:r>
          </w:p>
        </w:tc>
      </w:tr>
      <w:tr w:rsidR="00F64DFA" w:rsidRPr="00B7262B" w:rsidTr="00B7262B">
        <w:trPr>
          <w:trHeight w:val="34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F64DFA" w:rsidRPr="00B7262B" w:rsidRDefault="00F64DFA" w:rsidP="002E3949">
            <w:pPr>
              <w:jc w:val="right"/>
              <w:rPr>
                <w:rFonts w:ascii="楷体_GB2312" w:eastAsia="楷体_GB2312"/>
                <w:kern w:val="0"/>
              </w:rPr>
            </w:pPr>
            <w:r w:rsidRPr="00B7262B">
              <w:rPr>
                <w:rFonts w:ascii="楷体_GB2312" w:eastAsia="楷体_GB2312" w:hint="eastAsia"/>
                <w:kern w:val="0"/>
              </w:rPr>
              <w:t>客车</w:t>
            </w:r>
          </w:p>
        </w:tc>
        <w:tc>
          <w:tcPr>
            <w:tcW w:w="148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35</w:t>
            </w:r>
          </w:p>
        </w:tc>
        <w:tc>
          <w:tcPr>
            <w:tcW w:w="13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 xml:space="preserve">44 </w:t>
            </w:r>
          </w:p>
        </w:tc>
        <w:tc>
          <w:tcPr>
            <w:tcW w:w="12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27%</w:t>
            </w:r>
          </w:p>
        </w:tc>
        <w:tc>
          <w:tcPr>
            <w:tcW w:w="144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49</w:t>
            </w:r>
          </w:p>
        </w:tc>
        <w:tc>
          <w:tcPr>
            <w:tcW w:w="1420" w:type="dxa"/>
            <w:tcBorders>
              <w:top w:val="nil"/>
              <w:left w:val="nil"/>
              <w:bottom w:val="single" w:sz="4" w:space="0" w:color="auto"/>
              <w:right w:val="single" w:sz="4" w:space="0" w:color="auto"/>
            </w:tcBorders>
            <w:shd w:val="clear" w:color="auto" w:fill="auto"/>
            <w:noWrap/>
            <w:vAlign w:val="center"/>
            <w:hideMark/>
          </w:tcPr>
          <w:p w:rsidR="00F64DFA" w:rsidRPr="00B7262B" w:rsidRDefault="00F64DFA" w:rsidP="002E3949">
            <w:pPr>
              <w:rPr>
                <w:rFonts w:ascii="楷体_GB2312" w:eastAsia="楷体_GB2312"/>
                <w:kern w:val="0"/>
              </w:rPr>
            </w:pPr>
            <w:r w:rsidRPr="00B7262B">
              <w:rPr>
                <w:rFonts w:ascii="楷体_GB2312" w:eastAsia="楷体_GB2312" w:hint="eastAsia"/>
                <w:kern w:val="0"/>
              </w:rPr>
              <w:t>10.6%</w:t>
            </w:r>
          </w:p>
        </w:tc>
      </w:tr>
    </w:tbl>
    <w:p w:rsidR="00B7262B" w:rsidRPr="00B7262B" w:rsidRDefault="00B7262B" w:rsidP="00B7262B">
      <w:pPr>
        <w:spacing w:line="276" w:lineRule="auto"/>
        <w:rPr>
          <w:rFonts w:ascii="楷体_GB2312" w:eastAsia="楷体_GB2312"/>
          <w:kern w:val="0"/>
        </w:rPr>
      </w:pPr>
      <w:r>
        <w:rPr>
          <w:rFonts w:ascii="楷体_GB2312" w:eastAsia="楷体_GB2312" w:hint="eastAsia"/>
          <w:kern w:val="0"/>
        </w:rPr>
        <w:t xml:space="preserve">                        </w:t>
      </w:r>
      <w:r w:rsidRPr="00B7262B">
        <w:rPr>
          <w:rFonts w:ascii="楷体_GB2312" w:eastAsia="楷体_GB2312" w:hint="eastAsia"/>
          <w:kern w:val="0"/>
        </w:rPr>
        <w:t xml:space="preserve"> </w:t>
      </w:r>
    </w:p>
    <w:p w:rsidR="00F64DFA" w:rsidRPr="00B7262B" w:rsidRDefault="00B7262B" w:rsidP="00B7262B">
      <w:pPr>
        <w:pStyle w:val="ac"/>
        <w:spacing w:line="276" w:lineRule="auto"/>
        <w:ind w:left="420" w:firstLineChars="850" w:firstLine="1785"/>
        <w:rPr>
          <w:rFonts w:ascii="楷体_GB2312" w:eastAsia="楷体_GB2312" w:hAnsi="Times New Roman" w:cs="Times New Roman"/>
          <w:kern w:val="0"/>
        </w:rPr>
      </w:pPr>
      <w:r>
        <w:rPr>
          <w:rFonts w:ascii="楷体_GB2312" w:eastAsia="楷体_GB2312" w:hAnsi="Times New Roman" w:cs="Times New Roman" w:hint="eastAsia"/>
          <w:kern w:val="0"/>
        </w:rPr>
        <w:t>1、产</w:t>
      </w:r>
      <w:r w:rsidR="00F64DFA" w:rsidRPr="00B7262B">
        <w:rPr>
          <w:rFonts w:ascii="楷体_GB2312" w:eastAsia="楷体_GB2312" w:hAnsi="Times New Roman" w:cs="Times New Roman" w:hint="eastAsia"/>
          <w:kern w:val="0"/>
        </w:rPr>
        <w:t>能周期向下</w:t>
      </w:r>
    </w:p>
    <w:p w:rsidR="00B7262B" w:rsidRDefault="00B7262B" w:rsidP="00B7262B">
      <w:pPr>
        <w:spacing w:line="276" w:lineRule="auto"/>
        <w:ind w:firstLineChars="1000" w:firstLine="2100"/>
        <w:rPr>
          <w:rFonts w:ascii="楷体_GB2312" w:eastAsia="楷体_GB2312"/>
          <w:kern w:val="0"/>
        </w:rPr>
      </w:pPr>
    </w:p>
    <w:p w:rsidR="00F64DFA" w:rsidRPr="00B7262B" w:rsidRDefault="00F64DFA" w:rsidP="00F0798F">
      <w:pPr>
        <w:spacing w:line="276" w:lineRule="auto"/>
        <w:ind w:leftChars="1250" w:left="2625"/>
        <w:rPr>
          <w:rFonts w:ascii="楷体_GB2312" w:eastAsia="楷体_GB2312"/>
          <w:kern w:val="0"/>
        </w:rPr>
      </w:pPr>
      <w:r w:rsidRPr="00B7262B">
        <w:rPr>
          <w:rFonts w:ascii="楷体_GB2312" w:eastAsia="楷体_GB2312" w:hint="eastAsia"/>
          <w:kern w:val="0"/>
        </w:rPr>
        <w:t>2001-2010年10年间，我国汽车销量从235万到1800万，复合增长达到22%，保有量已经达到1亿，我们预计从11年开始我国汽车复合增速将降低到10%的水平，行业不会再出现爆发式增长。</w:t>
      </w:r>
    </w:p>
    <w:p w:rsidR="00B7262B" w:rsidRDefault="00B7262B" w:rsidP="00B7262B">
      <w:pPr>
        <w:spacing w:line="276" w:lineRule="auto"/>
        <w:ind w:leftChars="1000" w:left="2100"/>
        <w:rPr>
          <w:rFonts w:ascii="楷体_GB2312" w:eastAsia="楷体_GB2312"/>
          <w:kern w:val="0"/>
        </w:rPr>
      </w:pPr>
    </w:p>
    <w:p w:rsidR="00F64DFA" w:rsidRPr="00B7262B" w:rsidRDefault="00F64DFA" w:rsidP="00F0798F">
      <w:pPr>
        <w:spacing w:line="276" w:lineRule="auto"/>
        <w:ind w:leftChars="1200" w:left="2520"/>
        <w:rPr>
          <w:rFonts w:ascii="楷体_GB2312" w:eastAsia="楷体_GB2312"/>
          <w:kern w:val="0"/>
        </w:rPr>
      </w:pPr>
      <w:r w:rsidRPr="00B7262B">
        <w:rPr>
          <w:rFonts w:ascii="楷体_GB2312" w:eastAsia="楷体_GB2312" w:hint="eastAsia"/>
          <w:kern w:val="0"/>
        </w:rPr>
        <w:t>汽车行业是需求与产能均具有强周期性的行业。短期来讲，产能周期与需求周期的不断叠加影响行业的盈利情况。从2002年开始，汽车行业大致经历了02-04、06-08、09-11年三个周期，在这三个周期中，行业经历了复苏、繁荣、萧条、衰退的过程，需求回升使盈利能力大幅上涨，新产能投放使盈利下降。我们预计2012年仍然是一个产能周期向下的环节，即便是需求向好，行业盈利也不回有较大幅度的回升。</w:t>
      </w:r>
    </w:p>
    <w:p w:rsidR="00B7262B" w:rsidRDefault="00B7262B" w:rsidP="00B7262B">
      <w:pPr>
        <w:pStyle w:val="ac"/>
        <w:spacing w:line="276" w:lineRule="auto"/>
        <w:ind w:left="420" w:firstLineChars="800" w:firstLine="1680"/>
        <w:rPr>
          <w:rFonts w:ascii="楷体_GB2312" w:eastAsia="楷体_GB2312" w:hAnsi="Times New Roman" w:cs="Times New Roman"/>
          <w:kern w:val="0"/>
        </w:rPr>
      </w:pPr>
    </w:p>
    <w:p w:rsidR="00F64DFA" w:rsidRPr="00B7262B" w:rsidRDefault="00B7262B" w:rsidP="00B7262B">
      <w:pPr>
        <w:pStyle w:val="ac"/>
        <w:spacing w:line="276" w:lineRule="auto"/>
        <w:ind w:left="420" w:firstLineChars="800" w:firstLine="1680"/>
        <w:rPr>
          <w:rFonts w:ascii="楷体_GB2312" w:eastAsia="楷体_GB2312" w:hAnsi="Times New Roman" w:cs="Times New Roman"/>
          <w:kern w:val="0"/>
        </w:rPr>
      </w:pPr>
      <w:r>
        <w:rPr>
          <w:rFonts w:ascii="楷体_GB2312" w:eastAsia="楷体_GB2312" w:hAnsi="Times New Roman" w:cs="Times New Roman" w:hint="eastAsia"/>
          <w:kern w:val="0"/>
        </w:rPr>
        <w:t>2、</w:t>
      </w:r>
      <w:r w:rsidR="00F64DFA" w:rsidRPr="00B7262B">
        <w:rPr>
          <w:rFonts w:ascii="楷体_GB2312" w:eastAsia="楷体_GB2312" w:hAnsi="Times New Roman" w:cs="Times New Roman" w:hint="eastAsia"/>
          <w:kern w:val="0"/>
        </w:rPr>
        <w:t>政策环境中性</w:t>
      </w:r>
    </w:p>
    <w:p w:rsidR="002412EB" w:rsidRDefault="002412EB" w:rsidP="00F64DFA">
      <w:pPr>
        <w:spacing w:line="276" w:lineRule="auto"/>
        <w:ind w:firstLineChars="200" w:firstLine="420"/>
        <w:rPr>
          <w:rFonts w:ascii="楷体_GB2312" w:eastAsia="楷体_GB2312"/>
          <w:kern w:val="0"/>
        </w:rPr>
      </w:pPr>
    </w:p>
    <w:p w:rsidR="00F64DFA" w:rsidRPr="00B7262B" w:rsidRDefault="00F64DFA" w:rsidP="00F0798F">
      <w:pPr>
        <w:spacing w:line="276" w:lineRule="auto"/>
        <w:ind w:leftChars="1150" w:left="2415"/>
        <w:rPr>
          <w:rFonts w:ascii="楷体_GB2312" w:eastAsia="楷体_GB2312"/>
          <w:kern w:val="0"/>
        </w:rPr>
      </w:pPr>
      <w:r w:rsidRPr="00B7262B">
        <w:rPr>
          <w:rFonts w:ascii="楷体_GB2312" w:eastAsia="楷体_GB2312" w:hint="eastAsia"/>
          <w:kern w:val="0"/>
        </w:rPr>
        <w:t>2011年购置税减免、以旧换新等政策退出，影响了行业需求，北京等地也出台了限购措</w:t>
      </w:r>
      <w:r w:rsidRPr="00B7262B">
        <w:rPr>
          <w:rFonts w:ascii="楷体_GB2312" w:eastAsia="楷体_GB2312" w:hint="eastAsia"/>
          <w:kern w:val="0"/>
        </w:rPr>
        <w:lastRenderedPageBreak/>
        <w:t>施。目前国家对汽车行业的产能问题比较重视，过多的刺激只会让未来的产能过剩问题恶化，同时由于汽车行业属于污染、耗能行业，预计2012年政策面不会出台支持等措施，应保持中性环境。值得注意的是，解决汽车对能源的消耗以及对环境的污染问题是符合国家产业规划的主题，在这些环节政策应是比较支持的。</w:t>
      </w:r>
    </w:p>
    <w:p w:rsidR="00F64DFA" w:rsidRPr="002412EB" w:rsidRDefault="00F64DFA" w:rsidP="00164BC2">
      <w:pPr>
        <w:pStyle w:val="ac"/>
        <w:numPr>
          <w:ilvl w:val="0"/>
          <w:numId w:val="14"/>
        </w:numPr>
        <w:spacing w:line="276" w:lineRule="auto"/>
        <w:ind w:firstLineChars="0"/>
        <w:rPr>
          <w:rFonts w:ascii="楷体_GB2312" w:eastAsia="楷体_GB2312"/>
          <w:kern w:val="0"/>
        </w:rPr>
      </w:pPr>
      <w:r w:rsidRPr="002412EB">
        <w:rPr>
          <w:rFonts w:ascii="楷体_GB2312" w:eastAsia="楷体_GB2312" w:hint="eastAsia"/>
          <w:kern w:val="0"/>
        </w:rPr>
        <w:t>乘用车行业</w:t>
      </w:r>
    </w:p>
    <w:p w:rsidR="00F64DFA" w:rsidRPr="00B7262B" w:rsidRDefault="00F64DFA" w:rsidP="00F0798F">
      <w:pPr>
        <w:spacing w:line="276" w:lineRule="auto"/>
        <w:ind w:leftChars="1150" w:left="2415" w:firstLineChars="50" w:firstLine="105"/>
        <w:rPr>
          <w:rFonts w:ascii="楷体_GB2312" w:eastAsia="楷体_GB2312"/>
          <w:kern w:val="0"/>
        </w:rPr>
      </w:pPr>
      <w:r w:rsidRPr="00B7262B">
        <w:rPr>
          <w:rFonts w:ascii="楷体_GB2312" w:eastAsia="楷体_GB2312" w:hint="eastAsia"/>
          <w:kern w:val="0"/>
        </w:rPr>
        <w:t>2011年乘用车行业增速约5%，行业明显出现了结构分化，欧美系保持了较好的增速，日系由于地震影响增速放缓，自主品牌负增长。行业整体ROE保持在较高的位置，2012年下半年开始，34家主要乘用车厂商376万新增产能将陆续投产，合资品牌增长26%，自主品牌增长20%，厂商产能利用水的下降以及可能出现的价格下降趋势将会使厂商的</w:t>
      </w:r>
      <w:r w:rsidR="009B6B4C">
        <w:rPr>
          <w:rFonts w:ascii="楷体_GB2312" w:eastAsia="楷体_GB2312" w:hint="eastAsia"/>
          <w:kern w:val="0"/>
        </w:rPr>
        <w:t>盈利开始恶化。因此，尽管增速适中，我们对乘用车整车企业盈利情况</w:t>
      </w:r>
      <w:r w:rsidRPr="00B7262B">
        <w:rPr>
          <w:rFonts w:ascii="楷体_GB2312" w:eastAsia="楷体_GB2312" w:hint="eastAsia"/>
          <w:kern w:val="0"/>
        </w:rPr>
        <w:t>不乐观。</w:t>
      </w:r>
    </w:p>
    <w:p w:rsidR="00F64DFA" w:rsidRPr="002412EB" w:rsidRDefault="00F0798F" w:rsidP="00164BC2">
      <w:pPr>
        <w:pStyle w:val="ac"/>
        <w:numPr>
          <w:ilvl w:val="0"/>
          <w:numId w:val="14"/>
        </w:numPr>
        <w:spacing w:line="276" w:lineRule="auto"/>
        <w:ind w:firstLineChars="0"/>
        <w:rPr>
          <w:rFonts w:ascii="楷体_GB2312" w:eastAsia="楷体_GB2312"/>
          <w:kern w:val="0"/>
        </w:rPr>
      </w:pPr>
      <w:r w:rsidRPr="00B7262B">
        <w:rPr>
          <w:rFonts w:ascii="楷体_GB2312" w:eastAsia="楷体_GB2312" w:hAnsi="Times New Roman" w:cs="Times New Roman" w:hint="eastAsia"/>
          <w:kern w:val="0"/>
        </w:rPr>
        <w:t>重卡行业</w:t>
      </w:r>
    </w:p>
    <w:p w:rsidR="00F64DFA" w:rsidRDefault="00F64DFA" w:rsidP="00F0798F">
      <w:pPr>
        <w:spacing w:line="276" w:lineRule="auto"/>
        <w:ind w:leftChars="1100" w:left="2310"/>
        <w:rPr>
          <w:rFonts w:ascii="楷体_GB2312" w:eastAsia="楷体_GB2312"/>
          <w:kern w:val="0"/>
        </w:rPr>
      </w:pPr>
      <w:r w:rsidRPr="00B7262B">
        <w:rPr>
          <w:rFonts w:ascii="楷体_GB2312" w:eastAsia="楷体_GB2312" w:hint="eastAsia"/>
          <w:kern w:val="0"/>
        </w:rPr>
        <w:t>重卡行业与固定资产投资增速、出口增速相关性很高。在2010</w:t>
      </w:r>
      <w:r w:rsidR="00F0798F">
        <w:rPr>
          <w:rFonts w:ascii="楷体_GB2312" w:eastAsia="楷体_GB2312" w:hint="eastAsia"/>
          <w:kern w:val="0"/>
        </w:rPr>
        <w:t>年的需求刺激下，</w:t>
      </w:r>
      <w:r w:rsidRPr="00B7262B">
        <w:rPr>
          <w:rFonts w:ascii="楷体_GB2312" w:eastAsia="楷体_GB2312" w:hint="eastAsia"/>
          <w:kern w:val="0"/>
        </w:rPr>
        <w:t>重卡行业全年增速达到近60%，销量超过100万辆，大幅透支了需求，造成了过剩的运力。在2011年固定资产投资增速下降，经济放缓的背景下，重卡行业自2季度开始同比下滑幅度不断增大，全年预计负增长13%。在房地产调控、基建投资下滑、出口环境不乐观的2012年，我们认为重卡行业尽管下滑不会如此巨大，但也很难取得增</w:t>
      </w:r>
      <w:r w:rsidR="00D2216D">
        <w:rPr>
          <w:rFonts w:ascii="楷体_GB2312" w:eastAsia="楷体_GB2312" w:hint="eastAsia"/>
          <w:kern w:val="0"/>
        </w:rPr>
        <w:t>长</w:t>
      </w:r>
      <w:r w:rsidRPr="00B7262B">
        <w:rPr>
          <w:rFonts w:ascii="楷体_GB2312" w:eastAsia="楷体_GB2312" w:hint="eastAsia"/>
          <w:kern w:val="0"/>
        </w:rPr>
        <w:t>，行业的需求多来自于更新需求，而非新增需求。2011年7月起，我国实施了《公路安全保护条例》，加强了对超载的治理，但各地执行力度不同，效果尚不明显，是否能增加新的需求还依赖于条例实施力度。</w:t>
      </w:r>
    </w:p>
    <w:p w:rsidR="00F0798F" w:rsidRPr="00B7262B" w:rsidRDefault="00F0798F" w:rsidP="00164BC2">
      <w:pPr>
        <w:pStyle w:val="ac"/>
        <w:numPr>
          <w:ilvl w:val="0"/>
          <w:numId w:val="14"/>
        </w:numPr>
        <w:spacing w:line="276" w:lineRule="auto"/>
        <w:ind w:firstLineChars="0"/>
        <w:rPr>
          <w:rFonts w:ascii="楷体_GB2312" w:eastAsia="楷体_GB2312" w:hAnsi="Times New Roman" w:cs="Times New Roman"/>
          <w:kern w:val="0"/>
        </w:rPr>
      </w:pPr>
      <w:r w:rsidRPr="00B7262B">
        <w:rPr>
          <w:rFonts w:ascii="楷体_GB2312" w:eastAsia="楷体_GB2312" w:hAnsi="Times New Roman" w:cs="Times New Roman" w:hint="eastAsia"/>
          <w:kern w:val="0"/>
        </w:rPr>
        <w:t>客车行业</w:t>
      </w:r>
    </w:p>
    <w:p w:rsidR="00F64DFA" w:rsidRPr="00B7262B" w:rsidRDefault="00F0798F" w:rsidP="00F0798F">
      <w:pPr>
        <w:pStyle w:val="ac"/>
        <w:spacing w:line="276" w:lineRule="auto"/>
        <w:ind w:leftChars="150" w:left="2415" w:hangingChars="1000" w:hanging="2100"/>
        <w:rPr>
          <w:rFonts w:ascii="楷体_GB2312" w:eastAsia="楷体_GB2312" w:hAnsi="Times New Roman" w:cs="Times New Roman"/>
          <w:kern w:val="0"/>
        </w:rPr>
      </w:pPr>
      <w:r>
        <w:rPr>
          <w:rFonts w:ascii="楷体_GB2312" w:eastAsia="楷体_GB2312" w:hAnsi="Times New Roman" w:cs="Times New Roman" w:hint="eastAsia"/>
          <w:kern w:val="0"/>
        </w:rPr>
        <w:t xml:space="preserve">                    </w:t>
      </w:r>
      <w:r w:rsidR="00F64DFA" w:rsidRPr="00B7262B">
        <w:rPr>
          <w:rFonts w:ascii="楷体_GB2312" w:eastAsia="楷体_GB2312" w:hAnsi="Times New Roman" w:cs="Times New Roman" w:hint="eastAsia"/>
          <w:kern w:val="0"/>
        </w:rPr>
        <w:t>客车行业是个稳定增长的行业，目前行业以及形成了寡头垄断格局，稳定的更新需求以及城市化带来的新增需求使行业增速稳定在10%左右。11年底发生的多起校车严重车祸促使校车行业规范的出台，这部分需求将在一定程度上提高行业增速，未来将关注行业内龙头公司。</w:t>
      </w:r>
    </w:p>
    <w:p w:rsidR="00F64DFA" w:rsidRPr="00F0798F" w:rsidRDefault="00F64DFA" w:rsidP="00164BC2">
      <w:pPr>
        <w:pStyle w:val="ac"/>
        <w:numPr>
          <w:ilvl w:val="0"/>
          <w:numId w:val="14"/>
        </w:numPr>
        <w:spacing w:line="276" w:lineRule="auto"/>
        <w:ind w:firstLineChars="0"/>
        <w:rPr>
          <w:rFonts w:ascii="楷体_GB2312" w:eastAsia="楷体_GB2312" w:hAnsi="Times New Roman" w:cs="Times New Roman"/>
          <w:kern w:val="0"/>
        </w:rPr>
      </w:pPr>
      <w:r w:rsidRPr="00F0798F">
        <w:rPr>
          <w:rFonts w:ascii="楷体_GB2312" w:eastAsia="楷体_GB2312" w:hAnsi="Times New Roman" w:cs="Times New Roman" w:hint="eastAsia"/>
          <w:kern w:val="0"/>
        </w:rPr>
        <w:t>零部件行业</w:t>
      </w:r>
    </w:p>
    <w:p w:rsidR="00F64DFA" w:rsidRPr="00B7262B" w:rsidRDefault="00F64DFA" w:rsidP="00F0798F">
      <w:pPr>
        <w:spacing w:line="276" w:lineRule="auto"/>
        <w:ind w:leftChars="1100" w:left="2310"/>
        <w:rPr>
          <w:rFonts w:ascii="楷体_GB2312" w:eastAsia="楷体_GB2312"/>
          <w:kern w:val="0"/>
        </w:rPr>
      </w:pPr>
      <w:r w:rsidRPr="00B7262B">
        <w:rPr>
          <w:rFonts w:ascii="楷体_GB2312" w:eastAsia="楷体_GB2312" w:hint="eastAsia"/>
          <w:kern w:val="0"/>
        </w:rPr>
        <w:t>行业增速从平均20%的高速增长期进入了平均10%的平稳增长期，行业的整体销量增速放缓，但巨大的销量对保有量的提升效果明显，目前我国机动车保有量已经达到1亿辆。我们仍将寻找行业内的两类公司，一是具有较强的技术研发、生产制造能力、能参与国际产业转移的公司，二是在维修市场不断做大的公司。</w:t>
      </w:r>
    </w:p>
    <w:p w:rsidR="00F64DFA" w:rsidRPr="00F0798F" w:rsidRDefault="00F64DFA" w:rsidP="00164BC2">
      <w:pPr>
        <w:pStyle w:val="ac"/>
        <w:numPr>
          <w:ilvl w:val="0"/>
          <w:numId w:val="14"/>
        </w:numPr>
        <w:spacing w:line="276" w:lineRule="auto"/>
        <w:ind w:firstLineChars="0"/>
        <w:rPr>
          <w:rFonts w:ascii="楷体_GB2312" w:eastAsia="楷体_GB2312" w:hAnsi="Times New Roman" w:cs="Times New Roman"/>
          <w:kern w:val="0"/>
        </w:rPr>
      </w:pPr>
      <w:r w:rsidRPr="00F0798F">
        <w:rPr>
          <w:rFonts w:ascii="楷体_GB2312" w:eastAsia="楷体_GB2312" w:hAnsi="Times New Roman" w:cs="Times New Roman" w:hint="eastAsia"/>
          <w:kern w:val="0"/>
        </w:rPr>
        <w:t>柴油机动车排放升级</w:t>
      </w:r>
    </w:p>
    <w:p w:rsidR="00F64DFA" w:rsidRPr="00B7262B" w:rsidRDefault="00F64DFA" w:rsidP="00F0798F">
      <w:pPr>
        <w:spacing w:line="276" w:lineRule="auto"/>
        <w:ind w:leftChars="1150" w:left="2415"/>
        <w:rPr>
          <w:rFonts w:ascii="楷体_GB2312" w:eastAsia="楷体_GB2312"/>
          <w:kern w:val="0"/>
        </w:rPr>
      </w:pPr>
      <w:r w:rsidRPr="00B7262B">
        <w:rPr>
          <w:rFonts w:ascii="楷体_GB2312" w:eastAsia="楷体_GB2312" w:hint="eastAsia"/>
          <w:kern w:val="0"/>
        </w:rPr>
        <w:t>汽车排放污染物主要有HC（碳氢化合物）、NOx（氮氧合物）、CO（一氧化碳）、PM（微粒）等，随着城市汽车保有量的不断增加，汽车尾气排放物对人类健康的威胁引起了重视，开始推行排放标准，控制和减少汽车排放污染物到规定数值以下的标准。</w:t>
      </w:r>
    </w:p>
    <w:p w:rsidR="00F64DFA" w:rsidRPr="00B7262B" w:rsidRDefault="00F64DFA" w:rsidP="00F0798F">
      <w:pPr>
        <w:spacing w:line="276" w:lineRule="auto"/>
        <w:ind w:leftChars="1150" w:left="2415"/>
        <w:rPr>
          <w:rFonts w:ascii="楷体_GB2312" w:eastAsia="楷体_GB2312"/>
          <w:kern w:val="0"/>
        </w:rPr>
      </w:pPr>
      <w:r w:rsidRPr="00B7262B">
        <w:rPr>
          <w:rFonts w:ascii="楷体_GB2312" w:eastAsia="楷体_GB2312" w:hint="eastAsia"/>
          <w:kern w:val="0"/>
        </w:rPr>
        <w:t>欧洲从1992年开始，每隔四年升一级，已经达到了欧四标准，预计2012年将实施柴油机国五标准。我国规划重型与</w:t>
      </w:r>
      <w:proofErr w:type="gramStart"/>
      <w:r w:rsidRPr="00B7262B">
        <w:rPr>
          <w:rFonts w:ascii="楷体_GB2312" w:eastAsia="楷体_GB2312" w:hint="eastAsia"/>
          <w:kern w:val="0"/>
        </w:rPr>
        <w:t>轻型车国四</w:t>
      </w:r>
      <w:proofErr w:type="gramEnd"/>
      <w:r w:rsidRPr="00B7262B">
        <w:rPr>
          <w:rFonts w:ascii="楷体_GB2312" w:eastAsia="楷体_GB2312" w:hint="eastAsia"/>
          <w:kern w:val="0"/>
        </w:rPr>
        <w:t>排放标准从2010年1月与2010年7月开始实施，但方案被拖后到2012年1月与2013年7月开始实施，但到目前</w:t>
      </w:r>
      <w:r w:rsidR="00D2216D">
        <w:rPr>
          <w:rFonts w:ascii="楷体_GB2312" w:eastAsia="楷体_GB2312" w:hint="eastAsia"/>
          <w:kern w:val="0"/>
        </w:rPr>
        <w:t>为止</w:t>
      </w:r>
      <w:r w:rsidRPr="00B7262B">
        <w:rPr>
          <w:rFonts w:ascii="楷体_GB2312" w:eastAsia="楷体_GB2312" w:hint="eastAsia"/>
          <w:kern w:val="0"/>
        </w:rPr>
        <w:t>没有出台新的通知，国</w:t>
      </w:r>
      <w:proofErr w:type="gramStart"/>
      <w:r w:rsidRPr="00B7262B">
        <w:rPr>
          <w:rFonts w:ascii="楷体_GB2312" w:eastAsia="楷体_GB2312" w:hint="eastAsia"/>
          <w:kern w:val="0"/>
        </w:rPr>
        <w:t>四标准</w:t>
      </w:r>
      <w:proofErr w:type="gramEnd"/>
      <w:r w:rsidRPr="00B7262B">
        <w:rPr>
          <w:rFonts w:ascii="楷体_GB2312" w:eastAsia="楷体_GB2312" w:hint="eastAsia"/>
          <w:kern w:val="0"/>
        </w:rPr>
        <w:t>的再次推迟已成定局，预计该标准将在2013年实施，届时将会催生广阔的后处理市场与电控燃油系统市场，我们将关注有核心技术优势，能在竞争中占据优势</w:t>
      </w:r>
      <w:r w:rsidRPr="00B7262B">
        <w:rPr>
          <w:rFonts w:ascii="楷体_GB2312" w:eastAsia="楷体_GB2312" w:hint="eastAsia"/>
          <w:kern w:val="0"/>
        </w:rPr>
        <w:lastRenderedPageBreak/>
        <w:t>的公司。</w:t>
      </w:r>
    </w:p>
    <w:p w:rsidR="00F64DFA" w:rsidRPr="00F0798F" w:rsidRDefault="00F64DFA" w:rsidP="00164BC2">
      <w:pPr>
        <w:pStyle w:val="ac"/>
        <w:numPr>
          <w:ilvl w:val="0"/>
          <w:numId w:val="14"/>
        </w:numPr>
        <w:spacing w:line="276" w:lineRule="auto"/>
        <w:ind w:firstLineChars="0"/>
        <w:rPr>
          <w:rFonts w:ascii="楷体_GB2312" w:eastAsia="楷体_GB2312" w:hAnsi="Times New Roman" w:cs="Times New Roman"/>
          <w:kern w:val="0"/>
        </w:rPr>
      </w:pPr>
      <w:r w:rsidRPr="00F0798F">
        <w:rPr>
          <w:rFonts w:ascii="楷体_GB2312" w:eastAsia="楷体_GB2312" w:hAnsi="Times New Roman" w:cs="Times New Roman" w:hint="eastAsia"/>
          <w:kern w:val="0"/>
        </w:rPr>
        <w:t>新能源汽车</w:t>
      </w:r>
    </w:p>
    <w:p w:rsidR="00C205F5" w:rsidRDefault="00F64DFA" w:rsidP="00F0798F">
      <w:pPr>
        <w:autoSpaceDE w:val="0"/>
        <w:autoSpaceDN w:val="0"/>
        <w:adjustRightInd w:val="0"/>
        <w:spacing w:line="320" w:lineRule="exact"/>
        <w:ind w:leftChars="1150" w:left="2415"/>
        <w:jc w:val="left"/>
        <w:rPr>
          <w:rFonts w:ascii="楷体_GB2312" w:eastAsia="楷体_GB2312"/>
          <w:kern w:val="0"/>
        </w:rPr>
      </w:pPr>
      <w:r w:rsidRPr="00B7262B">
        <w:rPr>
          <w:rFonts w:ascii="楷体_GB2312" w:eastAsia="楷体_GB2312" w:hint="eastAsia"/>
          <w:kern w:val="0"/>
        </w:rPr>
        <w:t>我国石油对外依赖度已经超过50%的国际警戒线，发展新能源汽车势在必行，国家层面也出台了相应的政策与技术标准来推动产业的发展。但在产业初期，市场规模较小，2010年销量仅为2万辆，其中约90%为混合动力，其中主要来自于“十城千辆”规划催生的客车需求。由于基础设施不完善，购置成本较高等因素，当政策刺激带来的需求释放结束后，来自市场的私人部门需求较少。产业的要在生产者大规模产业化降低成本的条件下开始提速，这一环节的关键还是在于关键零部件企业的核心技术突破，我们仍然主要关注电池、电机等核心零部件，并积极寻找能实现技术突破的企业。</w:t>
      </w:r>
    </w:p>
    <w:p w:rsidR="00DC28EC" w:rsidRDefault="00DC28EC" w:rsidP="00F0798F">
      <w:pPr>
        <w:autoSpaceDE w:val="0"/>
        <w:autoSpaceDN w:val="0"/>
        <w:adjustRightInd w:val="0"/>
        <w:spacing w:line="320" w:lineRule="exact"/>
        <w:ind w:leftChars="1150" w:left="2415"/>
        <w:jc w:val="left"/>
        <w:rPr>
          <w:rFonts w:ascii="楷体_GB2312" w:eastAsia="楷体_GB2312"/>
          <w:kern w:val="0"/>
        </w:rPr>
      </w:pPr>
    </w:p>
    <w:p w:rsidR="00097DFD" w:rsidRDefault="00DC28EC" w:rsidP="008B0962">
      <w:pPr>
        <w:pStyle w:val="1"/>
        <w:numPr>
          <w:ilvl w:val="0"/>
          <w:numId w:val="4"/>
        </w:numPr>
        <w:spacing w:beforeLines="50" w:afterLines="50" w:line="480" w:lineRule="auto"/>
        <w:ind w:left="2705"/>
        <w:rPr>
          <w:rFonts w:ascii="楷体_GB2312" w:eastAsia="楷体_GB2312"/>
          <w:bCs w:val="0"/>
          <w:kern w:val="0"/>
          <w:sz w:val="21"/>
          <w:szCs w:val="21"/>
        </w:rPr>
      </w:pPr>
      <w:bookmarkStart w:id="59" w:name="_Toc313737765"/>
      <w:r w:rsidRPr="00DC28EC">
        <w:rPr>
          <w:rFonts w:ascii="楷体_GB2312" w:eastAsia="楷体_GB2312" w:hint="eastAsia"/>
          <w:bCs w:val="0"/>
          <w:kern w:val="0"/>
          <w:sz w:val="21"/>
          <w:szCs w:val="21"/>
        </w:rPr>
        <w:t>电子行业</w:t>
      </w:r>
      <w:bookmarkEnd w:id="59"/>
    </w:p>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我们判断2012年电子行业整体景气是个探底回升的过程，但是回升幅度有限，因此整个板块性的机会比较难，相对于2011年全板块无机会，我们更看好2012年的个股机会。</w:t>
      </w:r>
    </w:p>
    <w:p w:rsid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从挑个股的时点看，2010年底电子板块在历史新高附近，从该板块选股票，相当于从踩高跷的人群中挑高个，即使挑中的也是高高在上，成功的概率太低。在2011年底这个时点，电子板块经过一轮轮利空袭击，大部分都已经打趴下，这时选股票相当于从矮个中挑高个，这时候正是从选股的好时机。</w:t>
      </w:r>
    </w:p>
    <w:p w:rsidR="00E67D48" w:rsidRPr="00DC28EC" w:rsidRDefault="00E67D48" w:rsidP="00DC28EC">
      <w:pPr>
        <w:autoSpaceDE w:val="0"/>
        <w:autoSpaceDN w:val="0"/>
        <w:adjustRightInd w:val="0"/>
        <w:spacing w:line="320" w:lineRule="exact"/>
        <w:ind w:leftChars="1150" w:left="2415"/>
        <w:jc w:val="left"/>
        <w:rPr>
          <w:rFonts w:ascii="楷体_GB2312" w:eastAsia="楷体_GB2312"/>
          <w:kern w:val="0"/>
        </w:rPr>
      </w:pPr>
    </w:p>
    <w:p w:rsidR="00E67D48"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综上所述，配置电子板块，我们有三大核心思路：首先，符合未来方向的新技术、新需求和新产品；其次，全球产业链分工地位提升的公司，主要受益的公司；再次，景气回升过程中高弹性的优质企业</w:t>
      </w:r>
      <w:r w:rsidR="00E67D48">
        <w:rPr>
          <w:rFonts w:ascii="楷体_GB2312" w:eastAsia="楷体_GB2312" w:hint="eastAsia"/>
          <w:kern w:val="0"/>
        </w:rPr>
        <w:t>。</w:t>
      </w:r>
    </w:p>
    <w:p w:rsidR="00E67D48" w:rsidRDefault="00E67D48" w:rsidP="00DC28EC">
      <w:pPr>
        <w:autoSpaceDE w:val="0"/>
        <w:autoSpaceDN w:val="0"/>
        <w:adjustRightInd w:val="0"/>
        <w:spacing w:line="320" w:lineRule="exact"/>
        <w:ind w:leftChars="1150" w:left="2415"/>
        <w:jc w:val="left"/>
        <w:rPr>
          <w:rFonts w:ascii="楷体_GB2312" w:eastAsia="楷体_GB2312"/>
          <w:kern w:val="0"/>
        </w:rPr>
      </w:pPr>
    </w:p>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一、2011年行业回顾：从顶点回到起点</w:t>
      </w:r>
    </w:p>
    <w:p w:rsidR="00E67D48" w:rsidRDefault="00E67D48" w:rsidP="00E67D48">
      <w:pPr>
        <w:autoSpaceDE w:val="0"/>
        <w:autoSpaceDN w:val="0"/>
        <w:adjustRightInd w:val="0"/>
        <w:spacing w:line="320" w:lineRule="exact"/>
        <w:ind w:leftChars="1150" w:left="2415"/>
        <w:jc w:val="left"/>
        <w:rPr>
          <w:rFonts w:ascii="楷体_GB2312" w:eastAsia="楷体_GB2312"/>
          <w:kern w:val="0"/>
        </w:rPr>
      </w:pPr>
    </w:p>
    <w:p w:rsidR="00E67D48" w:rsidRPr="00DC28EC" w:rsidRDefault="00DC28EC" w:rsidP="00E67D48">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2010年电子行业达到了历史新高。宏观层面全球经济复苏、消费需求反弹，行业层面以苹果为代表创新企业创造新需求、供给失衡以及金融危机后整体库存水平仍然偏低，企业层面高产能利用率、产品价格平稳甚至上升、成本压力小以及宽松的信贷有利于扩产等，各个层面的表现都如此完美，只有2000年网络泡沫期间才可以相媲美。同时电子元器件行业的净利润增速居于各行业前列，且利润增速明显高于收入增速，政策面又有新兴产业扶持政策，电子行业对其他行业的相对优势更加突出，各种利好因素交集形成的共振，造就了2010年电子行业的大牛市，电子板块也在这年达到了10年以来的高点。</w:t>
      </w:r>
    </w:p>
    <w:p w:rsidR="00DC28EC" w:rsidRDefault="00DC28EC" w:rsidP="00DC28EC">
      <w:pPr>
        <w:autoSpaceDE w:val="0"/>
        <w:autoSpaceDN w:val="0"/>
        <w:adjustRightInd w:val="0"/>
        <w:spacing w:line="320" w:lineRule="exact"/>
        <w:ind w:leftChars="1150" w:left="2415"/>
        <w:jc w:val="left"/>
        <w:rPr>
          <w:rFonts w:ascii="楷体_GB2312" w:eastAsia="楷体_GB2312"/>
          <w:kern w:val="0"/>
        </w:rPr>
      </w:pPr>
    </w:p>
    <w:p w:rsidR="007D00FD" w:rsidRPr="00DC28EC" w:rsidRDefault="007D00FD"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2011年电子行业几乎经历了所有利空因素，与前一年形成的巨大预期差，到年底，行业</w:t>
      </w:r>
      <w:r>
        <w:rPr>
          <w:rFonts w:ascii="楷体_GB2312" w:eastAsia="楷体_GB2312" w:hint="eastAsia"/>
          <w:kern w:val="0"/>
        </w:rPr>
        <w:t xml:space="preserve">    </w:t>
      </w:r>
      <w:r w:rsidRPr="00DC28EC">
        <w:rPr>
          <w:rFonts w:ascii="楷体_GB2312" w:eastAsia="楷体_GB2312" w:hint="eastAsia"/>
          <w:kern w:val="0"/>
        </w:rPr>
        <w:t>指数也回到了2009年的起点。2011年各种利空侵袭电子行业，2010年的利好因素都相继转变成利空。宏观经济向下波动，导致全球需求增长的放缓，行业面临产能利用率和产品价格的快速下降、成本（原材料和人力成本）的快速提升，库存水位上升。从收入和利润增速来看，与其他行业相比已经没有优势。所有利好因素转向，与2010年的大环境相比形成明显的预期，业绩预期纷纷大幅下调，电子板块大跌也就没必要大惊小怪。同时大盘系统性风险导致的估值中枢下移，进一步加剧了行业的调整。2011年电子行业几乎经历了所有大家可以想象到的行业利空因素，经过那么多利空袭击之后，大部分公司</w:t>
      </w:r>
      <w:r w:rsidRPr="00DC28EC">
        <w:rPr>
          <w:rFonts w:ascii="楷体_GB2312" w:eastAsia="楷体_GB2312" w:hint="eastAsia"/>
          <w:kern w:val="0"/>
        </w:rPr>
        <w:lastRenderedPageBreak/>
        <w:t>股价也回到了底部区域。</w:t>
      </w:r>
    </w:p>
    <w:tbl>
      <w:tblPr>
        <w:tblW w:w="9540" w:type="dxa"/>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40"/>
      </w:tblGrid>
      <w:tr w:rsidR="00E67D48" w:rsidRPr="00DC28EC" w:rsidTr="007D00FD">
        <w:trPr>
          <w:trHeight w:val="3092"/>
        </w:trPr>
        <w:tc>
          <w:tcPr>
            <w:tcW w:w="9540" w:type="dxa"/>
            <w:tcBorders>
              <w:top w:val="nil"/>
              <w:left w:val="nil"/>
              <w:bottom w:val="nil"/>
              <w:right w:val="nil"/>
            </w:tcBorders>
          </w:tcPr>
          <w:p w:rsidR="00E67D48" w:rsidRDefault="007D00FD" w:rsidP="007D00FD">
            <w:pPr>
              <w:autoSpaceDE w:val="0"/>
              <w:autoSpaceDN w:val="0"/>
              <w:adjustRightInd w:val="0"/>
              <w:spacing w:line="320" w:lineRule="exact"/>
              <w:jc w:val="left"/>
              <w:rPr>
                <w:rFonts w:ascii="楷体_GB2312" w:eastAsia="楷体_GB2312"/>
                <w:kern w:val="0"/>
              </w:rPr>
            </w:pPr>
            <w:r>
              <w:rPr>
                <w:rFonts w:ascii="楷体_GB2312" w:eastAsia="楷体_GB2312" w:hint="eastAsia"/>
                <w:kern w:val="0"/>
              </w:rPr>
              <w:t xml:space="preserve">             </w:t>
            </w:r>
          </w:p>
          <w:p w:rsidR="007D00FD" w:rsidRDefault="007D00FD" w:rsidP="007D00FD">
            <w:pPr>
              <w:autoSpaceDE w:val="0"/>
              <w:autoSpaceDN w:val="0"/>
              <w:adjustRightInd w:val="0"/>
              <w:spacing w:line="320" w:lineRule="exact"/>
              <w:jc w:val="left"/>
              <w:rPr>
                <w:rFonts w:ascii="楷体_GB2312" w:eastAsia="楷体_GB2312"/>
                <w:kern w:val="0"/>
              </w:rPr>
            </w:pPr>
          </w:p>
          <w:tbl>
            <w:tblPr>
              <w:tblW w:w="8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8"/>
            </w:tblGrid>
            <w:tr w:rsidR="00E67D48" w:rsidRPr="005A0222" w:rsidTr="00B80F53">
              <w:trPr>
                <w:trHeight w:val="297"/>
              </w:trPr>
              <w:tc>
                <w:tcPr>
                  <w:tcW w:w="8108" w:type="dxa"/>
                  <w:tcBorders>
                    <w:top w:val="nil"/>
                    <w:left w:val="nil"/>
                    <w:bottom w:val="single" w:sz="12" w:space="0" w:color="044C80"/>
                    <w:right w:val="nil"/>
                  </w:tcBorders>
                  <w:shd w:val="clear" w:color="auto" w:fill="auto"/>
                </w:tcPr>
                <w:p w:rsidR="00E67D48" w:rsidRPr="005A0222" w:rsidRDefault="00E67D48" w:rsidP="00B80F53">
                  <w:pPr>
                    <w:pStyle w:val="06b"/>
                  </w:pPr>
                  <w:r w:rsidRPr="005A0222">
                    <w:br w:type="page"/>
                  </w:r>
                  <w:bookmarkStart w:id="60" w:name="_Toc312841027"/>
                  <w:r w:rsidRPr="005A0222">
                    <w:rPr>
                      <w:rFonts w:hint="eastAsia"/>
                    </w:rPr>
                    <w:t>图</w:t>
                  </w:r>
                  <w:r>
                    <w:rPr>
                      <w:rFonts w:hint="eastAsia"/>
                    </w:rPr>
                    <w:t>1</w:t>
                  </w:r>
                  <w:r w:rsidRPr="005A0222">
                    <w:rPr>
                      <w:rFonts w:hint="eastAsia"/>
                    </w:rPr>
                    <w:t>：</w:t>
                  </w:r>
                  <w:r>
                    <w:rPr>
                      <w:rFonts w:hint="eastAsia"/>
                    </w:rPr>
                    <w:t>各板块</w:t>
                  </w:r>
                  <w:r w:rsidRPr="002168D3">
                    <w:rPr>
                      <w:rFonts w:hint="eastAsia"/>
                    </w:rPr>
                    <w:t>2010</w:t>
                  </w:r>
                  <w:r w:rsidRPr="002168D3">
                    <w:rPr>
                      <w:rFonts w:hint="eastAsia"/>
                    </w:rPr>
                    <w:t>年收入和净利润增速对比</w:t>
                  </w:r>
                  <w:bookmarkEnd w:id="60"/>
                </w:p>
              </w:tc>
            </w:tr>
            <w:tr w:rsidR="00E67D48" w:rsidRPr="00416ACD" w:rsidTr="00B80F53">
              <w:trPr>
                <w:trHeight w:val="3301"/>
              </w:trPr>
              <w:tc>
                <w:tcPr>
                  <w:tcW w:w="8108" w:type="dxa"/>
                  <w:tcBorders>
                    <w:top w:val="single" w:sz="12" w:space="0" w:color="044C80"/>
                    <w:left w:val="nil"/>
                    <w:bottom w:val="nil"/>
                    <w:right w:val="nil"/>
                  </w:tcBorders>
                </w:tcPr>
                <w:p w:rsidR="00E67D48" w:rsidRPr="000B2B5A" w:rsidRDefault="00E67D48" w:rsidP="00B80F53">
                  <w:pPr>
                    <w:jc w:val="center"/>
                  </w:pPr>
                  <w:r>
                    <w:rPr>
                      <w:noProof/>
                    </w:rPr>
                    <w:drawing>
                      <wp:inline distT="0" distB="0" distL="0" distR="0">
                        <wp:extent cx="5048250" cy="2152650"/>
                        <wp:effectExtent l="0" t="0" r="0"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048250" cy="2152650"/>
                                </a:xfrm>
                                <a:prstGeom prst="rect">
                                  <a:avLst/>
                                </a:prstGeom>
                                <a:noFill/>
                                <a:ln w="9525">
                                  <a:noFill/>
                                  <a:miter lim="800000"/>
                                  <a:headEnd/>
                                  <a:tailEnd/>
                                </a:ln>
                              </pic:spPr>
                            </pic:pic>
                          </a:graphicData>
                        </a:graphic>
                      </wp:inline>
                    </w:drawing>
                  </w:r>
                </w:p>
              </w:tc>
            </w:tr>
          </w:tbl>
          <w:p w:rsidR="00E67D48" w:rsidRDefault="00E67D48" w:rsidP="00E67D48">
            <w:pPr>
              <w:pStyle w:val="090"/>
              <w:spacing w:after="156"/>
            </w:pPr>
            <w:r w:rsidRPr="00D2489C">
              <w:rPr>
                <w:rFonts w:hint="eastAsia"/>
              </w:rPr>
              <w:t>资料来源：</w:t>
            </w:r>
            <w:r>
              <w:rPr>
                <w:rFonts w:hint="eastAsia"/>
              </w:rPr>
              <w:t>Wind</w:t>
            </w:r>
            <w:r>
              <w:rPr>
                <w:rFonts w:hint="eastAsia"/>
              </w:rPr>
              <w:t>，华商基金整理</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0"/>
              <w:gridCol w:w="4860"/>
            </w:tblGrid>
            <w:tr w:rsidR="00E67D48" w:rsidRPr="00B351D0" w:rsidTr="00B80F53">
              <w:trPr>
                <w:gridAfter w:val="1"/>
                <w:wAfter w:w="4860" w:type="dxa"/>
                <w:trHeight w:val="207"/>
              </w:trPr>
              <w:tc>
                <w:tcPr>
                  <w:tcW w:w="4680" w:type="dxa"/>
                  <w:tcBorders>
                    <w:top w:val="nil"/>
                    <w:left w:val="nil"/>
                    <w:bottom w:val="single" w:sz="12" w:space="0" w:color="044E7E"/>
                    <w:right w:val="nil"/>
                  </w:tcBorders>
                  <w:shd w:val="clear" w:color="auto" w:fill="auto"/>
                </w:tcPr>
                <w:p w:rsidR="00E67D48" w:rsidRPr="001859C6" w:rsidRDefault="00E67D48" w:rsidP="00B80F53">
                  <w:pPr>
                    <w:pStyle w:val="06b"/>
                  </w:pPr>
                  <w:r w:rsidRPr="00B351D0">
                    <w:br w:type="page"/>
                  </w:r>
                  <w:bookmarkStart w:id="61" w:name="_Toc312841030"/>
                  <w:r w:rsidRPr="00B351D0">
                    <w:rPr>
                      <w:rFonts w:hint="eastAsia"/>
                    </w:rPr>
                    <w:t>图</w:t>
                  </w:r>
                  <w:r>
                    <w:rPr>
                      <w:rFonts w:hint="eastAsia"/>
                    </w:rPr>
                    <w:t>2</w:t>
                  </w:r>
                  <w:r w:rsidRPr="00B351D0">
                    <w:rPr>
                      <w:rFonts w:hint="eastAsia"/>
                    </w:rPr>
                    <w:t>：</w:t>
                  </w:r>
                  <w:r w:rsidRPr="00B351D0">
                    <w:rPr>
                      <w:rFonts w:hint="eastAsia"/>
                    </w:rPr>
                    <w:t xml:space="preserve"> </w:t>
                  </w:r>
                  <w:r w:rsidRPr="001859C6">
                    <w:rPr>
                      <w:rFonts w:hint="eastAsia"/>
                      <w:bCs/>
                    </w:rPr>
                    <w:t>2009.1-2010.12</w:t>
                  </w:r>
                  <w:r>
                    <w:rPr>
                      <w:rFonts w:hint="eastAsia"/>
                      <w:bCs/>
                    </w:rPr>
                    <w:t xml:space="preserve">  </w:t>
                  </w:r>
                  <w:r w:rsidRPr="001859C6">
                    <w:rPr>
                      <w:rFonts w:hint="eastAsia"/>
                      <w:bCs/>
                    </w:rPr>
                    <w:t>电子指数</w:t>
                  </w:r>
                  <w:r w:rsidRPr="001859C6">
                    <w:rPr>
                      <w:rFonts w:hint="eastAsia"/>
                      <w:bCs/>
                    </w:rPr>
                    <w:t xml:space="preserve"> vs</w:t>
                  </w:r>
                  <w:r>
                    <w:rPr>
                      <w:rFonts w:hint="eastAsia"/>
                      <w:bCs/>
                    </w:rPr>
                    <w:t xml:space="preserve">. </w:t>
                  </w:r>
                  <w:r w:rsidRPr="001859C6">
                    <w:rPr>
                      <w:rFonts w:hint="eastAsia"/>
                      <w:bCs/>
                    </w:rPr>
                    <w:t>沪深</w:t>
                  </w:r>
                  <w:r w:rsidRPr="001859C6">
                    <w:rPr>
                      <w:rFonts w:hint="eastAsia"/>
                      <w:bCs/>
                    </w:rPr>
                    <w:t>300</w:t>
                  </w:r>
                  <w:bookmarkEnd w:id="61"/>
                </w:p>
              </w:tc>
            </w:tr>
            <w:tr w:rsidR="00E67D48" w:rsidRPr="00D2736E" w:rsidTr="00B80F53">
              <w:trPr>
                <w:trHeight w:val="3092"/>
              </w:trPr>
              <w:tc>
                <w:tcPr>
                  <w:tcW w:w="4680" w:type="dxa"/>
                  <w:tcBorders>
                    <w:top w:val="nil"/>
                    <w:left w:val="nil"/>
                    <w:bottom w:val="nil"/>
                    <w:right w:val="nil"/>
                  </w:tcBorders>
                  <w:shd w:val="clear" w:color="auto" w:fill="auto"/>
                </w:tcPr>
                <w:p w:rsidR="00E67D48" w:rsidRPr="0076027A" w:rsidRDefault="00E67D48" w:rsidP="00B80F53">
                  <w:pPr>
                    <w:jc w:val="center"/>
                    <w:rPr>
                      <w:rFonts w:ascii="文鼎CS中等线" w:eastAsia="文鼎CS中等线"/>
                    </w:rPr>
                  </w:pPr>
                  <w:r>
                    <w:rPr>
                      <w:rFonts w:ascii="文鼎CS中等线" w:eastAsia="文鼎CS中等线"/>
                      <w:noProof/>
                    </w:rPr>
                    <w:drawing>
                      <wp:inline distT="0" distB="0" distL="0" distR="0">
                        <wp:extent cx="2743200" cy="1981200"/>
                        <wp:effectExtent l="0" t="0" r="0" b="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2743200" cy="1981200"/>
                                </a:xfrm>
                                <a:prstGeom prst="rect">
                                  <a:avLst/>
                                </a:prstGeom>
                                <a:noFill/>
                                <a:ln w="9525">
                                  <a:noFill/>
                                  <a:miter lim="800000"/>
                                  <a:headEnd/>
                                  <a:tailEnd/>
                                </a:ln>
                              </pic:spPr>
                            </pic:pic>
                          </a:graphicData>
                        </a:graphic>
                      </wp:inline>
                    </w:drawing>
                  </w:r>
                </w:p>
              </w:tc>
              <w:tc>
                <w:tcPr>
                  <w:tcW w:w="4860" w:type="dxa"/>
                  <w:tcBorders>
                    <w:top w:val="nil"/>
                    <w:left w:val="nil"/>
                    <w:bottom w:val="nil"/>
                    <w:right w:val="nil"/>
                  </w:tcBorders>
                </w:tcPr>
                <w:p w:rsidR="00E67D48" w:rsidRPr="0076027A" w:rsidRDefault="00E67D48" w:rsidP="00B80F53">
                  <w:pPr>
                    <w:jc w:val="center"/>
                    <w:rPr>
                      <w:rFonts w:ascii="文鼎CS中等线" w:eastAsia="文鼎CS中等线"/>
                    </w:rPr>
                  </w:pPr>
                </w:p>
              </w:tc>
            </w:tr>
          </w:tbl>
          <w:p w:rsidR="00E67D48" w:rsidRDefault="00E67D48" w:rsidP="00E67D48">
            <w:pPr>
              <w:pStyle w:val="090"/>
              <w:spacing w:after="156"/>
            </w:pPr>
            <w:r w:rsidRPr="00D2489C">
              <w:rPr>
                <w:rFonts w:hint="eastAsia"/>
              </w:rPr>
              <w:t>资料来源：</w:t>
            </w:r>
            <w:r>
              <w:rPr>
                <w:rFonts w:hint="eastAsia"/>
              </w:rPr>
              <w:t>Wind</w:t>
            </w:r>
            <w:r>
              <w:rPr>
                <w:rFonts w:hint="eastAsia"/>
              </w:rPr>
              <w:t>，华商基金整理</w:t>
            </w:r>
          </w:p>
          <w:p w:rsidR="00E67D48" w:rsidRPr="00DC28EC" w:rsidRDefault="00E67D48" w:rsidP="00B80F53">
            <w:pPr>
              <w:autoSpaceDE w:val="0"/>
              <w:autoSpaceDN w:val="0"/>
              <w:adjustRightInd w:val="0"/>
              <w:spacing w:line="320" w:lineRule="exact"/>
              <w:ind w:leftChars="1150" w:left="2415"/>
              <w:jc w:val="left"/>
              <w:rPr>
                <w:rFonts w:ascii="楷体_GB2312" w:eastAsia="楷体_GB2312"/>
                <w:kern w:val="0"/>
              </w:rPr>
            </w:pPr>
          </w:p>
        </w:tc>
      </w:tr>
    </w:tbl>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二、2012年行业供需回归常态，探底后整体反弹有限，增量要看创新产品</w:t>
      </w:r>
    </w:p>
    <w:p w:rsidR="00E67D48" w:rsidRPr="007D00FD" w:rsidRDefault="00E67D48" w:rsidP="00DC28EC">
      <w:pPr>
        <w:autoSpaceDE w:val="0"/>
        <w:autoSpaceDN w:val="0"/>
        <w:adjustRightInd w:val="0"/>
        <w:spacing w:line="320" w:lineRule="exact"/>
        <w:ind w:leftChars="1150" w:left="2415"/>
        <w:jc w:val="left"/>
        <w:rPr>
          <w:rFonts w:ascii="楷体_GB2312" w:eastAsia="楷体_GB2312"/>
          <w:kern w:val="0"/>
        </w:rPr>
      </w:pPr>
    </w:p>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2.1、下游需求小幅增长</w:t>
      </w:r>
    </w:p>
    <w:p w:rsidR="00E67D48" w:rsidRDefault="00E67D48" w:rsidP="00E67D48">
      <w:pPr>
        <w:pStyle w:val="050"/>
        <w:spacing w:after="249"/>
        <w:ind w:firstLine="420"/>
        <w:rPr>
          <w:rFonts w:ascii="楷体_GB2312" w:eastAsia="楷体_GB2312"/>
          <w:kern w:val="0"/>
          <w:sz w:val="21"/>
          <w:szCs w:val="21"/>
        </w:rPr>
      </w:pPr>
      <w:r>
        <w:rPr>
          <w:rFonts w:ascii="楷体_GB2312" w:eastAsia="楷体_GB2312" w:hint="eastAsia"/>
          <w:kern w:val="0"/>
          <w:sz w:val="21"/>
          <w:szCs w:val="21"/>
        </w:rPr>
        <w:t xml:space="preserve">                                   </w:t>
      </w:r>
    </w:p>
    <w:p w:rsidR="00E67D48" w:rsidRPr="00E67D48" w:rsidRDefault="00E67D48" w:rsidP="00E67D48">
      <w:pPr>
        <w:autoSpaceDE w:val="0"/>
        <w:autoSpaceDN w:val="0"/>
        <w:adjustRightInd w:val="0"/>
        <w:spacing w:line="320" w:lineRule="exact"/>
        <w:ind w:leftChars="1150" w:left="2415"/>
        <w:jc w:val="left"/>
        <w:rPr>
          <w:rFonts w:ascii="楷体_GB2312" w:eastAsia="楷体_GB2312"/>
          <w:kern w:val="0"/>
        </w:rPr>
      </w:pPr>
      <w:r>
        <w:rPr>
          <w:rFonts w:ascii="楷体_GB2312" w:eastAsia="楷体_GB2312" w:hint="eastAsia"/>
          <w:kern w:val="0"/>
        </w:rPr>
        <w:t xml:space="preserve"> </w:t>
      </w:r>
      <w:r w:rsidRPr="00E67D48">
        <w:rPr>
          <w:rFonts w:ascii="楷体_GB2312" w:eastAsia="楷体_GB2312" w:hint="eastAsia"/>
          <w:kern w:val="0"/>
        </w:rPr>
        <w:t>讨论电子产品需求，由于电子产品的需求是全球性的，其需求自然离不开全球宏观波动的影响，2012年的全球宏观注定不平淡，经过08、09年的巨幅波动，面对同样的问题，相信各国政府有应对的手段，因此电子需求出现09年大幅下滑的风险应该较小，需求没必要太悲观。</w:t>
      </w:r>
    </w:p>
    <w:p w:rsidR="00E67D48" w:rsidRDefault="00E67D48" w:rsidP="00E67D48">
      <w:pPr>
        <w:autoSpaceDE w:val="0"/>
        <w:autoSpaceDN w:val="0"/>
        <w:adjustRightInd w:val="0"/>
        <w:spacing w:line="320" w:lineRule="exact"/>
        <w:ind w:leftChars="1150" w:left="2415"/>
        <w:jc w:val="left"/>
        <w:rPr>
          <w:rFonts w:ascii="楷体_GB2312" w:eastAsia="楷体_GB2312"/>
          <w:kern w:val="0"/>
        </w:rPr>
      </w:pPr>
    </w:p>
    <w:p w:rsidR="00DC28EC" w:rsidRDefault="00E67D48" w:rsidP="00E67D48">
      <w:pPr>
        <w:autoSpaceDE w:val="0"/>
        <w:autoSpaceDN w:val="0"/>
        <w:adjustRightInd w:val="0"/>
        <w:spacing w:line="320" w:lineRule="exact"/>
        <w:ind w:leftChars="1150" w:left="2415"/>
        <w:jc w:val="left"/>
        <w:rPr>
          <w:rFonts w:ascii="楷体_GB2312" w:eastAsia="楷体_GB2312"/>
          <w:kern w:val="0"/>
        </w:rPr>
      </w:pPr>
      <w:r w:rsidRPr="00E67D48">
        <w:rPr>
          <w:rFonts w:ascii="楷体_GB2312" w:eastAsia="楷体_GB2312" w:hint="eastAsia"/>
          <w:kern w:val="0"/>
        </w:rPr>
        <w:t>从主要电子产品来看，市场规模在2012年可望保持增长。各大类产品表现有差别。平板电脑和智能手机仍然是增幅最高的行业，液晶电视和计算机的整体销量增速趋于温和。</w:t>
      </w:r>
      <w:r w:rsidRPr="00E67D48">
        <w:rPr>
          <w:rFonts w:ascii="楷体_GB2312" w:eastAsia="楷体_GB2312" w:hint="eastAsia"/>
          <w:kern w:val="0"/>
        </w:rPr>
        <w:lastRenderedPageBreak/>
        <w:t>其中液晶电视的销量增速将有所恢复，而计算机则在笔记本销量增速回升的带动下，整体销量将基本保持稳中略升。但是各类产品的需求增速，均会低于2011年，行业即使回暖，幅度也相当有限。</w:t>
      </w:r>
    </w:p>
    <w:p w:rsidR="00E67D48" w:rsidRDefault="00E67D48" w:rsidP="00E67D48">
      <w:pPr>
        <w:autoSpaceDE w:val="0"/>
        <w:autoSpaceDN w:val="0"/>
        <w:adjustRightInd w:val="0"/>
        <w:spacing w:line="320" w:lineRule="exact"/>
        <w:ind w:leftChars="1150" w:left="2415"/>
        <w:jc w:val="left"/>
        <w:rPr>
          <w:rFonts w:ascii="楷体_GB2312" w:eastAsia="楷体_GB2312"/>
          <w:kern w:val="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728"/>
        <w:gridCol w:w="1358"/>
        <w:gridCol w:w="1359"/>
        <w:gridCol w:w="1359"/>
        <w:gridCol w:w="1359"/>
        <w:gridCol w:w="1359"/>
      </w:tblGrid>
      <w:tr w:rsidR="00E67D48" w:rsidTr="00B80F53">
        <w:tc>
          <w:tcPr>
            <w:tcW w:w="8522" w:type="dxa"/>
            <w:gridSpan w:val="6"/>
            <w:tcBorders>
              <w:bottom w:val="single" w:sz="12" w:space="0" w:color="044E7E"/>
            </w:tcBorders>
          </w:tcPr>
          <w:p w:rsidR="00E67D48" w:rsidRDefault="00E67D48" w:rsidP="00B80F53">
            <w:pPr>
              <w:pStyle w:val="06a"/>
              <w:tabs>
                <w:tab w:val="clear" w:pos="6033"/>
                <w:tab w:val="right" w:pos="9432"/>
              </w:tabs>
              <w:ind w:left="3" w:hanging="9"/>
            </w:pPr>
            <w:bookmarkStart w:id="62" w:name="_Toc312841154"/>
            <w:r>
              <w:rPr>
                <w:rFonts w:hint="eastAsia"/>
              </w:rPr>
              <w:t>表</w:t>
            </w:r>
            <w:r>
              <w:rPr>
                <w:rFonts w:hint="eastAsia"/>
              </w:rPr>
              <w:t>5</w:t>
            </w:r>
            <w:r>
              <w:rPr>
                <w:rFonts w:hint="eastAsia"/>
              </w:rPr>
              <w:t>：主要电子产品增长情况分析</w:t>
            </w:r>
            <w:r>
              <w:rPr>
                <w:rFonts w:hint="eastAsia"/>
              </w:rPr>
              <w:t xml:space="preserve">                                                   </w:t>
            </w:r>
            <w:r>
              <w:rPr>
                <w:rFonts w:hint="eastAsia"/>
              </w:rPr>
              <w:t>单位：百万台</w:t>
            </w:r>
            <w:bookmarkEnd w:id="62"/>
          </w:p>
        </w:tc>
      </w:tr>
      <w:tr w:rsidR="00E67D48" w:rsidTr="00B80F53">
        <w:tc>
          <w:tcPr>
            <w:tcW w:w="1728" w:type="dxa"/>
            <w:tcBorders>
              <w:top w:val="single" w:sz="12" w:space="0" w:color="044E7E"/>
            </w:tcBorders>
          </w:tcPr>
          <w:p w:rsidR="00E67D48" w:rsidRDefault="00E67D48" w:rsidP="00B80F53"/>
        </w:tc>
        <w:tc>
          <w:tcPr>
            <w:tcW w:w="1358" w:type="dxa"/>
            <w:tcBorders>
              <w:top w:val="single" w:sz="12" w:space="0" w:color="044E7E"/>
            </w:tcBorders>
            <w:vAlign w:val="bottom"/>
          </w:tcPr>
          <w:p w:rsidR="00E67D48" w:rsidRPr="0003575E" w:rsidRDefault="00E67D48" w:rsidP="00B80F53">
            <w:pPr>
              <w:jc w:val="center"/>
              <w:rPr>
                <w:b/>
                <w:sz w:val="16"/>
                <w:szCs w:val="16"/>
              </w:rPr>
            </w:pPr>
            <w:r w:rsidRPr="0003575E">
              <w:rPr>
                <w:b/>
                <w:sz w:val="16"/>
                <w:szCs w:val="16"/>
              </w:rPr>
              <w:t>2008</w:t>
            </w:r>
          </w:p>
        </w:tc>
        <w:tc>
          <w:tcPr>
            <w:tcW w:w="1359" w:type="dxa"/>
            <w:tcBorders>
              <w:top w:val="single" w:sz="12" w:space="0" w:color="044E7E"/>
            </w:tcBorders>
            <w:vAlign w:val="bottom"/>
          </w:tcPr>
          <w:p w:rsidR="00E67D48" w:rsidRPr="0003575E" w:rsidRDefault="00E67D48" w:rsidP="00B80F53">
            <w:pPr>
              <w:jc w:val="center"/>
              <w:rPr>
                <w:b/>
                <w:sz w:val="16"/>
                <w:szCs w:val="16"/>
              </w:rPr>
            </w:pPr>
            <w:r w:rsidRPr="0003575E">
              <w:rPr>
                <w:b/>
                <w:sz w:val="16"/>
                <w:szCs w:val="16"/>
              </w:rPr>
              <w:t>2009</w:t>
            </w:r>
          </w:p>
        </w:tc>
        <w:tc>
          <w:tcPr>
            <w:tcW w:w="1359" w:type="dxa"/>
            <w:tcBorders>
              <w:top w:val="single" w:sz="12" w:space="0" w:color="044E7E"/>
            </w:tcBorders>
            <w:vAlign w:val="bottom"/>
          </w:tcPr>
          <w:p w:rsidR="00E67D48" w:rsidRPr="0003575E" w:rsidRDefault="00E67D48" w:rsidP="00B80F53">
            <w:pPr>
              <w:jc w:val="center"/>
              <w:rPr>
                <w:b/>
                <w:sz w:val="16"/>
                <w:szCs w:val="16"/>
              </w:rPr>
            </w:pPr>
            <w:r w:rsidRPr="0003575E">
              <w:rPr>
                <w:b/>
                <w:sz w:val="16"/>
                <w:szCs w:val="16"/>
              </w:rPr>
              <w:t>2010</w:t>
            </w:r>
          </w:p>
        </w:tc>
        <w:tc>
          <w:tcPr>
            <w:tcW w:w="1359" w:type="dxa"/>
            <w:tcBorders>
              <w:top w:val="single" w:sz="12" w:space="0" w:color="044E7E"/>
            </w:tcBorders>
            <w:vAlign w:val="bottom"/>
          </w:tcPr>
          <w:p w:rsidR="00E67D48" w:rsidRPr="0003575E" w:rsidRDefault="00E67D48" w:rsidP="00B80F53">
            <w:pPr>
              <w:jc w:val="center"/>
              <w:rPr>
                <w:b/>
                <w:sz w:val="16"/>
                <w:szCs w:val="16"/>
              </w:rPr>
            </w:pPr>
            <w:r w:rsidRPr="0003575E">
              <w:rPr>
                <w:b/>
                <w:sz w:val="16"/>
                <w:szCs w:val="16"/>
              </w:rPr>
              <w:t>2011E</w:t>
            </w:r>
          </w:p>
        </w:tc>
        <w:tc>
          <w:tcPr>
            <w:tcW w:w="1359" w:type="dxa"/>
            <w:tcBorders>
              <w:top w:val="single" w:sz="12" w:space="0" w:color="044E7E"/>
            </w:tcBorders>
            <w:vAlign w:val="bottom"/>
          </w:tcPr>
          <w:p w:rsidR="00E67D48" w:rsidRPr="0003575E" w:rsidRDefault="00E67D48" w:rsidP="00B80F53">
            <w:pPr>
              <w:jc w:val="center"/>
              <w:rPr>
                <w:b/>
                <w:sz w:val="16"/>
                <w:szCs w:val="16"/>
              </w:rPr>
            </w:pPr>
            <w:r w:rsidRPr="0003575E">
              <w:rPr>
                <w:b/>
                <w:sz w:val="16"/>
                <w:szCs w:val="16"/>
              </w:rPr>
              <w:t>2012E</w:t>
            </w:r>
          </w:p>
        </w:tc>
      </w:tr>
      <w:tr w:rsidR="00E67D48" w:rsidTr="00B80F53">
        <w:tc>
          <w:tcPr>
            <w:tcW w:w="1728" w:type="dxa"/>
            <w:shd w:val="clear" w:color="auto" w:fill="FF8080"/>
          </w:tcPr>
          <w:p w:rsidR="00E67D48" w:rsidRPr="0003575E" w:rsidRDefault="00E67D48" w:rsidP="00B80F53">
            <w:pPr>
              <w:tabs>
                <w:tab w:val="left" w:pos="1260"/>
              </w:tabs>
              <w:ind w:left="-6" w:rightChars="120" w:right="252" w:firstLineChars="112" w:firstLine="180"/>
              <w:rPr>
                <w:b/>
                <w:sz w:val="16"/>
                <w:szCs w:val="16"/>
              </w:rPr>
            </w:pPr>
            <w:r w:rsidRPr="0003575E">
              <w:rPr>
                <w:rFonts w:hint="eastAsia"/>
                <w:b/>
                <w:sz w:val="16"/>
                <w:szCs w:val="16"/>
              </w:rPr>
              <w:t>液晶电视</w:t>
            </w:r>
          </w:p>
        </w:tc>
        <w:tc>
          <w:tcPr>
            <w:tcW w:w="1358" w:type="dxa"/>
            <w:shd w:val="clear" w:color="auto" w:fill="FF8080"/>
            <w:vAlign w:val="bottom"/>
          </w:tcPr>
          <w:p w:rsidR="00E67D48" w:rsidRPr="0003575E" w:rsidRDefault="00E67D48" w:rsidP="00B80F53">
            <w:pPr>
              <w:ind w:rightChars="248" w:right="521"/>
              <w:jc w:val="right"/>
              <w:rPr>
                <w:sz w:val="16"/>
                <w:szCs w:val="16"/>
              </w:rPr>
            </w:pPr>
            <w:r w:rsidRPr="0003575E">
              <w:rPr>
                <w:sz w:val="16"/>
                <w:szCs w:val="16"/>
              </w:rPr>
              <w:t xml:space="preserve">106 </w:t>
            </w:r>
          </w:p>
        </w:tc>
        <w:tc>
          <w:tcPr>
            <w:tcW w:w="1359" w:type="dxa"/>
            <w:shd w:val="clear" w:color="auto" w:fill="FF8080"/>
            <w:vAlign w:val="bottom"/>
          </w:tcPr>
          <w:p w:rsidR="00E67D48" w:rsidRPr="0003575E" w:rsidRDefault="00E67D48" w:rsidP="00B80F53">
            <w:pPr>
              <w:ind w:rightChars="248" w:right="521"/>
              <w:jc w:val="right"/>
              <w:rPr>
                <w:sz w:val="16"/>
                <w:szCs w:val="16"/>
              </w:rPr>
            </w:pPr>
            <w:r w:rsidRPr="0003575E">
              <w:rPr>
                <w:sz w:val="16"/>
                <w:szCs w:val="16"/>
              </w:rPr>
              <w:t xml:space="preserve">146 </w:t>
            </w:r>
          </w:p>
        </w:tc>
        <w:tc>
          <w:tcPr>
            <w:tcW w:w="1359" w:type="dxa"/>
            <w:shd w:val="clear" w:color="auto" w:fill="FF8080"/>
            <w:vAlign w:val="bottom"/>
          </w:tcPr>
          <w:p w:rsidR="00E67D48" w:rsidRPr="0003575E" w:rsidRDefault="00E67D48" w:rsidP="00B80F53">
            <w:pPr>
              <w:ind w:rightChars="248" w:right="521"/>
              <w:jc w:val="right"/>
              <w:rPr>
                <w:sz w:val="16"/>
                <w:szCs w:val="16"/>
              </w:rPr>
            </w:pPr>
            <w:r w:rsidRPr="0003575E">
              <w:rPr>
                <w:sz w:val="16"/>
                <w:szCs w:val="16"/>
              </w:rPr>
              <w:t xml:space="preserve">192 </w:t>
            </w:r>
          </w:p>
        </w:tc>
        <w:tc>
          <w:tcPr>
            <w:tcW w:w="1359" w:type="dxa"/>
            <w:shd w:val="clear" w:color="auto" w:fill="FF8080"/>
            <w:vAlign w:val="bottom"/>
          </w:tcPr>
          <w:p w:rsidR="00E67D48" w:rsidRPr="0003575E" w:rsidRDefault="00E67D48" w:rsidP="00B80F53">
            <w:pPr>
              <w:ind w:rightChars="248" w:right="521"/>
              <w:jc w:val="right"/>
              <w:rPr>
                <w:sz w:val="16"/>
                <w:szCs w:val="16"/>
              </w:rPr>
            </w:pPr>
            <w:r w:rsidRPr="0003575E">
              <w:rPr>
                <w:sz w:val="16"/>
                <w:szCs w:val="16"/>
              </w:rPr>
              <w:t>2</w:t>
            </w:r>
            <w:r>
              <w:rPr>
                <w:rFonts w:hint="eastAsia"/>
                <w:sz w:val="16"/>
                <w:szCs w:val="16"/>
              </w:rPr>
              <w:t>06</w:t>
            </w:r>
            <w:r w:rsidRPr="0003575E">
              <w:rPr>
                <w:sz w:val="16"/>
                <w:szCs w:val="16"/>
              </w:rPr>
              <w:t xml:space="preserve"> </w:t>
            </w:r>
          </w:p>
        </w:tc>
        <w:tc>
          <w:tcPr>
            <w:tcW w:w="1359" w:type="dxa"/>
            <w:shd w:val="clear" w:color="auto" w:fill="FF8080"/>
            <w:vAlign w:val="bottom"/>
          </w:tcPr>
          <w:p w:rsidR="00E67D48" w:rsidRPr="0003575E" w:rsidRDefault="00E67D48" w:rsidP="00B80F53">
            <w:pPr>
              <w:ind w:rightChars="248" w:right="521"/>
              <w:jc w:val="right"/>
              <w:rPr>
                <w:sz w:val="16"/>
                <w:szCs w:val="16"/>
              </w:rPr>
            </w:pPr>
            <w:r w:rsidRPr="0003575E">
              <w:rPr>
                <w:sz w:val="16"/>
                <w:szCs w:val="16"/>
              </w:rPr>
              <w:t>2</w:t>
            </w:r>
            <w:r>
              <w:rPr>
                <w:rFonts w:hint="eastAsia"/>
                <w:sz w:val="16"/>
                <w:szCs w:val="16"/>
              </w:rPr>
              <w:t>27</w:t>
            </w:r>
            <w:r w:rsidRPr="0003575E">
              <w:rPr>
                <w:sz w:val="16"/>
                <w:szCs w:val="16"/>
              </w:rPr>
              <w:t xml:space="preserve"> </w:t>
            </w:r>
          </w:p>
        </w:tc>
      </w:tr>
      <w:tr w:rsidR="00E67D48" w:rsidTr="00B80F53">
        <w:tc>
          <w:tcPr>
            <w:tcW w:w="1728" w:type="dxa"/>
            <w:shd w:val="clear" w:color="auto" w:fill="auto"/>
          </w:tcPr>
          <w:p w:rsidR="00E67D48" w:rsidRPr="0003575E" w:rsidRDefault="00E67D48" w:rsidP="00B80F53">
            <w:pPr>
              <w:tabs>
                <w:tab w:val="left" w:pos="1260"/>
              </w:tabs>
              <w:ind w:left="-6" w:rightChars="120" w:right="252" w:firstLineChars="112" w:firstLine="180"/>
              <w:rPr>
                <w:b/>
                <w:sz w:val="16"/>
                <w:szCs w:val="16"/>
              </w:rPr>
            </w:pPr>
            <w:r w:rsidRPr="0003575E">
              <w:rPr>
                <w:rFonts w:hint="eastAsia"/>
                <w:b/>
                <w:sz w:val="16"/>
                <w:szCs w:val="16"/>
              </w:rPr>
              <w:t xml:space="preserve">  </w:t>
            </w:r>
            <w:r w:rsidRPr="0003575E">
              <w:rPr>
                <w:rFonts w:hint="eastAsia"/>
                <w:b/>
                <w:sz w:val="16"/>
                <w:szCs w:val="16"/>
              </w:rPr>
              <w:t>增长率</w:t>
            </w:r>
          </w:p>
        </w:tc>
        <w:tc>
          <w:tcPr>
            <w:tcW w:w="1358" w:type="dxa"/>
            <w:shd w:val="clear" w:color="auto" w:fill="auto"/>
          </w:tcPr>
          <w:p w:rsidR="00E67D48" w:rsidRPr="0003575E" w:rsidRDefault="00E67D48" w:rsidP="00B80F53">
            <w:pPr>
              <w:ind w:rightChars="248" w:right="521"/>
              <w:jc w:val="right"/>
              <w:rPr>
                <w:sz w:val="16"/>
                <w:szCs w:val="16"/>
              </w:rPr>
            </w:pPr>
          </w:p>
        </w:tc>
        <w:tc>
          <w:tcPr>
            <w:tcW w:w="1359" w:type="dxa"/>
            <w:shd w:val="clear" w:color="auto" w:fill="auto"/>
            <w:vAlign w:val="bottom"/>
          </w:tcPr>
          <w:p w:rsidR="00E67D48" w:rsidRPr="0003575E" w:rsidRDefault="00E67D48" w:rsidP="00B80F53">
            <w:pPr>
              <w:ind w:rightChars="248" w:right="521"/>
              <w:jc w:val="right"/>
              <w:rPr>
                <w:sz w:val="16"/>
                <w:szCs w:val="16"/>
              </w:rPr>
            </w:pPr>
            <w:r w:rsidRPr="0003575E">
              <w:rPr>
                <w:sz w:val="16"/>
                <w:szCs w:val="16"/>
              </w:rPr>
              <w:t>36.90%</w:t>
            </w:r>
          </w:p>
        </w:tc>
        <w:tc>
          <w:tcPr>
            <w:tcW w:w="1359" w:type="dxa"/>
            <w:shd w:val="clear" w:color="auto" w:fill="auto"/>
            <w:vAlign w:val="bottom"/>
          </w:tcPr>
          <w:p w:rsidR="00E67D48" w:rsidRPr="0003575E" w:rsidRDefault="00E67D48" w:rsidP="00B80F53">
            <w:pPr>
              <w:ind w:rightChars="248" w:right="521"/>
              <w:jc w:val="right"/>
              <w:rPr>
                <w:sz w:val="16"/>
                <w:szCs w:val="16"/>
              </w:rPr>
            </w:pPr>
            <w:r w:rsidRPr="0003575E">
              <w:rPr>
                <w:sz w:val="16"/>
                <w:szCs w:val="16"/>
              </w:rPr>
              <w:t>31.49%</w:t>
            </w:r>
          </w:p>
        </w:tc>
        <w:tc>
          <w:tcPr>
            <w:tcW w:w="1359" w:type="dxa"/>
            <w:shd w:val="clear" w:color="auto" w:fill="auto"/>
            <w:vAlign w:val="bottom"/>
          </w:tcPr>
          <w:p w:rsidR="00E67D48" w:rsidRPr="0003575E" w:rsidRDefault="00E67D48" w:rsidP="00B80F53">
            <w:pPr>
              <w:ind w:rightChars="248" w:right="521"/>
              <w:jc w:val="right"/>
              <w:rPr>
                <w:sz w:val="16"/>
                <w:szCs w:val="16"/>
              </w:rPr>
            </w:pPr>
            <w:r>
              <w:rPr>
                <w:rFonts w:hint="eastAsia"/>
                <w:sz w:val="16"/>
                <w:szCs w:val="16"/>
              </w:rPr>
              <w:t>8</w:t>
            </w:r>
            <w:r w:rsidRPr="0003575E">
              <w:rPr>
                <w:sz w:val="16"/>
                <w:szCs w:val="16"/>
              </w:rPr>
              <w:t>%</w:t>
            </w:r>
          </w:p>
        </w:tc>
        <w:tc>
          <w:tcPr>
            <w:tcW w:w="1359" w:type="dxa"/>
            <w:shd w:val="clear" w:color="auto" w:fill="auto"/>
            <w:vAlign w:val="bottom"/>
          </w:tcPr>
          <w:p w:rsidR="00E67D48" w:rsidRPr="0003575E" w:rsidRDefault="00E67D48" w:rsidP="00B80F53">
            <w:pPr>
              <w:ind w:rightChars="248" w:right="521"/>
              <w:jc w:val="right"/>
              <w:rPr>
                <w:sz w:val="16"/>
                <w:szCs w:val="16"/>
              </w:rPr>
            </w:pPr>
            <w:r w:rsidRPr="0003575E">
              <w:rPr>
                <w:sz w:val="16"/>
                <w:szCs w:val="16"/>
              </w:rPr>
              <w:t>10.00%</w:t>
            </w:r>
          </w:p>
        </w:tc>
      </w:tr>
      <w:tr w:rsidR="00E67D48" w:rsidTr="00B80F53">
        <w:tc>
          <w:tcPr>
            <w:tcW w:w="1728" w:type="dxa"/>
            <w:shd w:val="clear" w:color="auto" w:fill="FF8080"/>
          </w:tcPr>
          <w:p w:rsidR="00E67D48" w:rsidRPr="0003575E" w:rsidRDefault="00E67D48" w:rsidP="00B80F53">
            <w:pPr>
              <w:tabs>
                <w:tab w:val="left" w:pos="1260"/>
              </w:tabs>
              <w:ind w:left="-6" w:rightChars="120" w:right="252" w:firstLineChars="112" w:firstLine="180"/>
              <w:rPr>
                <w:b/>
                <w:sz w:val="16"/>
                <w:szCs w:val="16"/>
              </w:rPr>
            </w:pPr>
            <w:r w:rsidRPr="0003575E">
              <w:rPr>
                <w:rFonts w:hint="eastAsia"/>
                <w:b/>
                <w:sz w:val="16"/>
                <w:szCs w:val="16"/>
              </w:rPr>
              <w:t>计算机</w:t>
            </w:r>
          </w:p>
        </w:tc>
        <w:tc>
          <w:tcPr>
            <w:tcW w:w="1358" w:type="dxa"/>
            <w:shd w:val="clear" w:color="auto" w:fill="FF8080"/>
            <w:vAlign w:val="bottom"/>
          </w:tcPr>
          <w:p w:rsidR="00E67D48" w:rsidRPr="0003575E" w:rsidRDefault="00E67D48" w:rsidP="00B80F53">
            <w:pPr>
              <w:ind w:rightChars="248" w:right="521"/>
              <w:jc w:val="right"/>
              <w:rPr>
                <w:sz w:val="16"/>
                <w:szCs w:val="16"/>
              </w:rPr>
            </w:pPr>
            <w:r w:rsidRPr="0003575E">
              <w:rPr>
                <w:sz w:val="16"/>
                <w:szCs w:val="16"/>
              </w:rPr>
              <w:t xml:space="preserve">289 </w:t>
            </w:r>
          </w:p>
        </w:tc>
        <w:tc>
          <w:tcPr>
            <w:tcW w:w="1359" w:type="dxa"/>
            <w:shd w:val="clear" w:color="auto" w:fill="FF8080"/>
            <w:vAlign w:val="bottom"/>
          </w:tcPr>
          <w:p w:rsidR="00E67D48" w:rsidRPr="0003575E" w:rsidRDefault="00E67D48" w:rsidP="00B80F53">
            <w:pPr>
              <w:ind w:rightChars="248" w:right="521"/>
              <w:jc w:val="right"/>
              <w:rPr>
                <w:sz w:val="16"/>
                <w:szCs w:val="16"/>
              </w:rPr>
            </w:pPr>
            <w:r w:rsidRPr="0003575E">
              <w:rPr>
                <w:sz w:val="16"/>
                <w:szCs w:val="16"/>
              </w:rPr>
              <w:t xml:space="preserve">305 </w:t>
            </w:r>
          </w:p>
        </w:tc>
        <w:tc>
          <w:tcPr>
            <w:tcW w:w="1359" w:type="dxa"/>
            <w:shd w:val="clear" w:color="auto" w:fill="FF8080"/>
            <w:vAlign w:val="bottom"/>
          </w:tcPr>
          <w:p w:rsidR="00E67D48" w:rsidRPr="0003575E" w:rsidRDefault="00E67D48" w:rsidP="00B80F53">
            <w:pPr>
              <w:ind w:rightChars="248" w:right="521"/>
              <w:jc w:val="right"/>
              <w:rPr>
                <w:sz w:val="16"/>
                <w:szCs w:val="16"/>
              </w:rPr>
            </w:pPr>
            <w:r w:rsidRPr="0003575E">
              <w:rPr>
                <w:sz w:val="16"/>
                <w:szCs w:val="16"/>
              </w:rPr>
              <w:t xml:space="preserve">347 </w:t>
            </w:r>
          </w:p>
        </w:tc>
        <w:tc>
          <w:tcPr>
            <w:tcW w:w="1359" w:type="dxa"/>
            <w:shd w:val="clear" w:color="auto" w:fill="FF8080"/>
            <w:vAlign w:val="bottom"/>
          </w:tcPr>
          <w:p w:rsidR="00E67D48" w:rsidRPr="0003575E" w:rsidRDefault="00E67D48" w:rsidP="00B80F53">
            <w:pPr>
              <w:ind w:rightChars="248" w:right="521"/>
              <w:jc w:val="right"/>
              <w:rPr>
                <w:sz w:val="16"/>
                <w:szCs w:val="16"/>
              </w:rPr>
            </w:pPr>
            <w:r w:rsidRPr="0003575E">
              <w:rPr>
                <w:sz w:val="16"/>
                <w:szCs w:val="16"/>
              </w:rPr>
              <w:t xml:space="preserve">362 </w:t>
            </w:r>
          </w:p>
        </w:tc>
        <w:tc>
          <w:tcPr>
            <w:tcW w:w="1359" w:type="dxa"/>
            <w:shd w:val="clear" w:color="auto" w:fill="FF8080"/>
            <w:vAlign w:val="bottom"/>
          </w:tcPr>
          <w:p w:rsidR="00E67D48" w:rsidRPr="0003575E" w:rsidRDefault="00E67D48" w:rsidP="00B80F53">
            <w:pPr>
              <w:ind w:rightChars="248" w:right="521"/>
              <w:jc w:val="right"/>
              <w:rPr>
                <w:sz w:val="16"/>
                <w:szCs w:val="16"/>
              </w:rPr>
            </w:pPr>
            <w:r>
              <w:rPr>
                <w:rFonts w:hint="eastAsia"/>
                <w:sz w:val="16"/>
                <w:szCs w:val="16"/>
              </w:rPr>
              <w:t>376</w:t>
            </w:r>
            <w:r w:rsidRPr="0003575E">
              <w:rPr>
                <w:sz w:val="16"/>
                <w:szCs w:val="16"/>
              </w:rPr>
              <w:t xml:space="preserve"> </w:t>
            </w:r>
          </w:p>
        </w:tc>
      </w:tr>
      <w:tr w:rsidR="00E67D48" w:rsidTr="00B80F53">
        <w:tc>
          <w:tcPr>
            <w:tcW w:w="1728" w:type="dxa"/>
          </w:tcPr>
          <w:p w:rsidR="00E67D48" w:rsidRPr="0003575E" w:rsidRDefault="00E67D48" w:rsidP="00B80F53">
            <w:pPr>
              <w:tabs>
                <w:tab w:val="left" w:pos="1260"/>
              </w:tabs>
              <w:ind w:left="-6" w:rightChars="120" w:right="252" w:firstLineChars="112" w:firstLine="180"/>
              <w:rPr>
                <w:b/>
                <w:sz w:val="16"/>
                <w:szCs w:val="16"/>
              </w:rPr>
            </w:pPr>
            <w:r w:rsidRPr="0003575E">
              <w:rPr>
                <w:rFonts w:hint="eastAsia"/>
                <w:b/>
                <w:sz w:val="16"/>
                <w:szCs w:val="16"/>
              </w:rPr>
              <w:t xml:space="preserve">  </w:t>
            </w:r>
            <w:r w:rsidRPr="0003575E">
              <w:rPr>
                <w:rFonts w:hint="eastAsia"/>
                <w:b/>
                <w:sz w:val="16"/>
                <w:szCs w:val="16"/>
              </w:rPr>
              <w:t>增长率</w:t>
            </w:r>
          </w:p>
        </w:tc>
        <w:tc>
          <w:tcPr>
            <w:tcW w:w="1358" w:type="dxa"/>
          </w:tcPr>
          <w:p w:rsidR="00E67D48" w:rsidRPr="0003575E" w:rsidRDefault="00E67D48" w:rsidP="00B80F53">
            <w:pPr>
              <w:ind w:rightChars="248" w:right="521"/>
              <w:jc w:val="right"/>
              <w:rPr>
                <w:sz w:val="16"/>
                <w:szCs w:val="16"/>
              </w:rPr>
            </w:pPr>
          </w:p>
        </w:tc>
        <w:tc>
          <w:tcPr>
            <w:tcW w:w="1359" w:type="dxa"/>
            <w:vAlign w:val="bottom"/>
          </w:tcPr>
          <w:p w:rsidR="00E67D48" w:rsidRPr="0003575E" w:rsidRDefault="00E67D48" w:rsidP="00B80F53">
            <w:pPr>
              <w:ind w:rightChars="248" w:right="521"/>
              <w:jc w:val="right"/>
              <w:rPr>
                <w:sz w:val="16"/>
                <w:szCs w:val="16"/>
              </w:rPr>
            </w:pPr>
            <w:r w:rsidRPr="0003575E">
              <w:rPr>
                <w:sz w:val="16"/>
                <w:szCs w:val="16"/>
              </w:rPr>
              <w:t>5.37%</w:t>
            </w:r>
          </w:p>
        </w:tc>
        <w:tc>
          <w:tcPr>
            <w:tcW w:w="1359" w:type="dxa"/>
            <w:vAlign w:val="bottom"/>
          </w:tcPr>
          <w:p w:rsidR="00E67D48" w:rsidRPr="0003575E" w:rsidRDefault="00E67D48" w:rsidP="00B80F53">
            <w:pPr>
              <w:ind w:rightChars="248" w:right="521"/>
              <w:jc w:val="right"/>
              <w:rPr>
                <w:sz w:val="16"/>
                <w:szCs w:val="16"/>
              </w:rPr>
            </w:pPr>
            <w:r w:rsidRPr="0003575E">
              <w:rPr>
                <w:sz w:val="16"/>
                <w:szCs w:val="16"/>
              </w:rPr>
              <w:t>13.85%</w:t>
            </w:r>
          </w:p>
        </w:tc>
        <w:tc>
          <w:tcPr>
            <w:tcW w:w="1359" w:type="dxa"/>
            <w:vAlign w:val="bottom"/>
          </w:tcPr>
          <w:p w:rsidR="00E67D48" w:rsidRPr="0003575E" w:rsidRDefault="00E67D48" w:rsidP="00B80F53">
            <w:pPr>
              <w:ind w:rightChars="248" w:right="521"/>
              <w:jc w:val="right"/>
              <w:rPr>
                <w:sz w:val="16"/>
                <w:szCs w:val="16"/>
              </w:rPr>
            </w:pPr>
            <w:r w:rsidRPr="0003575E">
              <w:rPr>
                <w:sz w:val="16"/>
                <w:szCs w:val="16"/>
              </w:rPr>
              <w:t>4.</w:t>
            </w:r>
            <w:r>
              <w:rPr>
                <w:rFonts w:hint="eastAsia"/>
                <w:sz w:val="16"/>
                <w:szCs w:val="16"/>
              </w:rPr>
              <w:t>32</w:t>
            </w:r>
            <w:r w:rsidRPr="0003575E">
              <w:rPr>
                <w:sz w:val="16"/>
                <w:szCs w:val="16"/>
              </w:rPr>
              <w:t>%</w:t>
            </w:r>
          </w:p>
        </w:tc>
        <w:tc>
          <w:tcPr>
            <w:tcW w:w="1359" w:type="dxa"/>
            <w:vAlign w:val="bottom"/>
          </w:tcPr>
          <w:p w:rsidR="00E67D48" w:rsidRPr="0003575E" w:rsidRDefault="00E67D48" w:rsidP="00B80F53">
            <w:pPr>
              <w:ind w:rightChars="248" w:right="521"/>
              <w:jc w:val="right"/>
              <w:rPr>
                <w:sz w:val="16"/>
                <w:szCs w:val="16"/>
              </w:rPr>
            </w:pPr>
            <w:r>
              <w:rPr>
                <w:rFonts w:hint="eastAsia"/>
                <w:sz w:val="16"/>
                <w:szCs w:val="16"/>
              </w:rPr>
              <w:t>3.87</w:t>
            </w:r>
            <w:r w:rsidRPr="0003575E">
              <w:rPr>
                <w:sz w:val="16"/>
                <w:szCs w:val="16"/>
              </w:rPr>
              <w:t>%</w:t>
            </w:r>
          </w:p>
        </w:tc>
      </w:tr>
      <w:tr w:rsidR="00E67D48" w:rsidTr="00B80F53">
        <w:tc>
          <w:tcPr>
            <w:tcW w:w="1728" w:type="dxa"/>
            <w:shd w:val="clear" w:color="auto" w:fill="81A6BE"/>
          </w:tcPr>
          <w:p w:rsidR="00E67D48" w:rsidRPr="0003575E" w:rsidRDefault="00E67D48" w:rsidP="00B80F53">
            <w:pPr>
              <w:tabs>
                <w:tab w:val="left" w:pos="1260"/>
              </w:tabs>
              <w:ind w:left="-6" w:rightChars="120" w:right="252" w:firstLineChars="112" w:firstLine="180"/>
              <w:rPr>
                <w:b/>
                <w:sz w:val="16"/>
                <w:szCs w:val="16"/>
              </w:rPr>
            </w:pPr>
            <w:r>
              <w:rPr>
                <w:rFonts w:hint="eastAsia"/>
                <w:b/>
                <w:sz w:val="16"/>
                <w:szCs w:val="16"/>
              </w:rPr>
              <w:t xml:space="preserve">  </w:t>
            </w:r>
            <w:r w:rsidRPr="0003575E">
              <w:rPr>
                <w:rFonts w:hint="eastAsia"/>
                <w:b/>
                <w:sz w:val="16"/>
                <w:szCs w:val="16"/>
              </w:rPr>
              <w:t>--</w:t>
            </w:r>
            <w:r w:rsidRPr="0003575E">
              <w:rPr>
                <w:rFonts w:hint="eastAsia"/>
                <w:b/>
                <w:sz w:val="16"/>
                <w:szCs w:val="16"/>
              </w:rPr>
              <w:t>台式机</w:t>
            </w:r>
          </w:p>
        </w:tc>
        <w:tc>
          <w:tcPr>
            <w:tcW w:w="1358" w:type="dxa"/>
            <w:shd w:val="clear" w:color="auto" w:fill="81A6BE"/>
            <w:vAlign w:val="bottom"/>
          </w:tcPr>
          <w:p w:rsidR="00E67D48" w:rsidRPr="0003575E" w:rsidRDefault="00E67D48" w:rsidP="00B80F53">
            <w:pPr>
              <w:ind w:rightChars="248" w:right="521"/>
              <w:jc w:val="right"/>
              <w:rPr>
                <w:sz w:val="16"/>
                <w:szCs w:val="16"/>
              </w:rPr>
            </w:pPr>
            <w:r w:rsidRPr="0003575E">
              <w:rPr>
                <w:sz w:val="16"/>
                <w:szCs w:val="16"/>
              </w:rPr>
              <w:t xml:space="preserve">147 </w:t>
            </w:r>
          </w:p>
        </w:tc>
        <w:tc>
          <w:tcPr>
            <w:tcW w:w="1359" w:type="dxa"/>
            <w:shd w:val="clear" w:color="auto" w:fill="81A6BE"/>
            <w:vAlign w:val="bottom"/>
          </w:tcPr>
          <w:p w:rsidR="00E67D48" w:rsidRPr="0003575E" w:rsidRDefault="00E67D48" w:rsidP="00B80F53">
            <w:pPr>
              <w:ind w:rightChars="248" w:right="521"/>
              <w:jc w:val="right"/>
              <w:rPr>
                <w:sz w:val="16"/>
                <w:szCs w:val="16"/>
              </w:rPr>
            </w:pPr>
            <w:r w:rsidRPr="0003575E">
              <w:rPr>
                <w:sz w:val="16"/>
                <w:szCs w:val="16"/>
              </w:rPr>
              <w:t xml:space="preserve">136 </w:t>
            </w:r>
          </w:p>
        </w:tc>
        <w:tc>
          <w:tcPr>
            <w:tcW w:w="1359" w:type="dxa"/>
            <w:shd w:val="clear" w:color="auto" w:fill="81A6BE"/>
            <w:vAlign w:val="bottom"/>
          </w:tcPr>
          <w:p w:rsidR="00E67D48" w:rsidRPr="0003575E" w:rsidRDefault="00E67D48" w:rsidP="00B80F53">
            <w:pPr>
              <w:ind w:rightChars="248" w:right="521"/>
              <w:jc w:val="right"/>
              <w:rPr>
                <w:sz w:val="16"/>
                <w:szCs w:val="16"/>
              </w:rPr>
            </w:pPr>
            <w:r w:rsidRPr="0003575E">
              <w:rPr>
                <w:sz w:val="16"/>
                <w:szCs w:val="16"/>
              </w:rPr>
              <w:t xml:space="preserve">146 </w:t>
            </w:r>
          </w:p>
        </w:tc>
        <w:tc>
          <w:tcPr>
            <w:tcW w:w="1359" w:type="dxa"/>
            <w:shd w:val="clear" w:color="auto" w:fill="81A6BE"/>
            <w:vAlign w:val="bottom"/>
          </w:tcPr>
          <w:p w:rsidR="00E67D48" w:rsidRPr="0003575E" w:rsidRDefault="00E67D48" w:rsidP="00B80F53">
            <w:pPr>
              <w:ind w:rightChars="248" w:right="521"/>
              <w:jc w:val="right"/>
              <w:rPr>
                <w:sz w:val="16"/>
                <w:szCs w:val="16"/>
              </w:rPr>
            </w:pPr>
            <w:r w:rsidRPr="0003575E">
              <w:rPr>
                <w:sz w:val="16"/>
                <w:szCs w:val="16"/>
              </w:rPr>
              <w:t xml:space="preserve">147 </w:t>
            </w:r>
          </w:p>
        </w:tc>
        <w:tc>
          <w:tcPr>
            <w:tcW w:w="1359" w:type="dxa"/>
            <w:shd w:val="clear" w:color="auto" w:fill="81A6BE"/>
            <w:vAlign w:val="bottom"/>
          </w:tcPr>
          <w:p w:rsidR="00E67D48" w:rsidRPr="0003575E" w:rsidRDefault="00E67D48" w:rsidP="00B80F53">
            <w:pPr>
              <w:ind w:rightChars="248" w:right="521"/>
              <w:jc w:val="right"/>
              <w:rPr>
                <w:sz w:val="16"/>
                <w:szCs w:val="16"/>
              </w:rPr>
            </w:pPr>
            <w:r w:rsidRPr="0003575E">
              <w:rPr>
                <w:sz w:val="16"/>
                <w:szCs w:val="16"/>
              </w:rPr>
              <w:t>14</w:t>
            </w:r>
            <w:r>
              <w:rPr>
                <w:rFonts w:hint="eastAsia"/>
                <w:sz w:val="16"/>
                <w:szCs w:val="16"/>
              </w:rPr>
              <w:t>9</w:t>
            </w:r>
            <w:r w:rsidRPr="0003575E">
              <w:rPr>
                <w:sz w:val="16"/>
                <w:szCs w:val="16"/>
              </w:rPr>
              <w:t xml:space="preserve"> </w:t>
            </w:r>
          </w:p>
        </w:tc>
      </w:tr>
      <w:tr w:rsidR="00E67D48" w:rsidTr="00B80F53">
        <w:tc>
          <w:tcPr>
            <w:tcW w:w="1728" w:type="dxa"/>
          </w:tcPr>
          <w:p w:rsidR="00E67D48" w:rsidRPr="0003575E" w:rsidRDefault="00E67D48" w:rsidP="00B80F53">
            <w:pPr>
              <w:tabs>
                <w:tab w:val="left" w:pos="1260"/>
              </w:tabs>
              <w:ind w:left="-6" w:rightChars="120" w:right="252" w:firstLineChars="112" w:firstLine="180"/>
              <w:rPr>
                <w:b/>
                <w:sz w:val="16"/>
                <w:szCs w:val="16"/>
              </w:rPr>
            </w:pPr>
            <w:r w:rsidRPr="0003575E">
              <w:rPr>
                <w:rFonts w:hint="eastAsia"/>
                <w:b/>
                <w:sz w:val="16"/>
                <w:szCs w:val="16"/>
              </w:rPr>
              <w:t xml:space="preserve">    </w:t>
            </w:r>
            <w:r w:rsidRPr="0003575E">
              <w:rPr>
                <w:rFonts w:hint="eastAsia"/>
                <w:b/>
                <w:sz w:val="16"/>
                <w:szCs w:val="16"/>
              </w:rPr>
              <w:t>增长率</w:t>
            </w:r>
          </w:p>
        </w:tc>
        <w:tc>
          <w:tcPr>
            <w:tcW w:w="1358" w:type="dxa"/>
          </w:tcPr>
          <w:p w:rsidR="00E67D48" w:rsidRPr="0003575E" w:rsidRDefault="00E67D48" w:rsidP="00B80F53">
            <w:pPr>
              <w:ind w:rightChars="248" w:right="521"/>
              <w:jc w:val="right"/>
              <w:rPr>
                <w:sz w:val="16"/>
                <w:szCs w:val="16"/>
              </w:rPr>
            </w:pPr>
          </w:p>
        </w:tc>
        <w:tc>
          <w:tcPr>
            <w:tcW w:w="1359" w:type="dxa"/>
            <w:vAlign w:val="bottom"/>
          </w:tcPr>
          <w:p w:rsidR="00E67D48" w:rsidRPr="0003575E" w:rsidRDefault="00E67D48" w:rsidP="00B80F53">
            <w:pPr>
              <w:ind w:rightChars="248" w:right="521"/>
              <w:jc w:val="right"/>
              <w:rPr>
                <w:sz w:val="16"/>
                <w:szCs w:val="16"/>
              </w:rPr>
            </w:pPr>
            <w:r w:rsidRPr="0003575E">
              <w:rPr>
                <w:sz w:val="16"/>
                <w:szCs w:val="16"/>
              </w:rPr>
              <w:t>-7.23%</w:t>
            </w:r>
          </w:p>
        </w:tc>
        <w:tc>
          <w:tcPr>
            <w:tcW w:w="1359" w:type="dxa"/>
            <w:vAlign w:val="bottom"/>
          </w:tcPr>
          <w:p w:rsidR="00E67D48" w:rsidRPr="0003575E" w:rsidRDefault="00E67D48" w:rsidP="00B80F53">
            <w:pPr>
              <w:ind w:rightChars="248" w:right="521"/>
              <w:jc w:val="right"/>
              <w:rPr>
                <w:sz w:val="16"/>
                <w:szCs w:val="16"/>
              </w:rPr>
            </w:pPr>
            <w:r w:rsidRPr="0003575E">
              <w:rPr>
                <w:sz w:val="16"/>
                <w:szCs w:val="16"/>
              </w:rPr>
              <w:t>7.11%</w:t>
            </w:r>
          </w:p>
        </w:tc>
        <w:tc>
          <w:tcPr>
            <w:tcW w:w="1359" w:type="dxa"/>
            <w:vAlign w:val="bottom"/>
          </w:tcPr>
          <w:p w:rsidR="00E67D48" w:rsidRPr="0003575E" w:rsidRDefault="00E67D48" w:rsidP="00B80F53">
            <w:pPr>
              <w:ind w:rightChars="248" w:right="521"/>
              <w:jc w:val="right"/>
              <w:rPr>
                <w:sz w:val="16"/>
                <w:szCs w:val="16"/>
              </w:rPr>
            </w:pPr>
            <w:r w:rsidRPr="0003575E">
              <w:rPr>
                <w:sz w:val="16"/>
                <w:szCs w:val="16"/>
              </w:rPr>
              <w:t>0.82%</w:t>
            </w:r>
          </w:p>
        </w:tc>
        <w:tc>
          <w:tcPr>
            <w:tcW w:w="1359" w:type="dxa"/>
            <w:vAlign w:val="bottom"/>
          </w:tcPr>
          <w:p w:rsidR="00E67D48" w:rsidRPr="0003575E" w:rsidRDefault="00E67D48" w:rsidP="00B80F53">
            <w:pPr>
              <w:ind w:rightChars="248" w:right="521"/>
              <w:jc w:val="right"/>
              <w:rPr>
                <w:sz w:val="16"/>
                <w:szCs w:val="16"/>
              </w:rPr>
            </w:pPr>
            <w:r>
              <w:rPr>
                <w:rFonts w:hint="eastAsia"/>
                <w:sz w:val="16"/>
                <w:szCs w:val="16"/>
              </w:rPr>
              <w:t>1.36</w:t>
            </w:r>
            <w:r w:rsidRPr="0003575E">
              <w:rPr>
                <w:sz w:val="16"/>
                <w:szCs w:val="16"/>
              </w:rPr>
              <w:t>%</w:t>
            </w:r>
          </w:p>
        </w:tc>
      </w:tr>
      <w:tr w:rsidR="00E67D48" w:rsidTr="00B80F53">
        <w:tc>
          <w:tcPr>
            <w:tcW w:w="1728" w:type="dxa"/>
            <w:shd w:val="clear" w:color="auto" w:fill="81A6BE"/>
          </w:tcPr>
          <w:p w:rsidR="00E67D48" w:rsidRPr="0003575E" w:rsidRDefault="00E67D48" w:rsidP="00B80F53">
            <w:pPr>
              <w:tabs>
                <w:tab w:val="left" w:pos="1260"/>
              </w:tabs>
              <w:ind w:left="-6" w:rightChars="120" w:right="252" w:firstLineChars="112" w:firstLine="180"/>
              <w:rPr>
                <w:b/>
                <w:sz w:val="16"/>
                <w:szCs w:val="16"/>
              </w:rPr>
            </w:pPr>
            <w:r w:rsidRPr="0003575E">
              <w:rPr>
                <w:rFonts w:hint="eastAsia"/>
                <w:b/>
                <w:sz w:val="16"/>
                <w:szCs w:val="16"/>
              </w:rPr>
              <w:t xml:space="preserve">  --</w:t>
            </w:r>
            <w:r w:rsidRPr="0003575E">
              <w:rPr>
                <w:rFonts w:hint="eastAsia"/>
                <w:b/>
                <w:sz w:val="16"/>
                <w:szCs w:val="16"/>
              </w:rPr>
              <w:t>笔记本电脑</w:t>
            </w:r>
          </w:p>
        </w:tc>
        <w:tc>
          <w:tcPr>
            <w:tcW w:w="1358" w:type="dxa"/>
            <w:shd w:val="clear" w:color="auto" w:fill="81A6BE"/>
            <w:vAlign w:val="bottom"/>
          </w:tcPr>
          <w:p w:rsidR="00E67D48" w:rsidRPr="0003575E" w:rsidRDefault="00E67D48" w:rsidP="00B80F53">
            <w:pPr>
              <w:ind w:rightChars="248" w:right="521"/>
              <w:jc w:val="right"/>
              <w:rPr>
                <w:sz w:val="16"/>
                <w:szCs w:val="16"/>
              </w:rPr>
            </w:pPr>
            <w:r w:rsidRPr="0003575E">
              <w:rPr>
                <w:sz w:val="16"/>
                <w:szCs w:val="16"/>
              </w:rPr>
              <w:t xml:space="preserve">143 </w:t>
            </w:r>
          </w:p>
        </w:tc>
        <w:tc>
          <w:tcPr>
            <w:tcW w:w="1359" w:type="dxa"/>
            <w:shd w:val="clear" w:color="auto" w:fill="81A6BE"/>
            <w:vAlign w:val="bottom"/>
          </w:tcPr>
          <w:p w:rsidR="00E67D48" w:rsidRPr="0003575E" w:rsidRDefault="00E67D48" w:rsidP="00B80F53">
            <w:pPr>
              <w:ind w:rightChars="248" w:right="521"/>
              <w:jc w:val="right"/>
              <w:rPr>
                <w:sz w:val="16"/>
                <w:szCs w:val="16"/>
              </w:rPr>
            </w:pPr>
            <w:r w:rsidRPr="0003575E">
              <w:rPr>
                <w:sz w:val="16"/>
                <w:szCs w:val="16"/>
              </w:rPr>
              <w:t xml:space="preserve">169 </w:t>
            </w:r>
          </w:p>
        </w:tc>
        <w:tc>
          <w:tcPr>
            <w:tcW w:w="1359" w:type="dxa"/>
            <w:shd w:val="clear" w:color="auto" w:fill="81A6BE"/>
            <w:vAlign w:val="bottom"/>
          </w:tcPr>
          <w:p w:rsidR="00E67D48" w:rsidRPr="0003575E" w:rsidRDefault="00E67D48" w:rsidP="00B80F53">
            <w:pPr>
              <w:ind w:rightChars="248" w:right="521"/>
              <w:jc w:val="right"/>
              <w:rPr>
                <w:sz w:val="16"/>
                <w:szCs w:val="16"/>
              </w:rPr>
            </w:pPr>
            <w:r w:rsidRPr="0003575E">
              <w:rPr>
                <w:sz w:val="16"/>
                <w:szCs w:val="16"/>
              </w:rPr>
              <w:t xml:space="preserve">201 </w:t>
            </w:r>
          </w:p>
        </w:tc>
        <w:tc>
          <w:tcPr>
            <w:tcW w:w="1359" w:type="dxa"/>
            <w:shd w:val="clear" w:color="auto" w:fill="81A6BE"/>
            <w:vAlign w:val="bottom"/>
          </w:tcPr>
          <w:p w:rsidR="00E67D48" w:rsidRPr="0003575E" w:rsidRDefault="00E67D48" w:rsidP="00B80F53">
            <w:pPr>
              <w:ind w:rightChars="248" w:right="521"/>
              <w:jc w:val="right"/>
              <w:rPr>
                <w:sz w:val="16"/>
                <w:szCs w:val="16"/>
              </w:rPr>
            </w:pPr>
            <w:r w:rsidRPr="0003575E">
              <w:rPr>
                <w:sz w:val="16"/>
                <w:szCs w:val="16"/>
              </w:rPr>
              <w:t xml:space="preserve">215 </w:t>
            </w:r>
          </w:p>
        </w:tc>
        <w:tc>
          <w:tcPr>
            <w:tcW w:w="1359" w:type="dxa"/>
            <w:shd w:val="clear" w:color="auto" w:fill="81A6BE"/>
            <w:vAlign w:val="bottom"/>
          </w:tcPr>
          <w:p w:rsidR="00E67D48" w:rsidRPr="0003575E" w:rsidRDefault="00E67D48" w:rsidP="00B80F53">
            <w:pPr>
              <w:ind w:rightChars="248" w:right="521"/>
              <w:jc w:val="right"/>
              <w:rPr>
                <w:sz w:val="16"/>
                <w:szCs w:val="16"/>
              </w:rPr>
            </w:pPr>
            <w:r>
              <w:rPr>
                <w:rFonts w:hint="eastAsia"/>
                <w:sz w:val="16"/>
                <w:szCs w:val="16"/>
              </w:rPr>
              <w:t>237</w:t>
            </w:r>
            <w:r w:rsidRPr="0003575E">
              <w:rPr>
                <w:sz w:val="16"/>
                <w:szCs w:val="16"/>
              </w:rPr>
              <w:t xml:space="preserve"> </w:t>
            </w:r>
          </w:p>
        </w:tc>
      </w:tr>
      <w:tr w:rsidR="00E67D48" w:rsidTr="00B80F53">
        <w:tc>
          <w:tcPr>
            <w:tcW w:w="1728" w:type="dxa"/>
          </w:tcPr>
          <w:p w:rsidR="00E67D48" w:rsidRPr="0003575E" w:rsidRDefault="00E67D48" w:rsidP="00B80F53">
            <w:pPr>
              <w:tabs>
                <w:tab w:val="left" w:pos="1260"/>
              </w:tabs>
              <w:ind w:left="-6" w:rightChars="120" w:right="252" w:firstLineChars="310" w:firstLine="498"/>
              <w:rPr>
                <w:b/>
                <w:sz w:val="16"/>
                <w:szCs w:val="16"/>
              </w:rPr>
            </w:pPr>
            <w:r w:rsidRPr="0003575E">
              <w:rPr>
                <w:rFonts w:hint="eastAsia"/>
                <w:b/>
                <w:sz w:val="16"/>
                <w:szCs w:val="16"/>
              </w:rPr>
              <w:t>增长率</w:t>
            </w:r>
          </w:p>
        </w:tc>
        <w:tc>
          <w:tcPr>
            <w:tcW w:w="1358" w:type="dxa"/>
          </w:tcPr>
          <w:p w:rsidR="00E67D48" w:rsidRPr="0003575E" w:rsidRDefault="00E67D48" w:rsidP="00B80F53">
            <w:pPr>
              <w:ind w:rightChars="248" w:right="521"/>
              <w:jc w:val="right"/>
              <w:rPr>
                <w:sz w:val="16"/>
                <w:szCs w:val="16"/>
              </w:rPr>
            </w:pPr>
          </w:p>
        </w:tc>
        <w:tc>
          <w:tcPr>
            <w:tcW w:w="1359" w:type="dxa"/>
            <w:vAlign w:val="bottom"/>
          </w:tcPr>
          <w:p w:rsidR="00E67D48" w:rsidRPr="0003575E" w:rsidRDefault="00E67D48" w:rsidP="00B80F53">
            <w:pPr>
              <w:ind w:rightChars="248" w:right="521"/>
              <w:jc w:val="right"/>
              <w:rPr>
                <w:sz w:val="16"/>
                <w:szCs w:val="16"/>
              </w:rPr>
            </w:pPr>
            <w:r w:rsidRPr="0003575E">
              <w:rPr>
                <w:sz w:val="16"/>
                <w:szCs w:val="16"/>
              </w:rPr>
              <w:t>18.35%</w:t>
            </w:r>
          </w:p>
        </w:tc>
        <w:tc>
          <w:tcPr>
            <w:tcW w:w="1359" w:type="dxa"/>
            <w:vAlign w:val="bottom"/>
          </w:tcPr>
          <w:p w:rsidR="00E67D48" w:rsidRPr="0003575E" w:rsidRDefault="00E67D48" w:rsidP="00B80F53">
            <w:pPr>
              <w:ind w:rightChars="248" w:right="521"/>
              <w:jc w:val="right"/>
              <w:rPr>
                <w:sz w:val="16"/>
                <w:szCs w:val="16"/>
              </w:rPr>
            </w:pPr>
            <w:r w:rsidRPr="0003575E">
              <w:rPr>
                <w:sz w:val="16"/>
                <w:szCs w:val="16"/>
              </w:rPr>
              <w:t>19.29%</w:t>
            </w:r>
          </w:p>
        </w:tc>
        <w:tc>
          <w:tcPr>
            <w:tcW w:w="1359" w:type="dxa"/>
            <w:vAlign w:val="bottom"/>
          </w:tcPr>
          <w:p w:rsidR="00E67D48" w:rsidRPr="0003575E" w:rsidRDefault="00E67D48" w:rsidP="00B80F53">
            <w:pPr>
              <w:ind w:rightChars="248" w:right="521"/>
              <w:jc w:val="right"/>
              <w:rPr>
                <w:sz w:val="16"/>
                <w:szCs w:val="16"/>
              </w:rPr>
            </w:pPr>
            <w:r w:rsidRPr="0003575E">
              <w:rPr>
                <w:sz w:val="16"/>
                <w:szCs w:val="16"/>
              </w:rPr>
              <w:t>6.66%</w:t>
            </w:r>
          </w:p>
        </w:tc>
        <w:tc>
          <w:tcPr>
            <w:tcW w:w="1359" w:type="dxa"/>
            <w:vAlign w:val="bottom"/>
          </w:tcPr>
          <w:p w:rsidR="00E67D48" w:rsidRPr="0003575E" w:rsidRDefault="00E67D48" w:rsidP="00B80F53">
            <w:pPr>
              <w:ind w:rightChars="248" w:right="521"/>
              <w:jc w:val="right"/>
              <w:rPr>
                <w:sz w:val="16"/>
                <w:szCs w:val="16"/>
              </w:rPr>
            </w:pPr>
            <w:r>
              <w:rPr>
                <w:rFonts w:hint="eastAsia"/>
                <w:sz w:val="16"/>
                <w:szCs w:val="16"/>
              </w:rPr>
              <w:t>10.10</w:t>
            </w:r>
            <w:r w:rsidRPr="0003575E">
              <w:rPr>
                <w:sz w:val="16"/>
                <w:szCs w:val="16"/>
              </w:rPr>
              <w:t>%</w:t>
            </w:r>
          </w:p>
        </w:tc>
      </w:tr>
      <w:tr w:rsidR="00E67D48" w:rsidTr="00B80F53">
        <w:tc>
          <w:tcPr>
            <w:tcW w:w="1728" w:type="dxa"/>
            <w:shd w:val="clear" w:color="auto" w:fill="FF8080"/>
          </w:tcPr>
          <w:p w:rsidR="00E67D48" w:rsidRPr="0003575E" w:rsidRDefault="00E67D48" w:rsidP="00B80F53">
            <w:pPr>
              <w:tabs>
                <w:tab w:val="left" w:pos="1260"/>
              </w:tabs>
              <w:ind w:left="-6" w:rightChars="120" w:right="252" w:firstLineChars="112" w:firstLine="180"/>
              <w:rPr>
                <w:b/>
                <w:sz w:val="16"/>
                <w:szCs w:val="16"/>
              </w:rPr>
            </w:pPr>
            <w:r w:rsidRPr="0003575E">
              <w:rPr>
                <w:rFonts w:hint="eastAsia"/>
                <w:b/>
                <w:sz w:val="16"/>
                <w:szCs w:val="16"/>
              </w:rPr>
              <w:t>平板电脑</w:t>
            </w:r>
          </w:p>
        </w:tc>
        <w:tc>
          <w:tcPr>
            <w:tcW w:w="1358" w:type="dxa"/>
            <w:shd w:val="clear" w:color="auto" w:fill="FF8080"/>
          </w:tcPr>
          <w:p w:rsidR="00E67D48" w:rsidRPr="0003575E" w:rsidRDefault="00E67D48" w:rsidP="00B80F53">
            <w:pPr>
              <w:ind w:rightChars="248" w:right="521"/>
              <w:jc w:val="right"/>
              <w:rPr>
                <w:sz w:val="16"/>
                <w:szCs w:val="16"/>
              </w:rPr>
            </w:pPr>
          </w:p>
        </w:tc>
        <w:tc>
          <w:tcPr>
            <w:tcW w:w="1359" w:type="dxa"/>
            <w:shd w:val="clear" w:color="auto" w:fill="FF8080"/>
          </w:tcPr>
          <w:p w:rsidR="00E67D48" w:rsidRPr="0003575E" w:rsidRDefault="00E67D48" w:rsidP="00B80F53">
            <w:pPr>
              <w:ind w:rightChars="248" w:right="521"/>
              <w:jc w:val="right"/>
              <w:rPr>
                <w:sz w:val="16"/>
                <w:szCs w:val="16"/>
              </w:rPr>
            </w:pPr>
          </w:p>
        </w:tc>
        <w:tc>
          <w:tcPr>
            <w:tcW w:w="1359" w:type="dxa"/>
            <w:shd w:val="clear" w:color="auto" w:fill="FF8080"/>
            <w:vAlign w:val="bottom"/>
          </w:tcPr>
          <w:p w:rsidR="00E67D48" w:rsidRPr="0003575E" w:rsidRDefault="00E67D48" w:rsidP="00B80F53">
            <w:pPr>
              <w:ind w:rightChars="248" w:right="521"/>
              <w:jc w:val="right"/>
              <w:rPr>
                <w:sz w:val="16"/>
                <w:szCs w:val="16"/>
              </w:rPr>
            </w:pPr>
            <w:r w:rsidRPr="0003575E">
              <w:rPr>
                <w:sz w:val="16"/>
                <w:szCs w:val="16"/>
              </w:rPr>
              <w:t xml:space="preserve">18 </w:t>
            </w:r>
          </w:p>
        </w:tc>
        <w:tc>
          <w:tcPr>
            <w:tcW w:w="1359" w:type="dxa"/>
            <w:shd w:val="clear" w:color="auto" w:fill="FF8080"/>
            <w:vAlign w:val="bottom"/>
          </w:tcPr>
          <w:p w:rsidR="00E67D48" w:rsidRPr="0003575E" w:rsidRDefault="00E67D48" w:rsidP="00B80F53">
            <w:pPr>
              <w:ind w:rightChars="248" w:right="521"/>
              <w:jc w:val="right"/>
              <w:rPr>
                <w:sz w:val="16"/>
                <w:szCs w:val="16"/>
              </w:rPr>
            </w:pPr>
            <w:r>
              <w:rPr>
                <w:rFonts w:hint="eastAsia"/>
                <w:sz w:val="16"/>
                <w:szCs w:val="16"/>
              </w:rPr>
              <w:t>63</w:t>
            </w:r>
            <w:r w:rsidRPr="0003575E">
              <w:rPr>
                <w:sz w:val="16"/>
                <w:szCs w:val="16"/>
              </w:rPr>
              <w:t xml:space="preserve"> </w:t>
            </w:r>
          </w:p>
        </w:tc>
        <w:tc>
          <w:tcPr>
            <w:tcW w:w="1359" w:type="dxa"/>
            <w:shd w:val="clear" w:color="auto" w:fill="FF8080"/>
            <w:vAlign w:val="bottom"/>
          </w:tcPr>
          <w:p w:rsidR="00E67D48" w:rsidRPr="0003575E" w:rsidRDefault="00E67D48" w:rsidP="00B80F53">
            <w:pPr>
              <w:ind w:rightChars="248" w:right="521"/>
              <w:jc w:val="right"/>
              <w:rPr>
                <w:sz w:val="16"/>
                <w:szCs w:val="16"/>
              </w:rPr>
            </w:pPr>
            <w:r>
              <w:rPr>
                <w:rFonts w:hint="eastAsia"/>
                <w:sz w:val="16"/>
                <w:szCs w:val="16"/>
              </w:rPr>
              <w:t>110</w:t>
            </w:r>
            <w:r w:rsidRPr="0003575E">
              <w:rPr>
                <w:sz w:val="16"/>
                <w:szCs w:val="16"/>
              </w:rPr>
              <w:t xml:space="preserve"> </w:t>
            </w:r>
          </w:p>
        </w:tc>
      </w:tr>
      <w:tr w:rsidR="00E67D48" w:rsidTr="00B80F53">
        <w:tc>
          <w:tcPr>
            <w:tcW w:w="1728" w:type="dxa"/>
          </w:tcPr>
          <w:p w:rsidR="00E67D48" w:rsidRPr="0003575E" w:rsidRDefault="00E67D48" w:rsidP="00B80F53">
            <w:pPr>
              <w:tabs>
                <w:tab w:val="left" w:pos="1260"/>
              </w:tabs>
              <w:ind w:left="-6" w:rightChars="120" w:right="252" w:firstLineChars="112" w:firstLine="180"/>
              <w:rPr>
                <w:b/>
                <w:sz w:val="16"/>
                <w:szCs w:val="16"/>
              </w:rPr>
            </w:pPr>
            <w:r w:rsidRPr="0003575E">
              <w:rPr>
                <w:rFonts w:hint="eastAsia"/>
                <w:b/>
                <w:sz w:val="16"/>
                <w:szCs w:val="16"/>
              </w:rPr>
              <w:t xml:space="preserve">  </w:t>
            </w:r>
            <w:r w:rsidRPr="0003575E">
              <w:rPr>
                <w:rFonts w:hint="eastAsia"/>
                <w:b/>
                <w:sz w:val="16"/>
                <w:szCs w:val="16"/>
              </w:rPr>
              <w:t>增长率</w:t>
            </w:r>
          </w:p>
        </w:tc>
        <w:tc>
          <w:tcPr>
            <w:tcW w:w="1358" w:type="dxa"/>
          </w:tcPr>
          <w:p w:rsidR="00E67D48" w:rsidRPr="0003575E" w:rsidRDefault="00E67D48" w:rsidP="00B80F53">
            <w:pPr>
              <w:ind w:rightChars="248" w:right="521"/>
              <w:jc w:val="right"/>
              <w:rPr>
                <w:sz w:val="16"/>
                <w:szCs w:val="16"/>
              </w:rPr>
            </w:pPr>
          </w:p>
        </w:tc>
        <w:tc>
          <w:tcPr>
            <w:tcW w:w="1359" w:type="dxa"/>
          </w:tcPr>
          <w:p w:rsidR="00E67D48" w:rsidRPr="0003575E" w:rsidRDefault="00E67D48" w:rsidP="00B80F53">
            <w:pPr>
              <w:ind w:rightChars="248" w:right="521"/>
              <w:jc w:val="right"/>
              <w:rPr>
                <w:sz w:val="16"/>
                <w:szCs w:val="16"/>
              </w:rPr>
            </w:pPr>
          </w:p>
        </w:tc>
        <w:tc>
          <w:tcPr>
            <w:tcW w:w="1359" w:type="dxa"/>
          </w:tcPr>
          <w:p w:rsidR="00E67D48" w:rsidRPr="0003575E" w:rsidRDefault="00E67D48" w:rsidP="00B80F53">
            <w:pPr>
              <w:ind w:rightChars="248" w:right="521"/>
              <w:jc w:val="right"/>
              <w:rPr>
                <w:sz w:val="16"/>
                <w:szCs w:val="16"/>
              </w:rPr>
            </w:pPr>
          </w:p>
        </w:tc>
        <w:tc>
          <w:tcPr>
            <w:tcW w:w="1359" w:type="dxa"/>
            <w:vAlign w:val="bottom"/>
          </w:tcPr>
          <w:p w:rsidR="00E67D48" w:rsidRPr="00DE036A" w:rsidRDefault="00E67D48" w:rsidP="00B80F53">
            <w:pPr>
              <w:ind w:rightChars="248" w:right="521"/>
              <w:jc w:val="right"/>
              <w:rPr>
                <w:b/>
                <w:color w:val="FF0000"/>
                <w:sz w:val="16"/>
                <w:szCs w:val="16"/>
              </w:rPr>
            </w:pPr>
            <w:r>
              <w:rPr>
                <w:rFonts w:hint="eastAsia"/>
                <w:b/>
                <w:color w:val="FF0000"/>
                <w:sz w:val="16"/>
                <w:szCs w:val="16"/>
              </w:rPr>
              <w:t>250.00</w:t>
            </w:r>
            <w:r w:rsidRPr="00DE036A">
              <w:rPr>
                <w:b/>
                <w:color w:val="FF0000"/>
                <w:sz w:val="16"/>
                <w:szCs w:val="16"/>
              </w:rPr>
              <w:t>%</w:t>
            </w:r>
          </w:p>
        </w:tc>
        <w:tc>
          <w:tcPr>
            <w:tcW w:w="1359" w:type="dxa"/>
            <w:vAlign w:val="bottom"/>
          </w:tcPr>
          <w:p w:rsidR="00E67D48" w:rsidRPr="00DE036A" w:rsidRDefault="00E67D48" w:rsidP="00B80F53">
            <w:pPr>
              <w:ind w:rightChars="248" w:right="521"/>
              <w:jc w:val="right"/>
              <w:rPr>
                <w:b/>
                <w:color w:val="FF0000"/>
                <w:sz w:val="16"/>
                <w:szCs w:val="16"/>
              </w:rPr>
            </w:pPr>
            <w:r>
              <w:rPr>
                <w:rFonts w:hint="eastAsia"/>
                <w:b/>
                <w:color w:val="FF0000"/>
                <w:sz w:val="16"/>
                <w:szCs w:val="16"/>
              </w:rPr>
              <w:t>75.00</w:t>
            </w:r>
            <w:r w:rsidRPr="00DE036A">
              <w:rPr>
                <w:b/>
                <w:color w:val="FF0000"/>
                <w:sz w:val="16"/>
                <w:szCs w:val="16"/>
              </w:rPr>
              <w:t>%</w:t>
            </w:r>
          </w:p>
        </w:tc>
      </w:tr>
      <w:tr w:rsidR="00E67D48" w:rsidTr="00B80F53">
        <w:tc>
          <w:tcPr>
            <w:tcW w:w="1728" w:type="dxa"/>
            <w:shd w:val="clear" w:color="auto" w:fill="FF8080"/>
          </w:tcPr>
          <w:p w:rsidR="00E67D48" w:rsidRPr="0003575E" w:rsidRDefault="00E67D48" w:rsidP="00B80F53">
            <w:pPr>
              <w:tabs>
                <w:tab w:val="left" w:pos="1260"/>
              </w:tabs>
              <w:ind w:left="-6" w:rightChars="120" w:right="252" w:firstLineChars="112" w:firstLine="180"/>
              <w:rPr>
                <w:b/>
                <w:sz w:val="16"/>
                <w:szCs w:val="16"/>
              </w:rPr>
            </w:pPr>
            <w:r w:rsidRPr="0003575E">
              <w:rPr>
                <w:rFonts w:hint="eastAsia"/>
                <w:b/>
                <w:sz w:val="16"/>
                <w:szCs w:val="16"/>
              </w:rPr>
              <w:t>手机</w:t>
            </w:r>
          </w:p>
        </w:tc>
        <w:tc>
          <w:tcPr>
            <w:tcW w:w="1358" w:type="dxa"/>
            <w:shd w:val="clear" w:color="auto" w:fill="FF8080"/>
            <w:vAlign w:val="bottom"/>
          </w:tcPr>
          <w:p w:rsidR="00E67D48" w:rsidRPr="0003575E" w:rsidRDefault="00E67D48" w:rsidP="00B80F53">
            <w:pPr>
              <w:ind w:rightChars="248" w:right="521"/>
              <w:jc w:val="right"/>
              <w:rPr>
                <w:sz w:val="16"/>
                <w:szCs w:val="16"/>
              </w:rPr>
            </w:pPr>
            <w:r w:rsidRPr="0003575E">
              <w:rPr>
                <w:sz w:val="16"/>
                <w:szCs w:val="16"/>
              </w:rPr>
              <w:t xml:space="preserve">118 </w:t>
            </w:r>
          </w:p>
        </w:tc>
        <w:tc>
          <w:tcPr>
            <w:tcW w:w="1359" w:type="dxa"/>
            <w:shd w:val="clear" w:color="auto" w:fill="FF8080"/>
            <w:vAlign w:val="bottom"/>
          </w:tcPr>
          <w:p w:rsidR="00E67D48" w:rsidRPr="0003575E" w:rsidRDefault="00E67D48" w:rsidP="00B80F53">
            <w:pPr>
              <w:ind w:rightChars="248" w:right="521"/>
              <w:jc w:val="right"/>
              <w:rPr>
                <w:sz w:val="16"/>
                <w:szCs w:val="16"/>
              </w:rPr>
            </w:pPr>
            <w:r w:rsidRPr="0003575E">
              <w:rPr>
                <w:sz w:val="16"/>
                <w:szCs w:val="16"/>
              </w:rPr>
              <w:t xml:space="preserve">117 </w:t>
            </w:r>
          </w:p>
        </w:tc>
        <w:tc>
          <w:tcPr>
            <w:tcW w:w="1359" w:type="dxa"/>
            <w:shd w:val="clear" w:color="auto" w:fill="FF8080"/>
            <w:vAlign w:val="bottom"/>
          </w:tcPr>
          <w:p w:rsidR="00E67D48" w:rsidRPr="0003575E" w:rsidRDefault="00E67D48" w:rsidP="00B80F53">
            <w:pPr>
              <w:ind w:rightChars="248" w:right="521"/>
              <w:jc w:val="right"/>
              <w:rPr>
                <w:sz w:val="16"/>
                <w:szCs w:val="16"/>
              </w:rPr>
            </w:pPr>
            <w:r w:rsidRPr="0003575E">
              <w:rPr>
                <w:sz w:val="16"/>
                <w:szCs w:val="16"/>
              </w:rPr>
              <w:t xml:space="preserve">139 </w:t>
            </w:r>
          </w:p>
        </w:tc>
        <w:tc>
          <w:tcPr>
            <w:tcW w:w="1359" w:type="dxa"/>
            <w:shd w:val="clear" w:color="auto" w:fill="FF8080"/>
            <w:vAlign w:val="bottom"/>
          </w:tcPr>
          <w:p w:rsidR="00E67D48" w:rsidRPr="0003575E" w:rsidRDefault="00E67D48" w:rsidP="00B80F53">
            <w:pPr>
              <w:ind w:rightChars="248" w:right="521"/>
              <w:jc w:val="right"/>
              <w:rPr>
                <w:sz w:val="16"/>
                <w:szCs w:val="16"/>
              </w:rPr>
            </w:pPr>
            <w:r>
              <w:rPr>
                <w:rFonts w:hint="eastAsia"/>
                <w:sz w:val="16"/>
                <w:szCs w:val="16"/>
              </w:rPr>
              <w:t>149</w:t>
            </w:r>
          </w:p>
        </w:tc>
        <w:tc>
          <w:tcPr>
            <w:tcW w:w="1359" w:type="dxa"/>
            <w:shd w:val="clear" w:color="auto" w:fill="FF8080"/>
            <w:vAlign w:val="bottom"/>
          </w:tcPr>
          <w:p w:rsidR="00E67D48" w:rsidRPr="0003575E" w:rsidRDefault="00E67D48" w:rsidP="00B80F53">
            <w:pPr>
              <w:ind w:rightChars="248" w:right="521"/>
              <w:jc w:val="right"/>
              <w:rPr>
                <w:sz w:val="16"/>
                <w:szCs w:val="16"/>
              </w:rPr>
            </w:pPr>
            <w:r w:rsidRPr="0003575E">
              <w:rPr>
                <w:sz w:val="16"/>
                <w:szCs w:val="16"/>
              </w:rPr>
              <w:t xml:space="preserve">176 </w:t>
            </w:r>
          </w:p>
        </w:tc>
      </w:tr>
      <w:tr w:rsidR="00E67D48" w:rsidTr="00B80F53">
        <w:tc>
          <w:tcPr>
            <w:tcW w:w="1728" w:type="dxa"/>
          </w:tcPr>
          <w:p w:rsidR="00E67D48" w:rsidRPr="0003575E" w:rsidRDefault="00E67D48" w:rsidP="00B80F53">
            <w:pPr>
              <w:tabs>
                <w:tab w:val="left" w:pos="1260"/>
              </w:tabs>
              <w:ind w:left="-6" w:rightChars="120" w:right="252" w:firstLineChars="112" w:firstLine="180"/>
              <w:rPr>
                <w:b/>
                <w:sz w:val="16"/>
                <w:szCs w:val="16"/>
              </w:rPr>
            </w:pPr>
            <w:r w:rsidRPr="0003575E">
              <w:rPr>
                <w:rFonts w:hint="eastAsia"/>
                <w:b/>
                <w:sz w:val="16"/>
                <w:szCs w:val="16"/>
              </w:rPr>
              <w:t xml:space="preserve">  </w:t>
            </w:r>
            <w:r w:rsidRPr="0003575E">
              <w:rPr>
                <w:rFonts w:hint="eastAsia"/>
                <w:b/>
                <w:sz w:val="16"/>
                <w:szCs w:val="16"/>
              </w:rPr>
              <w:t>增长率</w:t>
            </w:r>
          </w:p>
        </w:tc>
        <w:tc>
          <w:tcPr>
            <w:tcW w:w="1358" w:type="dxa"/>
          </w:tcPr>
          <w:p w:rsidR="00E67D48" w:rsidRPr="0003575E" w:rsidRDefault="00E67D48" w:rsidP="00B80F53">
            <w:pPr>
              <w:ind w:rightChars="248" w:right="521"/>
              <w:jc w:val="right"/>
              <w:rPr>
                <w:sz w:val="16"/>
                <w:szCs w:val="16"/>
              </w:rPr>
            </w:pPr>
          </w:p>
        </w:tc>
        <w:tc>
          <w:tcPr>
            <w:tcW w:w="1359" w:type="dxa"/>
            <w:vAlign w:val="bottom"/>
          </w:tcPr>
          <w:p w:rsidR="00E67D48" w:rsidRPr="0003575E" w:rsidRDefault="00E67D48" w:rsidP="00B80F53">
            <w:pPr>
              <w:ind w:rightChars="248" w:right="521"/>
              <w:jc w:val="right"/>
              <w:rPr>
                <w:sz w:val="16"/>
                <w:szCs w:val="16"/>
              </w:rPr>
            </w:pPr>
            <w:r w:rsidRPr="0003575E">
              <w:rPr>
                <w:sz w:val="16"/>
                <w:szCs w:val="16"/>
              </w:rPr>
              <w:t>-0.79%</w:t>
            </w:r>
          </w:p>
        </w:tc>
        <w:tc>
          <w:tcPr>
            <w:tcW w:w="1359" w:type="dxa"/>
            <w:vAlign w:val="bottom"/>
          </w:tcPr>
          <w:p w:rsidR="00E67D48" w:rsidRPr="0003575E" w:rsidRDefault="00E67D48" w:rsidP="00B80F53">
            <w:pPr>
              <w:ind w:rightChars="248" w:right="521"/>
              <w:jc w:val="right"/>
              <w:rPr>
                <w:sz w:val="16"/>
                <w:szCs w:val="16"/>
              </w:rPr>
            </w:pPr>
            <w:r w:rsidRPr="0003575E">
              <w:rPr>
                <w:sz w:val="16"/>
                <w:szCs w:val="16"/>
              </w:rPr>
              <w:t>18.49%</w:t>
            </w:r>
          </w:p>
        </w:tc>
        <w:tc>
          <w:tcPr>
            <w:tcW w:w="1359" w:type="dxa"/>
            <w:vAlign w:val="bottom"/>
          </w:tcPr>
          <w:p w:rsidR="00E67D48" w:rsidRPr="0003575E" w:rsidRDefault="00E67D48" w:rsidP="00B80F53">
            <w:pPr>
              <w:ind w:rightChars="248" w:right="521"/>
              <w:jc w:val="right"/>
              <w:rPr>
                <w:sz w:val="16"/>
                <w:szCs w:val="16"/>
              </w:rPr>
            </w:pPr>
            <w:r>
              <w:rPr>
                <w:rFonts w:hint="eastAsia"/>
                <w:sz w:val="16"/>
                <w:szCs w:val="16"/>
              </w:rPr>
              <w:t>8.200</w:t>
            </w:r>
            <w:r w:rsidRPr="0003575E">
              <w:rPr>
                <w:sz w:val="16"/>
                <w:szCs w:val="16"/>
              </w:rPr>
              <w:t>%</w:t>
            </w:r>
          </w:p>
        </w:tc>
        <w:tc>
          <w:tcPr>
            <w:tcW w:w="1359" w:type="dxa"/>
            <w:vAlign w:val="bottom"/>
          </w:tcPr>
          <w:p w:rsidR="00E67D48" w:rsidRPr="0003575E" w:rsidRDefault="00E67D48" w:rsidP="00B80F53">
            <w:pPr>
              <w:ind w:rightChars="248" w:right="521"/>
              <w:jc w:val="right"/>
              <w:rPr>
                <w:sz w:val="16"/>
                <w:szCs w:val="16"/>
              </w:rPr>
            </w:pPr>
            <w:r w:rsidRPr="0003575E">
              <w:rPr>
                <w:sz w:val="16"/>
                <w:szCs w:val="16"/>
              </w:rPr>
              <w:t>1</w:t>
            </w:r>
            <w:r>
              <w:rPr>
                <w:rFonts w:hint="eastAsia"/>
                <w:sz w:val="16"/>
                <w:szCs w:val="16"/>
              </w:rPr>
              <w:t>8</w:t>
            </w:r>
            <w:r>
              <w:rPr>
                <w:sz w:val="16"/>
                <w:szCs w:val="16"/>
              </w:rPr>
              <w:t>.</w:t>
            </w:r>
            <w:r>
              <w:rPr>
                <w:rFonts w:hint="eastAsia"/>
                <w:sz w:val="16"/>
                <w:szCs w:val="16"/>
              </w:rPr>
              <w:t>1</w:t>
            </w:r>
            <w:r w:rsidRPr="0003575E">
              <w:rPr>
                <w:sz w:val="16"/>
                <w:szCs w:val="16"/>
              </w:rPr>
              <w:t>0%</w:t>
            </w:r>
          </w:p>
        </w:tc>
      </w:tr>
      <w:tr w:rsidR="00E67D48" w:rsidTr="00B80F53">
        <w:tc>
          <w:tcPr>
            <w:tcW w:w="1728" w:type="dxa"/>
            <w:shd w:val="clear" w:color="auto" w:fill="FF8080"/>
          </w:tcPr>
          <w:p w:rsidR="00E67D48" w:rsidRPr="0003575E" w:rsidRDefault="00E67D48" w:rsidP="00B80F53">
            <w:pPr>
              <w:tabs>
                <w:tab w:val="left" w:pos="1260"/>
              </w:tabs>
              <w:ind w:left="-6" w:rightChars="120" w:right="252" w:firstLineChars="112" w:firstLine="180"/>
              <w:rPr>
                <w:b/>
                <w:sz w:val="16"/>
                <w:szCs w:val="16"/>
              </w:rPr>
            </w:pPr>
            <w:r w:rsidRPr="0003575E">
              <w:rPr>
                <w:rFonts w:hint="eastAsia"/>
                <w:b/>
                <w:sz w:val="16"/>
                <w:szCs w:val="16"/>
              </w:rPr>
              <w:t>智能手机</w:t>
            </w:r>
          </w:p>
        </w:tc>
        <w:tc>
          <w:tcPr>
            <w:tcW w:w="1358" w:type="dxa"/>
            <w:shd w:val="clear" w:color="auto" w:fill="FF8080"/>
            <w:vAlign w:val="bottom"/>
          </w:tcPr>
          <w:p w:rsidR="00E67D48" w:rsidRPr="0003575E" w:rsidRDefault="00E67D48" w:rsidP="00B80F53">
            <w:pPr>
              <w:ind w:rightChars="248" w:right="521"/>
              <w:jc w:val="right"/>
              <w:rPr>
                <w:sz w:val="16"/>
                <w:szCs w:val="16"/>
              </w:rPr>
            </w:pPr>
            <w:r w:rsidRPr="0003575E">
              <w:rPr>
                <w:sz w:val="16"/>
                <w:szCs w:val="16"/>
              </w:rPr>
              <w:t xml:space="preserve">139 </w:t>
            </w:r>
          </w:p>
        </w:tc>
        <w:tc>
          <w:tcPr>
            <w:tcW w:w="1359" w:type="dxa"/>
            <w:shd w:val="clear" w:color="auto" w:fill="FF8080"/>
            <w:vAlign w:val="bottom"/>
          </w:tcPr>
          <w:p w:rsidR="00E67D48" w:rsidRPr="0003575E" w:rsidRDefault="00E67D48" w:rsidP="00B80F53">
            <w:pPr>
              <w:ind w:rightChars="248" w:right="521"/>
              <w:jc w:val="right"/>
              <w:rPr>
                <w:sz w:val="16"/>
                <w:szCs w:val="16"/>
              </w:rPr>
            </w:pPr>
            <w:r w:rsidRPr="0003575E">
              <w:rPr>
                <w:sz w:val="16"/>
                <w:szCs w:val="16"/>
              </w:rPr>
              <w:t>17</w:t>
            </w:r>
            <w:r>
              <w:rPr>
                <w:rFonts w:hint="eastAsia"/>
                <w:sz w:val="16"/>
                <w:szCs w:val="16"/>
              </w:rPr>
              <w:t>3</w:t>
            </w:r>
          </w:p>
        </w:tc>
        <w:tc>
          <w:tcPr>
            <w:tcW w:w="1359" w:type="dxa"/>
            <w:shd w:val="clear" w:color="auto" w:fill="FF8080"/>
            <w:vAlign w:val="bottom"/>
          </w:tcPr>
          <w:p w:rsidR="00E67D48" w:rsidRPr="0003575E" w:rsidRDefault="00E67D48" w:rsidP="00B80F53">
            <w:pPr>
              <w:ind w:rightChars="248" w:right="521"/>
              <w:jc w:val="right"/>
              <w:rPr>
                <w:sz w:val="16"/>
                <w:szCs w:val="16"/>
              </w:rPr>
            </w:pPr>
            <w:r>
              <w:rPr>
                <w:rFonts w:hint="eastAsia"/>
                <w:sz w:val="16"/>
                <w:szCs w:val="16"/>
              </w:rPr>
              <w:t>303</w:t>
            </w:r>
            <w:r w:rsidRPr="0003575E">
              <w:rPr>
                <w:sz w:val="16"/>
                <w:szCs w:val="16"/>
              </w:rPr>
              <w:t xml:space="preserve"> </w:t>
            </w:r>
          </w:p>
        </w:tc>
        <w:tc>
          <w:tcPr>
            <w:tcW w:w="1359" w:type="dxa"/>
            <w:shd w:val="clear" w:color="auto" w:fill="FF8080"/>
            <w:vAlign w:val="bottom"/>
          </w:tcPr>
          <w:p w:rsidR="00E67D48" w:rsidRPr="0003575E" w:rsidRDefault="00E67D48" w:rsidP="00B80F53">
            <w:pPr>
              <w:ind w:rightChars="248" w:right="521"/>
              <w:jc w:val="right"/>
              <w:rPr>
                <w:sz w:val="16"/>
                <w:szCs w:val="16"/>
              </w:rPr>
            </w:pPr>
            <w:r w:rsidRPr="0003575E">
              <w:rPr>
                <w:sz w:val="16"/>
                <w:szCs w:val="16"/>
              </w:rPr>
              <w:t xml:space="preserve">472 </w:t>
            </w:r>
          </w:p>
        </w:tc>
        <w:tc>
          <w:tcPr>
            <w:tcW w:w="1359" w:type="dxa"/>
            <w:shd w:val="clear" w:color="auto" w:fill="FF8080"/>
            <w:vAlign w:val="bottom"/>
          </w:tcPr>
          <w:p w:rsidR="00E67D48" w:rsidRPr="0003575E" w:rsidRDefault="00E67D48" w:rsidP="00B80F53">
            <w:pPr>
              <w:ind w:rightChars="248" w:right="521"/>
              <w:jc w:val="right"/>
              <w:rPr>
                <w:sz w:val="16"/>
                <w:szCs w:val="16"/>
              </w:rPr>
            </w:pPr>
            <w:r w:rsidRPr="0003575E">
              <w:rPr>
                <w:sz w:val="16"/>
                <w:szCs w:val="16"/>
              </w:rPr>
              <w:t xml:space="preserve">637 </w:t>
            </w:r>
          </w:p>
        </w:tc>
      </w:tr>
      <w:tr w:rsidR="00E67D48" w:rsidTr="00B80F53">
        <w:trPr>
          <w:trHeight w:val="70"/>
        </w:trPr>
        <w:tc>
          <w:tcPr>
            <w:tcW w:w="1728" w:type="dxa"/>
          </w:tcPr>
          <w:p w:rsidR="00E67D48" w:rsidRPr="0003575E" w:rsidRDefault="00E67D48" w:rsidP="00B80F53">
            <w:pPr>
              <w:tabs>
                <w:tab w:val="left" w:pos="1260"/>
              </w:tabs>
              <w:ind w:left="-6" w:rightChars="120" w:right="252" w:firstLineChars="112" w:firstLine="180"/>
              <w:rPr>
                <w:b/>
                <w:sz w:val="16"/>
                <w:szCs w:val="16"/>
              </w:rPr>
            </w:pPr>
            <w:r w:rsidRPr="0003575E">
              <w:rPr>
                <w:rFonts w:hint="eastAsia"/>
                <w:b/>
                <w:sz w:val="16"/>
                <w:szCs w:val="16"/>
              </w:rPr>
              <w:t xml:space="preserve">  </w:t>
            </w:r>
            <w:r w:rsidRPr="0003575E">
              <w:rPr>
                <w:rFonts w:hint="eastAsia"/>
                <w:b/>
                <w:sz w:val="16"/>
                <w:szCs w:val="16"/>
              </w:rPr>
              <w:t>增长率</w:t>
            </w:r>
          </w:p>
        </w:tc>
        <w:tc>
          <w:tcPr>
            <w:tcW w:w="1358" w:type="dxa"/>
          </w:tcPr>
          <w:p w:rsidR="00E67D48" w:rsidRPr="0003575E" w:rsidRDefault="00E67D48" w:rsidP="00B80F53">
            <w:pPr>
              <w:ind w:rightChars="248" w:right="521"/>
              <w:jc w:val="right"/>
              <w:rPr>
                <w:sz w:val="16"/>
                <w:szCs w:val="16"/>
              </w:rPr>
            </w:pPr>
          </w:p>
        </w:tc>
        <w:tc>
          <w:tcPr>
            <w:tcW w:w="1359" w:type="dxa"/>
          </w:tcPr>
          <w:p w:rsidR="00E67D48" w:rsidRPr="0003575E" w:rsidRDefault="00E67D48" w:rsidP="00B80F53">
            <w:pPr>
              <w:ind w:rightChars="248" w:right="521"/>
              <w:jc w:val="right"/>
              <w:rPr>
                <w:sz w:val="16"/>
                <w:szCs w:val="16"/>
              </w:rPr>
            </w:pPr>
          </w:p>
        </w:tc>
        <w:tc>
          <w:tcPr>
            <w:tcW w:w="1359" w:type="dxa"/>
            <w:vAlign w:val="bottom"/>
          </w:tcPr>
          <w:p w:rsidR="00E67D48" w:rsidRPr="00DE036A" w:rsidRDefault="00E67D48" w:rsidP="00B80F53">
            <w:pPr>
              <w:ind w:rightChars="248" w:right="521"/>
              <w:jc w:val="right"/>
              <w:rPr>
                <w:b/>
                <w:color w:val="FF0000"/>
                <w:sz w:val="16"/>
                <w:szCs w:val="16"/>
              </w:rPr>
            </w:pPr>
            <w:r>
              <w:rPr>
                <w:rFonts w:hint="eastAsia"/>
                <w:b/>
                <w:color w:val="FF0000"/>
                <w:sz w:val="16"/>
                <w:szCs w:val="16"/>
              </w:rPr>
              <w:t>74.40</w:t>
            </w:r>
            <w:r w:rsidRPr="00DE036A">
              <w:rPr>
                <w:b/>
                <w:color w:val="FF0000"/>
                <w:sz w:val="16"/>
                <w:szCs w:val="16"/>
              </w:rPr>
              <w:t>%</w:t>
            </w:r>
          </w:p>
        </w:tc>
        <w:tc>
          <w:tcPr>
            <w:tcW w:w="1359" w:type="dxa"/>
            <w:vAlign w:val="bottom"/>
          </w:tcPr>
          <w:p w:rsidR="00E67D48" w:rsidRPr="00DE036A" w:rsidRDefault="00E67D48" w:rsidP="00B80F53">
            <w:pPr>
              <w:ind w:rightChars="248" w:right="521"/>
              <w:jc w:val="right"/>
              <w:rPr>
                <w:b/>
                <w:color w:val="FF0000"/>
                <w:sz w:val="16"/>
                <w:szCs w:val="16"/>
              </w:rPr>
            </w:pPr>
            <w:r w:rsidRPr="00DE036A">
              <w:rPr>
                <w:b/>
                <w:color w:val="FF0000"/>
                <w:sz w:val="16"/>
                <w:szCs w:val="16"/>
              </w:rPr>
              <w:t>72.09%</w:t>
            </w:r>
          </w:p>
        </w:tc>
        <w:tc>
          <w:tcPr>
            <w:tcW w:w="1359" w:type="dxa"/>
            <w:vAlign w:val="bottom"/>
          </w:tcPr>
          <w:p w:rsidR="00E67D48" w:rsidRPr="00DE036A" w:rsidRDefault="00E67D48" w:rsidP="00B80F53">
            <w:pPr>
              <w:ind w:rightChars="248" w:right="521"/>
              <w:jc w:val="right"/>
              <w:rPr>
                <w:b/>
                <w:color w:val="FF0000"/>
                <w:sz w:val="16"/>
                <w:szCs w:val="16"/>
              </w:rPr>
            </w:pPr>
            <w:r w:rsidRPr="00DE036A">
              <w:rPr>
                <w:b/>
                <w:color w:val="FF0000"/>
                <w:sz w:val="16"/>
                <w:szCs w:val="16"/>
              </w:rPr>
              <w:t>59.11%</w:t>
            </w:r>
          </w:p>
        </w:tc>
      </w:tr>
    </w:tbl>
    <w:p w:rsidR="00E67D48" w:rsidRDefault="00E67D48" w:rsidP="00E67D48">
      <w:pPr>
        <w:pStyle w:val="090"/>
        <w:spacing w:after="156"/>
      </w:pPr>
      <w:r w:rsidRPr="00D2489C">
        <w:rPr>
          <w:rFonts w:hint="eastAsia"/>
        </w:rPr>
        <w:t>资料来源：</w:t>
      </w:r>
      <w:r>
        <w:rPr>
          <w:rFonts w:hint="eastAsia"/>
        </w:rPr>
        <w:t>IDC</w:t>
      </w:r>
      <w:r>
        <w:rPr>
          <w:rFonts w:hint="eastAsia"/>
        </w:rPr>
        <w:t>，</w:t>
      </w:r>
      <w:r>
        <w:rPr>
          <w:rFonts w:hint="eastAsia"/>
        </w:rPr>
        <w:t>Gartner</w:t>
      </w:r>
      <w:r>
        <w:rPr>
          <w:rFonts w:hint="eastAsia"/>
        </w:rPr>
        <w:t>，</w:t>
      </w:r>
      <w:r>
        <w:rPr>
          <w:rFonts w:hint="eastAsia"/>
        </w:rPr>
        <w:t>DisplaySearch</w:t>
      </w:r>
      <w:r>
        <w:rPr>
          <w:rFonts w:hint="eastAsia"/>
        </w:rPr>
        <w:t>，华商基金整理</w:t>
      </w:r>
    </w:p>
    <w:p w:rsidR="00E67D48" w:rsidRPr="00DC28EC" w:rsidRDefault="00E67D48" w:rsidP="00E67D48">
      <w:pPr>
        <w:autoSpaceDE w:val="0"/>
        <w:autoSpaceDN w:val="0"/>
        <w:adjustRightInd w:val="0"/>
        <w:spacing w:line="320" w:lineRule="exact"/>
        <w:ind w:leftChars="1150" w:left="2415"/>
        <w:jc w:val="left"/>
        <w:rPr>
          <w:rFonts w:ascii="楷体_GB2312" w:eastAsia="楷体_GB2312"/>
          <w:kern w:val="0"/>
        </w:rPr>
      </w:pPr>
    </w:p>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bookmarkStart w:id="63" w:name="_Toc312841681"/>
      <w:r w:rsidRPr="00DC28EC">
        <w:rPr>
          <w:rFonts w:ascii="楷体_GB2312" w:eastAsia="楷体_GB2312" w:hint="eastAsia"/>
          <w:kern w:val="0"/>
        </w:rPr>
        <w:t>2.2、2012年继续消化产能，产能利用率可望提高</w:t>
      </w:r>
      <w:bookmarkEnd w:id="63"/>
      <w:r w:rsidRPr="00DC28EC">
        <w:rPr>
          <w:rFonts w:ascii="楷体_GB2312" w:eastAsia="楷体_GB2312" w:hint="eastAsia"/>
          <w:kern w:val="0"/>
        </w:rPr>
        <w:t>，</w:t>
      </w:r>
    </w:p>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我们把北美半导体设备BB值和台湾电子零件业生产指数的同比变动做叠加分析。显示二者也有一定的相关性。北美半导体设备制造商订单出货比10月份值为0.74,比9月份的0.71提高0.3个百分点，显示该值正在逐步好转，但并不能说底部就在此；与台湾地区电子外销订单类似，该值已经进入相对底部区域。</w:t>
      </w:r>
    </w:p>
    <w:tbl>
      <w:tblPr>
        <w:tblW w:w="7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16"/>
      </w:tblGrid>
      <w:tr w:rsidR="00E67D48" w:rsidRPr="005A0222" w:rsidTr="00B80F53">
        <w:trPr>
          <w:trHeight w:val="275"/>
        </w:trPr>
        <w:tc>
          <w:tcPr>
            <w:tcW w:w="7216" w:type="dxa"/>
            <w:tcBorders>
              <w:top w:val="nil"/>
              <w:left w:val="nil"/>
              <w:bottom w:val="single" w:sz="12" w:space="0" w:color="044C80"/>
              <w:right w:val="nil"/>
            </w:tcBorders>
            <w:shd w:val="clear" w:color="auto" w:fill="auto"/>
          </w:tcPr>
          <w:p w:rsidR="00E67D48" w:rsidRPr="005A0222" w:rsidRDefault="00E67D48" w:rsidP="00B80F53">
            <w:pPr>
              <w:pStyle w:val="06b"/>
            </w:pPr>
            <w:r w:rsidRPr="005A0222">
              <w:br w:type="page"/>
            </w:r>
            <w:bookmarkStart w:id="64" w:name="_Toc312841026"/>
            <w:r w:rsidRPr="005A0222">
              <w:rPr>
                <w:rFonts w:hint="eastAsia"/>
              </w:rPr>
              <w:t>图</w:t>
            </w:r>
            <w:r>
              <w:rPr>
                <w:rFonts w:hint="eastAsia"/>
              </w:rPr>
              <w:t>6</w:t>
            </w:r>
            <w:r w:rsidRPr="005A0222">
              <w:rPr>
                <w:rFonts w:hint="eastAsia"/>
              </w:rPr>
              <w:t>：</w:t>
            </w:r>
            <w:r>
              <w:rPr>
                <w:rFonts w:hint="eastAsia"/>
              </w:rPr>
              <w:t>台湾电子零件业生产指数同比与北美半导体设备订单出货比具有相关性</w:t>
            </w:r>
            <w:bookmarkEnd w:id="64"/>
          </w:p>
        </w:tc>
      </w:tr>
      <w:tr w:rsidR="00E67D48" w:rsidRPr="007C0327" w:rsidTr="00B80F53">
        <w:trPr>
          <w:trHeight w:val="2366"/>
        </w:trPr>
        <w:tc>
          <w:tcPr>
            <w:tcW w:w="7216" w:type="dxa"/>
            <w:tcBorders>
              <w:top w:val="single" w:sz="12" w:space="0" w:color="044C80"/>
              <w:left w:val="nil"/>
              <w:bottom w:val="nil"/>
              <w:right w:val="nil"/>
            </w:tcBorders>
          </w:tcPr>
          <w:p w:rsidR="00E67D48" w:rsidRPr="00416ACD" w:rsidRDefault="00E67D48" w:rsidP="00B80F53">
            <w:pPr>
              <w:jc w:val="center"/>
            </w:pPr>
            <w:r>
              <w:rPr>
                <w:noProof/>
              </w:rPr>
              <w:drawing>
                <wp:inline distT="0" distB="0" distL="0" distR="0">
                  <wp:extent cx="4438650" cy="2362200"/>
                  <wp:effectExtent l="0" t="0" r="0" b="0"/>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srcRect/>
                          <a:stretch>
                            <a:fillRect/>
                          </a:stretch>
                        </pic:blipFill>
                        <pic:spPr bwMode="auto">
                          <a:xfrm>
                            <a:off x="0" y="0"/>
                            <a:ext cx="4438650" cy="2362200"/>
                          </a:xfrm>
                          <a:prstGeom prst="rect">
                            <a:avLst/>
                          </a:prstGeom>
                          <a:noFill/>
                          <a:ln w="9525">
                            <a:noFill/>
                            <a:miter lim="800000"/>
                            <a:headEnd/>
                            <a:tailEnd/>
                          </a:ln>
                        </pic:spPr>
                      </pic:pic>
                    </a:graphicData>
                  </a:graphic>
                </wp:inline>
              </w:drawing>
            </w:r>
          </w:p>
        </w:tc>
      </w:tr>
    </w:tbl>
    <w:p w:rsidR="00E67D48" w:rsidRDefault="00E67D48" w:rsidP="00E67D48">
      <w:r w:rsidRPr="00D2489C">
        <w:rPr>
          <w:rFonts w:hint="eastAsia"/>
        </w:rPr>
        <w:t>资料来源：</w:t>
      </w:r>
      <w:r>
        <w:rPr>
          <w:rFonts w:hint="eastAsia"/>
        </w:rPr>
        <w:t>华商基金整理</w:t>
      </w:r>
    </w:p>
    <w:p w:rsidR="00E67D48" w:rsidRPr="00DC28EC" w:rsidRDefault="00E67D48" w:rsidP="00DC28EC">
      <w:pPr>
        <w:autoSpaceDE w:val="0"/>
        <w:autoSpaceDN w:val="0"/>
        <w:adjustRightInd w:val="0"/>
        <w:spacing w:line="320" w:lineRule="exact"/>
        <w:ind w:leftChars="1150" w:left="2415"/>
        <w:jc w:val="left"/>
        <w:rPr>
          <w:rFonts w:ascii="楷体_GB2312" w:eastAsia="楷体_GB2312"/>
          <w:kern w:val="0"/>
        </w:rPr>
      </w:pPr>
    </w:p>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lastRenderedPageBreak/>
        <w:t xml:space="preserve">2.3、2012年明星产品是Ultrabook </w:t>
      </w:r>
    </w:p>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初期来看，Ultrabook强调低价、轻薄、快速启动、省电等特性。就此而言，业界往往把现阶段的Ultrabook视为苹果MacBook Air的竞争产品。如果仅仅是这个定位，那么Ultrabook的创新意义就大为降低，营销竞争层次上的意味就显得更浓一些。但这应该不是Intel的最终目标，Intel对Ultrabook的期望应该是一款平板电脑和笔记本完美结合的产品。就Intel自身提出的发展三阶段来看，Ultrabook在2011年是进入阶段，2012年是以“超薄、快速响应、安全”等性能在市场占有一席之地的阶段，2013年则是赋予Ultrabook更多特性，实现笔记本的重定义。</w:t>
      </w:r>
    </w:p>
    <w:p w:rsidR="00E67D48" w:rsidRDefault="00E67D48" w:rsidP="00DC28EC">
      <w:pPr>
        <w:autoSpaceDE w:val="0"/>
        <w:autoSpaceDN w:val="0"/>
        <w:adjustRightInd w:val="0"/>
        <w:spacing w:line="320" w:lineRule="exact"/>
        <w:ind w:leftChars="1150" w:left="2415"/>
        <w:jc w:val="left"/>
        <w:rPr>
          <w:rFonts w:ascii="楷体_GB2312" w:eastAsia="楷体_GB2312"/>
          <w:kern w:val="0"/>
        </w:rPr>
      </w:pPr>
    </w:p>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iSuppli所做出的2012年Ultrabook在笔记本电脑中的市占率达到13%，2015年市占率达到43%，还是比较理性的。Ultrabook</w:t>
      </w:r>
      <w:r w:rsidR="00E67D48">
        <w:rPr>
          <w:rFonts w:ascii="楷体_GB2312" w:eastAsia="楷体_GB2312" w:hint="eastAsia"/>
          <w:kern w:val="0"/>
        </w:rPr>
        <w:t>渗透率的提升将带来金属外壳、连接器和触控模组的新需求</w:t>
      </w:r>
      <w:r w:rsidRPr="00DC28EC">
        <w:rPr>
          <w:rFonts w:ascii="楷体_GB2312" w:eastAsia="楷体_GB2312" w:hint="eastAsia"/>
          <w:kern w:val="0"/>
        </w:rPr>
        <w:t>。</w:t>
      </w:r>
    </w:p>
    <w:p w:rsidR="00E67D48" w:rsidRDefault="00E67D48" w:rsidP="00DC28EC">
      <w:pPr>
        <w:autoSpaceDE w:val="0"/>
        <w:autoSpaceDN w:val="0"/>
        <w:adjustRightInd w:val="0"/>
        <w:spacing w:line="320" w:lineRule="exact"/>
        <w:ind w:leftChars="1150" w:left="2415"/>
        <w:jc w:val="left"/>
        <w:rPr>
          <w:rFonts w:ascii="楷体_GB2312" w:eastAsia="楷体_GB2312"/>
          <w:kern w:val="0"/>
        </w:rPr>
      </w:pPr>
    </w:p>
    <w:tbl>
      <w:tblPr>
        <w:tblW w:w="57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65"/>
      </w:tblGrid>
      <w:tr w:rsidR="00E67D48" w:rsidRPr="005A0222" w:rsidTr="00B80F53">
        <w:trPr>
          <w:trHeight w:val="227"/>
        </w:trPr>
        <w:tc>
          <w:tcPr>
            <w:tcW w:w="5765" w:type="dxa"/>
            <w:tcBorders>
              <w:top w:val="nil"/>
              <w:left w:val="nil"/>
              <w:bottom w:val="single" w:sz="12" w:space="0" w:color="044C80"/>
              <w:right w:val="nil"/>
            </w:tcBorders>
            <w:shd w:val="clear" w:color="auto" w:fill="auto"/>
          </w:tcPr>
          <w:p w:rsidR="00E67D48" w:rsidRPr="00230A46" w:rsidRDefault="00E67D48" w:rsidP="00B80F53">
            <w:pPr>
              <w:pStyle w:val="06b"/>
            </w:pPr>
            <w:r w:rsidRPr="005A0222">
              <w:br w:type="page"/>
            </w:r>
            <w:bookmarkStart w:id="65" w:name="_Toc312841003"/>
            <w:r w:rsidRPr="005A0222">
              <w:rPr>
                <w:rFonts w:hint="eastAsia"/>
              </w:rPr>
              <w:t>图</w:t>
            </w:r>
            <w:r>
              <w:rPr>
                <w:rFonts w:hint="eastAsia"/>
              </w:rPr>
              <w:t>7</w:t>
            </w:r>
            <w:r w:rsidRPr="005A0222">
              <w:rPr>
                <w:rFonts w:hint="eastAsia"/>
              </w:rPr>
              <w:t>：</w:t>
            </w:r>
            <w:r>
              <w:rPr>
                <w:rFonts w:hint="eastAsia"/>
              </w:rPr>
              <w:t>Ultrabook</w:t>
            </w:r>
            <w:r>
              <w:rPr>
                <w:rFonts w:hint="eastAsia"/>
              </w:rPr>
              <w:t>占全球笔记本市场份额预测</w:t>
            </w:r>
            <w:bookmarkEnd w:id="65"/>
          </w:p>
        </w:tc>
      </w:tr>
      <w:tr w:rsidR="00E67D48" w:rsidRPr="007C0327" w:rsidTr="00B80F53">
        <w:trPr>
          <w:trHeight w:val="1953"/>
        </w:trPr>
        <w:tc>
          <w:tcPr>
            <w:tcW w:w="5765" w:type="dxa"/>
            <w:tcBorders>
              <w:top w:val="single" w:sz="12" w:space="0" w:color="044C80"/>
              <w:left w:val="nil"/>
              <w:bottom w:val="nil"/>
              <w:right w:val="nil"/>
            </w:tcBorders>
          </w:tcPr>
          <w:p w:rsidR="00E67D48" w:rsidRPr="00966CF9" w:rsidRDefault="00E67D48" w:rsidP="00B80F53">
            <w:pPr>
              <w:jc w:val="center"/>
              <w:rPr>
                <w:szCs w:val="16"/>
              </w:rPr>
            </w:pPr>
            <w:r>
              <w:rPr>
                <w:noProof/>
                <w:szCs w:val="16"/>
              </w:rPr>
              <w:drawing>
                <wp:inline distT="0" distB="0" distL="0" distR="0">
                  <wp:extent cx="3476625" cy="2173605"/>
                  <wp:effectExtent l="0" t="0" r="0" b="0"/>
                  <wp:docPr id="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srcRect/>
                          <a:stretch>
                            <a:fillRect/>
                          </a:stretch>
                        </pic:blipFill>
                        <pic:spPr bwMode="auto">
                          <a:xfrm>
                            <a:off x="0" y="0"/>
                            <a:ext cx="3476625" cy="2173605"/>
                          </a:xfrm>
                          <a:prstGeom prst="rect">
                            <a:avLst/>
                          </a:prstGeom>
                          <a:noFill/>
                          <a:ln w="9525">
                            <a:noFill/>
                            <a:miter lim="800000"/>
                            <a:headEnd/>
                            <a:tailEnd/>
                          </a:ln>
                        </pic:spPr>
                      </pic:pic>
                    </a:graphicData>
                  </a:graphic>
                </wp:inline>
              </w:drawing>
            </w:r>
          </w:p>
        </w:tc>
      </w:tr>
    </w:tbl>
    <w:p w:rsidR="00E67D48" w:rsidRDefault="00E67D48" w:rsidP="00E67D48">
      <w:pPr>
        <w:pStyle w:val="090"/>
        <w:spacing w:after="156"/>
      </w:pPr>
      <w:r w:rsidRPr="00D2489C">
        <w:rPr>
          <w:rFonts w:hint="eastAsia"/>
        </w:rPr>
        <w:t>资料来源：</w:t>
      </w:r>
      <w:r>
        <w:t>I</w:t>
      </w:r>
      <w:r>
        <w:rPr>
          <w:rFonts w:hint="eastAsia"/>
        </w:rPr>
        <w:t>H</w:t>
      </w:r>
      <w:r>
        <w:t>S</w:t>
      </w:r>
      <w:r>
        <w:rPr>
          <w:rFonts w:hint="eastAsia"/>
        </w:rPr>
        <w:t xml:space="preserve"> iSuppli</w:t>
      </w:r>
    </w:p>
    <w:p w:rsidR="00E67D48" w:rsidRDefault="00E67D48" w:rsidP="00DC28EC">
      <w:pPr>
        <w:autoSpaceDE w:val="0"/>
        <w:autoSpaceDN w:val="0"/>
        <w:adjustRightInd w:val="0"/>
        <w:spacing w:line="320" w:lineRule="exact"/>
        <w:ind w:leftChars="1150" w:left="2415"/>
        <w:jc w:val="left"/>
        <w:rPr>
          <w:rFonts w:ascii="楷体_GB2312" w:eastAsia="楷体_GB2312"/>
          <w:kern w:val="0"/>
        </w:rPr>
      </w:pPr>
    </w:p>
    <w:p w:rsidR="00E67D48" w:rsidRDefault="00E67D48" w:rsidP="00DC28EC">
      <w:pPr>
        <w:autoSpaceDE w:val="0"/>
        <w:autoSpaceDN w:val="0"/>
        <w:adjustRightInd w:val="0"/>
        <w:spacing w:line="320" w:lineRule="exact"/>
        <w:ind w:leftChars="1150" w:left="2415"/>
        <w:jc w:val="left"/>
        <w:rPr>
          <w:rFonts w:ascii="楷体_GB2312" w:eastAsia="楷体_GB2312"/>
          <w:kern w:val="0"/>
        </w:rPr>
      </w:pPr>
    </w:p>
    <w:p w:rsidR="00E67D48" w:rsidRPr="00E67D48" w:rsidRDefault="00E67D48" w:rsidP="00DC28EC">
      <w:pPr>
        <w:autoSpaceDE w:val="0"/>
        <w:autoSpaceDN w:val="0"/>
        <w:adjustRightInd w:val="0"/>
        <w:spacing w:line="320" w:lineRule="exact"/>
        <w:ind w:leftChars="1150" w:left="2415"/>
        <w:jc w:val="left"/>
        <w:rPr>
          <w:rFonts w:ascii="楷体_GB2312" w:eastAsia="楷体_GB2312"/>
          <w:kern w:val="0"/>
        </w:rPr>
      </w:pPr>
    </w:p>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2.4、智能机进入中低端普及阶段，国产中低端智能机增速加快</w:t>
      </w:r>
    </w:p>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国产手机品牌以前在手机领域一直比较沉寂，但智能手机的出现给国产品牌带来了新的机会，中兴、华为的成功则在于看准了智能手机普及过程中的低价趋势，以性价比取胜。中兴通讯成为世博会的合作商，以千元智能机获得中国电信和中国移动的集中采购，其市场份额的扩大都是与厂商主动营销的结果。机构预测</w:t>
      </w:r>
      <w:r w:rsidRPr="00DC28EC">
        <w:rPr>
          <w:rFonts w:ascii="楷体_GB2312" w:eastAsia="楷体_GB2312"/>
          <w:kern w:val="0"/>
        </w:rPr>
        <w:t>，</w:t>
      </w:r>
      <w:r w:rsidRPr="00DC28EC">
        <w:rPr>
          <w:rFonts w:ascii="楷体_GB2312" w:eastAsia="楷体_GB2312" w:hint="eastAsia"/>
          <w:kern w:val="0"/>
        </w:rPr>
        <w:t>与</w:t>
      </w:r>
      <w:r w:rsidRPr="00DC28EC">
        <w:rPr>
          <w:rFonts w:ascii="楷体_GB2312" w:eastAsia="楷体_GB2312"/>
          <w:kern w:val="0"/>
        </w:rPr>
        <w:t>2011年</w:t>
      </w:r>
      <w:r w:rsidRPr="00DC28EC">
        <w:rPr>
          <w:rFonts w:ascii="楷体_GB2312" w:eastAsia="楷体_GB2312" w:hint="eastAsia"/>
          <w:kern w:val="0"/>
        </w:rPr>
        <w:t>相比</w:t>
      </w:r>
      <w:r w:rsidRPr="00DC28EC">
        <w:rPr>
          <w:rFonts w:ascii="楷体_GB2312" w:eastAsia="楷体_GB2312"/>
          <w:kern w:val="0"/>
        </w:rPr>
        <w:t>，2012全年</w:t>
      </w:r>
      <w:r w:rsidRPr="00DC28EC">
        <w:rPr>
          <w:rFonts w:ascii="楷体_GB2312" w:eastAsia="楷体_GB2312" w:hint="eastAsia"/>
          <w:kern w:val="0"/>
        </w:rPr>
        <w:t>智能手机</w:t>
      </w:r>
      <w:r w:rsidRPr="00DC28EC">
        <w:rPr>
          <w:rFonts w:ascii="楷体_GB2312" w:eastAsia="楷体_GB2312"/>
          <w:kern w:val="0"/>
        </w:rPr>
        <w:t>出</w:t>
      </w:r>
      <w:r w:rsidRPr="00DC28EC">
        <w:rPr>
          <w:rFonts w:ascii="楷体_GB2312" w:eastAsia="楷体_GB2312" w:hint="eastAsia"/>
          <w:kern w:val="0"/>
        </w:rPr>
        <w:t>货</w:t>
      </w:r>
      <w:r w:rsidRPr="00DC28EC">
        <w:rPr>
          <w:rFonts w:ascii="楷体_GB2312" w:eastAsia="楷体_GB2312"/>
          <w:kern w:val="0"/>
        </w:rPr>
        <w:t>前10大排名</w:t>
      </w:r>
      <w:r w:rsidRPr="00DC28EC">
        <w:rPr>
          <w:rFonts w:ascii="楷体_GB2312" w:eastAsia="楷体_GB2312" w:hint="eastAsia"/>
          <w:kern w:val="0"/>
        </w:rPr>
        <w:t>将</w:t>
      </w:r>
      <w:r w:rsidRPr="00DC28EC">
        <w:rPr>
          <w:rFonts w:ascii="楷体_GB2312" w:eastAsia="楷体_GB2312"/>
          <w:kern w:val="0"/>
        </w:rPr>
        <w:t>大幅</w:t>
      </w:r>
      <w:r w:rsidRPr="00DC28EC">
        <w:rPr>
          <w:rFonts w:ascii="楷体_GB2312" w:eastAsia="楷体_GB2312" w:hint="eastAsia"/>
          <w:kern w:val="0"/>
        </w:rPr>
        <w:t>变动</w:t>
      </w:r>
      <w:r w:rsidRPr="00DC28EC">
        <w:rPr>
          <w:rFonts w:ascii="楷体_GB2312" w:eastAsia="楷体_GB2312"/>
          <w:kern w:val="0"/>
        </w:rPr>
        <w:t>，依序</w:t>
      </w:r>
      <w:r w:rsidRPr="00DC28EC">
        <w:rPr>
          <w:rFonts w:ascii="楷体_GB2312" w:eastAsia="楷体_GB2312" w:hint="eastAsia"/>
          <w:kern w:val="0"/>
        </w:rPr>
        <w:t>将为</w:t>
      </w:r>
      <w:r w:rsidRPr="00DC28EC">
        <w:rPr>
          <w:rFonts w:ascii="楷体_GB2312" w:eastAsia="楷体_GB2312"/>
          <w:kern w:val="0"/>
        </w:rPr>
        <w:t>三星</w:t>
      </w:r>
      <w:r w:rsidRPr="00DC28EC">
        <w:rPr>
          <w:rFonts w:ascii="楷体_GB2312" w:eastAsia="楷体_GB2312" w:hint="eastAsia"/>
          <w:kern w:val="0"/>
        </w:rPr>
        <w:t>电</w:t>
      </w:r>
      <w:r w:rsidRPr="00DC28EC">
        <w:rPr>
          <w:rFonts w:ascii="楷体_GB2312" w:eastAsia="楷体_GB2312"/>
          <w:kern w:val="0"/>
        </w:rPr>
        <w:t>子、</w:t>
      </w:r>
      <w:r w:rsidRPr="00DC28EC">
        <w:rPr>
          <w:rFonts w:ascii="楷体_GB2312" w:eastAsia="楷体_GB2312" w:hint="eastAsia"/>
          <w:kern w:val="0"/>
        </w:rPr>
        <w:t>苹果</w:t>
      </w:r>
      <w:r w:rsidRPr="00DC28EC">
        <w:rPr>
          <w:rFonts w:ascii="楷体_GB2312" w:eastAsia="楷体_GB2312"/>
          <w:kern w:val="0"/>
        </w:rPr>
        <w:t>、</w:t>
      </w:r>
      <w:r w:rsidRPr="00DC28EC">
        <w:rPr>
          <w:rFonts w:ascii="楷体_GB2312" w:eastAsia="楷体_GB2312" w:hint="eastAsia"/>
          <w:kern w:val="0"/>
        </w:rPr>
        <w:t>宏达电</w:t>
      </w:r>
      <w:r w:rsidRPr="00DC28EC">
        <w:rPr>
          <w:rFonts w:ascii="楷体_GB2312" w:eastAsia="楷体_GB2312"/>
          <w:kern w:val="0"/>
        </w:rPr>
        <w:t>、</w:t>
      </w:r>
      <w:r w:rsidRPr="00DC28EC">
        <w:rPr>
          <w:rFonts w:ascii="楷体_GB2312" w:eastAsia="楷体_GB2312" w:hint="eastAsia"/>
          <w:kern w:val="0"/>
        </w:rPr>
        <w:t>诺基亚</w:t>
      </w:r>
      <w:r w:rsidRPr="00DC28EC">
        <w:rPr>
          <w:rFonts w:ascii="楷体_GB2312" w:eastAsia="楷体_GB2312"/>
          <w:kern w:val="0"/>
        </w:rPr>
        <w:t>、RIM、</w:t>
      </w:r>
      <w:r w:rsidRPr="00DC28EC">
        <w:rPr>
          <w:rFonts w:ascii="楷体_GB2312" w:eastAsia="楷体_GB2312" w:hint="eastAsia"/>
          <w:kern w:val="0"/>
        </w:rPr>
        <w:t>华为</w:t>
      </w:r>
      <w:r w:rsidRPr="00DC28EC">
        <w:rPr>
          <w:rFonts w:ascii="楷体_GB2312" w:eastAsia="楷体_GB2312"/>
          <w:kern w:val="0"/>
        </w:rPr>
        <w:t>、索尼、</w:t>
      </w:r>
      <w:r w:rsidRPr="00DC28EC">
        <w:rPr>
          <w:rFonts w:ascii="楷体_GB2312" w:eastAsia="楷体_GB2312" w:hint="eastAsia"/>
          <w:kern w:val="0"/>
        </w:rPr>
        <w:t>中心通讯</w:t>
      </w:r>
      <w:r w:rsidRPr="00DC28EC">
        <w:rPr>
          <w:rFonts w:ascii="楷体_GB2312" w:eastAsia="楷体_GB2312"/>
          <w:kern w:val="0"/>
        </w:rPr>
        <w:t>、</w:t>
      </w:r>
      <w:r w:rsidRPr="00DC28EC">
        <w:rPr>
          <w:rFonts w:ascii="楷体_GB2312" w:eastAsia="楷体_GB2312" w:hint="eastAsia"/>
          <w:kern w:val="0"/>
        </w:rPr>
        <w:t>乐金电子</w:t>
      </w:r>
      <w:r w:rsidRPr="00DC28EC">
        <w:rPr>
          <w:rFonts w:ascii="楷体_GB2312" w:eastAsia="楷体_GB2312"/>
          <w:kern w:val="0"/>
        </w:rPr>
        <w:t>及摩托</w:t>
      </w:r>
      <w:r w:rsidRPr="00DC28EC">
        <w:rPr>
          <w:rFonts w:ascii="楷体_GB2312" w:eastAsia="楷体_GB2312" w:hint="eastAsia"/>
          <w:kern w:val="0"/>
        </w:rPr>
        <w:t>罗拉移动</w:t>
      </w:r>
      <w:r w:rsidRPr="00DC28EC">
        <w:rPr>
          <w:rFonts w:ascii="楷体_GB2312" w:eastAsia="楷体_GB2312"/>
          <w:kern w:val="0"/>
        </w:rPr>
        <w:t>。</w:t>
      </w:r>
    </w:p>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 xml:space="preserve"> </w:t>
      </w:r>
    </w:p>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bookmarkStart w:id="66" w:name="_Toc312840981"/>
      <w:bookmarkStart w:id="67" w:name="_Toc312841567"/>
      <w:r w:rsidRPr="00DC28EC">
        <w:rPr>
          <w:rFonts w:ascii="楷体_GB2312" w:eastAsia="楷体_GB2312" w:hint="eastAsia"/>
          <w:kern w:val="0"/>
        </w:rPr>
        <w:t>2.5、LED照明市场保持成</w:t>
      </w:r>
      <w:bookmarkEnd w:id="66"/>
      <w:r w:rsidRPr="00DC28EC">
        <w:rPr>
          <w:rFonts w:ascii="楷体_GB2312" w:eastAsia="楷体_GB2312" w:hint="eastAsia"/>
          <w:kern w:val="0"/>
        </w:rPr>
        <w:t>长</w:t>
      </w:r>
      <w:bookmarkEnd w:id="67"/>
    </w:p>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kern w:val="0"/>
        </w:rPr>
        <w:t>2011年11月1日，国家发展改革委、商务部、海关总署、国家工商总局、国家质检总局联合印发《关于逐步禁止进口和销售普通照明白炽灯的公告》，决定从</w:t>
      </w:r>
      <w:smartTag w:uri="urn:schemas-microsoft-com:office:smarttags" w:element="chsdate">
        <w:smartTagPr>
          <w:attr w:name="Year" w:val="2012"/>
          <w:attr w:name="Month" w:val="10"/>
          <w:attr w:name="Day" w:val="1"/>
          <w:attr w:name="IsLunarDate" w:val="False"/>
          <w:attr w:name="IsROCDate" w:val="False"/>
        </w:smartTagPr>
        <w:r w:rsidRPr="00DC28EC">
          <w:rPr>
            <w:rFonts w:ascii="楷体_GB2312" w:eastAsia="楷体_GB2312"/>
            <w:kern w:val="0"/>
          </w:rPr>
          <w:t>2012年10月1日</w:t>
        </w:r>
      </w:smartTag>
      <w:r w:rsidRPr="00DC28EC">
        <w:rPr>
          <w:rFonts w:ascii="楷体_GB2312" w:eastAsia="楷体_GB2312"/>
          <w:kern w:val="0"/>
        </w:rPr>
        <w:t>起，按功率大小分阶段逐步禁止进口和销售普通照明白炽灯</w:t>
      </w:r>
      <w:r w:rsidRPr="00DC28EC">
        <w:rPr>
          <w:rFonts w:ascii="楷体_GB2312" w:eastAsia="楷体_GB2312" w:hint="eastAsia"/>
          <w:kern w:val="0"/>
        </w:rPr>
        <w:t>，这一决定将使LED照明行业进入快速渗透期。</w:t>
      </w:r>
    </w:p>
    <w:p w:rsidR="00E67D48" w:rsidRDefault="00E67D48" w:rsidP="00DC28EC">
      <w:pPr>
        <w:autoSpaceDE w:val="0"/>
        <w:autoSpaceDN w:val="0"/>
        <w:adjustRightInd w:val="0"/>
        <w:spacing w:line="320" w:lineRule="exact"/>
        <w:ind w:leftChars="1150" w:left="2415"/>
        <w:jc w:val="left"/>
        <w:rPr>
          <w:rFonts w:ascii="楷体_GB2312" w:eastAsia="楷体_GB2312"/>
          <w:kern w:val="0"/>
        </w:rPr>
      </w:pPr>
    </w:p>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LED照明产业作为照明发展的方向已经确定无疑。目前用电成本较高的日本，目前已经是全球LED灯泡渗透最快的国家。地震之后，LED灯泡的渗透率更上了一个台阶。6月份日本LED灯泡的销量在灯泡中的比重已经达42.5%，首次超过白炽灯的38.2%。</w:t>
      </w:r>
    </w:p>
    <w:p w:rsidR="00E67D48" w:rsidRDefault="00E67D48" w:rsidP="00DC28EC">
      <w:pPr>
        <w:autoSpaceDE w:val="0"/>
        <w:autoSpaceDN w:val="0"/>
        <w:adjustRightInd w:val="0"/>
        <w:spacing w:line="320" w:lineRule="exact"/>
        <w:ind w:leftChars="1150" w:left="2415"/>
        <w:jc w:val="left"/>
        <w:rPr>
          <w:rFonts w:ascii="楷体_GB2312" w:eastAsia="楷体_GB2312"/>
          <w:kern w:val="0"/>
        </w:rPr>
      </w:pPr>
    </w:p>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尽管我国LED产业目前面临着产能过剩和结构失衡的窘境，但随着其价格的逐步下降和良好的节能性，LED照明的大规模应用已经具备一定的经济效应，届时需求的爆发将带动整个行业良性发展，我们也看好LED行业未来的投资机会</w:t>
      </w:r>
      <w:r w:rsidR="00E67D48">
        <w:rPr>
          <w:rFonts w:ascii="楷体_GB2312" w:eastAsia="楷体_GB2312" w:hint="eastAsia"/>
          <w:kern w:val="0"/>
        </w:rPr>
        <w:t>。</w:t>
      </w:r>
    </w:p>
    <w:p w:rsidR="00E67D48" w:rsidRDefault="00E67D48" w:rsidP="00DC28EC">
      <w:pPr>
        <w:autoSpaceDE w:val="0"/>
        <w:autoSpaceDN w:val="0"/>
        <w:adjustRightInd w:val="0"/>
        <w:spacing w:line="320" w:lineRule="exact"/>
        <w:ind w:leftChars="1150" w:left="2415"/>
        <w:jc w:val="left"/>
        <w:rPr>
          <w:rFonts w:ascii="楷体_GB2312" w:eastAsia="楷体_GB2312"/>
          <w:kern w:val="0"/>
        </w:rPr>
      </w:pPr>
    </w:p>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三、投资策略：整体性机会难寻，矮个中挑高个，市场对投资亮点反应更敏锐</w:t>
      </w:r>
    </w:p>
    <w:p w:rsidR="00E67D48"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 xml:space="preserve">   </w:t>
      </w:r>
    </w:p>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经过上述分析我们基本可以判断电子行业整体景气是个探底回升的过程，但是回升幅度有限，因此整个板块性的机会比较难，相对于2011年全板块无机会，我们更看好2012年的个股机会。从挑个股的时点看，2010年底电子板块在历史新高附近，从该板块选股票，相当于从踩高跷的人群中挑高个，即使挑中的也是高高在上，成功的概率太低。在2011年底这个时点，电子板块经过一轮轮利空袭击，大部分都已经打趴下，这时选股票相当于从矮个中挑高个，这时候正是从选股的好时机。</w:t>
      </w:r>
    </w:p>
    <w:p w:rsidR="00E67D48" w:rsidRDefault="00E67D48" w:rsidP="00DC28EC">
      <w:pPr>
        <w:autoSpaceDE w:val="0"/>
        <w:autoSpaceDN w:val="0"/>
        <w:adjustRightInd w:val="0"/>
        <w:spacing w:line="320" w:lineRule="exact"/>
        <w:ind w:leftChars="1150" w:left="2415"/>
        <w:jc w:val="left"/>
        <w:rPr>
          <w:rFonts w:ascii="楷体_GB2312" w:eastAsia="楷体_GB2312"/>
          <w:kern w:val="0"/>
        </w:rPr>
      </w:pPr>
    </w:p>
    <w:p w:rsidR="00DC28EC" w:rsidRP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 xml:space="preserve"> 从板块配置的相对优势看，电子行业收入和增速的变化，受到三方面因素的影响：产品技术创新、产业周期、宏观环境。宏观环境的影响任何一个行业都回避不了，这个时点，电子行业的相对优势会逐步显现出来。首先，电子行业的企业同质性低，产品创新有助于部分企业穿越周期；其次、影响电子行业周期的因素较多，其周期也较短，行业反弹更快；再次，板块已经经过一轮大跌，不保证都处于底部区域，但是风险已经得到相当程度的消化。因此我们认为2012年电子行业亮点突出的企业，市场会反应的更加充分，不像2011年凡是利好都是出货的机会。</w:t>
      </w:r>
    </w:p>
    <w:p w:rsidR="00E67D48"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 xml:space="preserve">    </w:t>
      </w:r>
    </w:p>
    <w:p w:rsidR="00DC28EC" w:rsidRPr="00DC28EC" w:rsidRDefault="00E67D48" w:rsidP="00DC28EC">
      <w:pPr>
        <w:autoSpaceDE w:val="0"/>
        <w:autoSpaceDN w:val="0"/>
        <w:adjustRightInd w:val="0"/>
        <w:spacing w:line="320" w:lineRule="exact"/>
        <w:ind w:leftChars="1150" w:left="2415"/>
        <w:jc w:val="left"/>
        <w:rPr>
          <w:rFonts w:ascii="楷体_GB2312" w:eastAsia="楷体_GB2312"/>
          <w:kern w:val="0"/>
        </w:rPr>
      </w:pPr>
      <w:r>
        <w:rPr>
          <w:rFonts w:ascii="楷体_GB2312" w:eastAsia="楷体_GB2312" w:hint="eastAsia"/>
          <w:kern w:val="0"/>
        </w:rPr>
        <w:t xml:space="preserve">   </w:t>
      </w:r>
      <w:r w:rsidR="00DC28EC" w:rsidRPr="00DC28EC">
        <w:rPr>
          <w:rFonts w:ascii="楷体_GB2312" w:eastAsia="楷体_GB2312" w:hint="eastAsia"/>
          <w:kern w:val="0"/>
        </w:rPr>
        <w:t>综上所述，配置电子板块，我们有三大核心思路：</w:t>
      </w:r>
    </w:p>
    <w:p w:rsidR="00DC28EC" w:rsidRDefault="00DC28EC" w:rsidP="00DC28EC">
      <w:pPr>
        <w:autoSpaceDE w:val="0"/>
        <w:autoSpaceDN w:val="0"/>
        <w:adjustRightInd w:val="0"/>
        <w:spacing w:line="320" w:lineRule="exact"/>
        <w:ind w:leftChars="1150" w:left="2415"/>
        <w:jc w:val="left"/>
        <w:rPr>
          <w:rFonts w:ascii="楷体_GB2312" w:eastAsia="楷体_GB2312"/>
          <w:kern w:val="0"/>
        </w:rPr>
      </w:pPr>
      <w:r w:rsidRPr="00DC28EC">
        <w:rPr>
          <w:rFonts w:ascii="楷体_GB2312" w:eastAsia="楷体_GB2312" w:hint="eastAsia"/>
          <w:kern w:val="0"/>
        </w:rPr>
        <w:t xml:space="preserve">   首先，符合未来方向的新技术、新需求和新产品，2012年可能普及的新技术包括体感、3D、金属外壳等，新产品包括Ultrabook、智能电视、娱乐终端等，还有渗透率继续提升的平板电脑和智能手机，这些需求都会拉动电子供应链快速增长；其次，全球产业链分工地位提升的公司，国内电子产业经过多年发展，一批公司在与台日韩企业的竞争中，逐步脱颖而出，主要体现在两个方面，一是开始进入全球一线客户供应链（例如苹果），二是向产业链上游延伸至核心材料，正在进入日美等企业把握的产业链核心环节；再次，景气回升过程中高弹性的优质企业，由于前期对行业预期较差，在业绩下修的预期下，目前一些公司的估值已经跌至2年多来的最低点，从当前股价来看，已经比较充分的反映了行业下行阶段的不景气状况，也反映了未来业绩预测下修的预期，且谨慎预期导致了股价的超调。</w:t>
      </w:r>
    </w:p>
    <w:p w:rsidR="00DC28EC" w:rsidRPr="00230395" w:rsidRDefault="00DC28EC" w:rsidP="00F0798F">
      <w:pPr>
        <w:autoSpaceDE w:val="0"/>
        <w:autoSpaceDN w:val="0"/>
        <w:adjustRightInd w:val="0"/>
        <w:spacing w:line="320" w:lineRule="exact"/>
        <w:ind w:leftChars="1150" w:left="2415"/>
        <w:jc w:val="left"/>
        <w:rPr>
          <w:rFonts w:ascii="楷体_GB2312" w:eastAsia="楷体_GB2312"/>
          <w:kern w:val="0"/>
        </w:rPr>
      </w:pPr>
    </w:p>
    <w:p w:rsidR="00097DFD" w:rsidRDefault="00FB499A" w:rsidP="008B0962">
      <w:pPr>
        <w:pStyle w:val="1"/>
        <w:numPr>
          <w:ilvl w:val="0"/>
          <w:numId w:val="4"/>
        </w:numPr>
        <w:spacing w:beforeLines="50" w:afterLines="50" w:line="480" w:lineRule="auto"/>
        <w:ind w:left="2705"/>
        <w:rPr>
          <w:rFonts w:ascii="楷体_GB2312" w:eastAsia="楷体_GB2312"/>
          <w:bCs w:val="0"/>
          <w:kern w:val="0"/>
          <w:sz w:val="21"/>
          <w:szCs w:val="21"/>
        </w:rPr>
      </w:pPr>
      <w:bookmarkStart w:id="68" w:name="_Toc313737766"/>
      <w:r w:rsidRPr="00FB499A">
        <w:rPr>
          <w:rFonts w:ascii="楷体_GB2312" w:eastAsia="楷体_GB2312" w:hint="eastAsia"/>
          <w:bCs w:val="0"/>
          <w:kern w:val="0"/>
          <w:sz w:val="21"/>
          <w:szCs w:val="21"/>
        </w:rPr>
        <w:t>通信</w:t>
      </w:r>
      <w:r w:rsidR="00951677">
        <w:rPr>
          <w:rFonts w:ascii="楷体_GB2312" w:eastAsia="楷体_GB2312" w:hint="eastAsia"/>
          <w:bCs w:val="0"/>
          <w:kern w:val="0"/>
          <w:sz w:val="21"/>
          <w:szCs w:val="21"/>
        </w:rPr>
        <w:t>和计算机</w:t>
      </w:r>
      <w:r w:rsidRPr="00FB499A">
        <w:rPr>
          <w:rFonts w:ascii="楷体_GB2312" w:eastAsia="楷体_GB2312" w:hint="eastAsia"/>
          <w:bCs w:val="0"/>
          <w:kern w:val="0"/>
          <w:sz w:val="21"/>
          <w:szCs w:val="21"/>
        </w:rPr>
        <w:t>行业：</w:t>
      </w:r>
      <w:bookmarkEnd w:id="68"/>
      <w:r w:rsidR="00951677" w:rsidRPr="00FB499A">
        <w:rPr>
          <w:rFonts w:ascii="楷体_GB2312" w:eastAsia="楷体_GB2312"/>
          <w:bCs w:val="0"/>
          <w:kern w:val="0"/>
          <w:sz w:val="21"/>
          <w:szCs w:val="21"/>
        </w:rPr>
        <w:t xml:space="preserve"> </w:t>
      </w:r>
    </w:p>
    <w:p w:rsidR="00FB499A" w:rsidRPr="00FB499A" w:rsidRDefault="00FB499A" w:rsidP="00FB499A">
      <w:pPr>
        <w:autoSpaceDE w:val="0"/>
        <w:autoSpaceDN w:val="0"/>
        <w:adjustRightInd w:val="0"/>
        <w:ind w:left="420"/>
        <w:jc w:val="left"/>
        <w:rPr>
          <w:rFonts w:ascii="楷体_GB2312" w:eastAsia="楷体_GB2312"/>
          <w:kern w:val="0"/>
        </w:rPr>
      </w:pPr>
      <w:r>
        <w:rPr>
          <w:rFonts w:ascii="楷体_GB2312" w:eastAsia="楷体_GB2312" w:hint="eastAsia"/>
          <w:kern w:val="0"/>
        </w:rPr>
        <w:t xml:space="preserve">                 一、</w:t>
      </w:r>
      <w:r w:rsidRPr="00FB499A">
        <w:rPr>
          <w:rFonts w:ascii="楷体_GB2312" w:eastAsia="楷体_GB2312" w:hint="eastAsia"/>
          <w:kern w:val="0"/>
        </w:rPr>
        <w:t>2011年通信行业出现收入和利润剪刀差，利润成长性减弱。</w:t>
      </w:r>
    </w:p>
    <w:p w:rsidR="00FB499A" w:rsidRDefault="00FB499A" w:rsidP="00FB499A">
      <w:pPr>
        <w:autoSpaceDE w:val="0"/>
        <w:autoSpaceDN w:val="0"/>
        <w:adjustRightInd w:val="0"/>
        <w:ind w:leftChars="1200" w:left="2520"/>
        <w:jc w:val="left"/>
        <w:rPr>
          <w:rFonts w:ascii="楷体_GB2312" w:eastAsia="楷体_GB2312"/>
          <w:kern w:val="0"/>
        </w:rPr>
      </w:pPr>
    </w:p>
    <w:p w:rsidR="00FB499A" w:rsidRDefault="00FB499A" w:rsidP="00FB499A">
      <w:pPr>
        <w:autoSpaceDE w:val="0"/>
        <w:autoSpaceDN w:val="0"/>
        <w:adjustRightInd w:val="0"/>
        <w:ind w:leftChars="1200" w:left="2520"/>
        <w:jc w:val="left"/>
        <w:rPr>
          <w:rFonts w:ascii="楷体_GB2312" w:eastAsia="楷体_GB2312"/>
          <w:kern w:val="0"/>
        </w:rPr>
      </w:pPr>
      <w:r w:rsidRPr="00FB499A">
        <w:rPr>
          <w:rFonts w:ascii="楷体_GB2312" w:eastAsia="楷体_GB2312" w:hint="eastAsia"/>
          <w:kern w:val="0"/>
        </w:rPr>
        <w:t>回顾过去一年，通信行业的板块表现整体不佳，业绩整体利润成长性明显减弱，周期性的特征不断显现。在股价方面，中信通信行业指数2011年全年增长-29.8%。在业绩方面，38家上市公司2011年前三季度业绩收入同比增长23.81%，归属于母公司净利润同比下降4.58%，预计</w:t>
      </w:r>
      <w:r w:rsidRPr="00FB499A">
        <w:rPr>
          <w:rFonts w:ascii="楷体_GB2312" w:eastAsia="楷体_GB2312"/>
          <w:kern w:val="0"/>
        </w:rPr>
        <w:t>2011</w:t>
      </w:r>
      <w:r w:rsidRPr="00FB499A">
        <w:rPr>
          <w:rFonts w:ascii="楷体_GB2312" w:eastAsia="楷体_GB2312" w:hint="eastAsia"/>
          <w:kern w:val="0"/>
        </w:rPr>
        <w:t>年全行业收入同比增速预计达到</w:t>
      </w:r>
      <w:r w:rsidRPr="00FB499A">
        <w:rPr>
          <w:rFonts w:ascii="楷体_GB2312" w:eastAsia="楷体_GB2312"/>
          <w:kern w:val="0"/>
        </w:rPr>
        <w:t>25%-</w:t>
      </w:r>
      <w:r w:rsidRPr="00FB499A">
        <w:rPr>
          <w:rFonts w:ascii="楷体_GB2312" w:eastAsia="楷体_GB2312" w:hint="eastAsia"/>
          <w:kern w:val="0"/>
        </w:rPr>
        <w:t>30%，但是净利润增速预计仅5%-10%。</w:t>
      </w:r>
    </w:p>
    <w:p w:rsidR="00FB499A" w:rsidRPr="00FB499A" w:rsidRDefault="00FB499A" w:rsidP="00FB499A">
      <w:pPr>
        <w:autoSpaceDE w:val="0"/>
        <w:autoSpaceDN w:val="0"/>
        <w:adjustRightInd w:val="0"/>
        <w:ind w:leftChars="1200" w:left="2520"/>
        <w:jc w:val="left"/>
        <w:rPr>
          <w:rFonts w:ascii="楷体_GB2312" w:eastAsia="楷体_GB2312"/>
          <w:kern w:val="0"/>
        </w:rPr>
      </w:pPr>
    </w:p>
    <w:p w:rsidR="00FB499A" w:rsidRPr="00FB499A" w:rsidRDefault="00FB499A" w:rsidP="00FB499A">
      <w:pPr>
        <w:autoSpaceDE w:val="0"/>
        <w:autoSpaceDN w:val="0"/>
        <w:adjustRightInd w:val="0"/>
        <w:ind w:leftChars="1200" w:left="2520"/>
        <w:jc w:val="left"/>
        <w:rPr>
          <w:rFonts w:ascii="楷体_GB2312" w:eastAsia="楷体_GB2312"/>
          <w:kern w:val="0"/>
        </w:rPr>
      </w:pPr>
      <w:r w:rsidRPr="00FB499A">
        <w:rPr>
          <w:rFonts w:ascii="楷体_GB2312" w:eastAsia="楷体_GB2312" w:hint="eastAsia"/>
          <w:kern w:val="0"/>
        </w:rPr>
        <w:t>从数据中可以看出，行业整体在国民经济中的比重依然在快速提升，但是净利润增长远低于收入增长，主要原因：大公司竞争加剧，如中兴通讯(前三季度净利润同比下降21.51% )竞争性市场策略导致总体毛利率下降（前三季度毛利率：33.88%（2010年）→30.26% （2011年））；宏观环境造成汇兑损失；国内人工成本、原材料成本快速上升；上市公司采取了更为谨慎的会计处理。我们认为，尽管面对国外竞争者所具有的竞争优势仍在，但是不可否认的是这种优势在比较明显地减弱，效率的提升和成本的控制已经面临瓶颈。对于一个利润处于增速拐点、步入周期性的行业，股市具有预见性地给以了警示。</w:t>
      </w:r>
    </w:p>
    <w:p w:rsidR="00FB499A" w:rsidRPr="00FB499A" w:rsidRDefault="00FB499A" w:rsidP="00FB499A">
      <w:pPr>
        <w:autoSpaceDE w:val="0"/>
        <w:autoSpaceDN w:val="0"/>
        <w:adjustRightInd w:val="0"/>
        <w:ind w:firstLine="420"/>
        <w:jc w:val="left"/>
        <w:rPr>
          <w:rFonts w:ascii="楷体_GB2312" w:eastAsia="楷体_GB2312"/>
          <w:kern w:val="0"/>
        </w:rPr>
      </w:pPr>
    </w:p>
    <w:p w:rsidR="00FB499A" w:rsidRDefault="00FB499A" w:rsidP="001E262A">
      <w:pPr>
        <w:autoSpaceDE w:val="0"/>
        <w:autoSpaceDN w:val="0"/>
        <w:adjustRightInd w:val="0"/>
        <w:ind w:leftChars="1250" w:left="2730" w:hangingChars="50" w:hanging="105"/>
        <w:jc w:val="left"/>
        <w:rPr>
          <w:rFonts w:ascii="楷体_GB2312" w:eastAsia="楷体_GB2312"/>
          <w:kern w:val="0"/>
        </w:rPr>
      </w:pPr>
      <w:r w:rsidRPr="00FB499A">
        <w:rPr>
          <w:rFonts w:ascii="楷体_GB2312" w:eastAsia="楷体_GB2312" w:hint="eastAsia"/>
          <w:kern w:val="0"/>
        </w:rPr>
        <w:t>2012年通信</w:t>
      </w:r>
      <w:r w:rsidR="001E262A">
        <w:rPr>
          <w:rFonts w:ascii="楷体_GB2312" w:eastAsia="楷体_GB2312" w:hint="eastAsia"/>
          <w:kern w:val="0"/>
        </w:rPr>
        <w:t>行业板块机会不大，关注在通信服务业、企业网设备和移动互联网细分行</w:t>
      </w:r>
      <w:r w:rsidRPr="00FB499A">
        <w:rPr>
          <w:rFonts w:ascii="楷体_GB2312" w:eastAsia="楷体_GB2312" w:hint="eastAsia"/>
          <w:kern w:val="0"/>
        </w:rPr>
        <w:t>业的投资机会</w:t>
      </w:r>
      <w:r w:rsidR="001E262A">
        <w:rPr>
          <w:rFonts w:ascii="楷体_GB2312" w:eastAsia="楷体_GB2312" w:hint="eastAsia"/>
          <w:kern w:val="0"/>
        </w:rPr>
        <w:t>。</w:t>
      </w:r>
    </w:p>
    <w:p w:rsidR="001E262A" w:rsidRPr="001E262A" w:rsidRDefault="001E262A" w:rsidP="001E262A">
      <w:pPr>
        <w:autoSpaceDE w:val="0"/>
        <w:autoSpaceDN w:val="0"/>
        <w:adjustRightInd w:val="0"/>
        <w:ind w:leftChars="1250" w:left="2730" w:hangingChars="50" w:hanging="105"/>
        <w:jc w:val="left"/>
        <w:rPr>
          <w:rFonts w:ascii="楷体_GB2312" w:eastAsia="楷体_GB2312"/>
          <w:kern w:val="0"/>
        </w:rPr>
      </w:pPr>
    </w:p>
    <w:p w:rsidR="00FB499A" w:rsidRPr="00FB499A" w:rsidRDefault="00FB499A" w:rsidP="001E262A">
      <w:pPr>
        <w:autoSpaceDE w:val="0"/>
        <w:autoSpaceDN w:val="0"/>
        <w:adjustRightInd w:val="0"/>
        <w:ind w:leftChars="1200" w:left="2520"/>
        <w:jc w:val="left"/>
        <w:rPr>
          <w:rFonts w:ascii="楷体_GB2312" w:eastAsia="楷体_GB2312"/>
          <w:kern w:val="0"/>
        </w:rPr>
      </w:pPr>
      <w:r w:rsidRPr="00FB499A">
        <w:rPr>
          <w:rFonts w:ascii="楷体_GB2312" w:eastAsia="楷体_GB2312" w:hint="eastAsia"/>
          <w:kern w:val="0"/>
        </w:rPr>
        <w:t>展望2012年，</w:t>
      </w:r>
      <w:r w:rsidRPr="001E262A">
        <w:rPr>
          <w:rFonts w:ascii="楷体_GB2312" w:eastAsia="楷体_GB2312" w:hint="eastAsia"/>
          <w:b/>
          <w:kern w:val="0"/>
        </w:rPr>
        <w:t>我们认为总体上有两个结论：a）尽管成本压力有望缓解，利润增速会有改善，但考虑到宏观环境的长期变化趋势依然在削减通信行业竞争力，我们对通信行业的估值水平持谨慎的态度，并不认为板块会有很好的表现。b）自2009年金融危机以来，通信行业收入高速增长期还在持续当中，尽管已处于高投入后期以及成本上升明显，但是过去的高投入以及收入利润增速剪刀差带来一些新的结构性投资机会</w:t>
      </w:r>
      <w:r w:rsidR="00012553">
        <w:rPr>
          <w:rFonts w:ascii="楷体_GB2312" w:eastAsia="楷体_GB2312" w:hint="eastAsia"/>
          <w:b/>
          <w:kern w:val="0"/>
        </w:rPr>
        <w:t>。</w:t>
      </w:r>
    </w:p>
    <w:p w:rsidR="001E262A" w:rsidRDefault="001E262A" w:rsidP="001E262A">
      <w:pPr>
        <w:autoSpaceDE w:val="0"/>
        <w:autoSpaceDN w:val="0"/>
        <w:adjustRightInd w:val="0"/>
        <w:ind w:leftChars="1200" w:left="2520"/>
        <w:jc w:val="left"/>
        <w:rPr>
          <w:rFonts w:ascii="楷体_GB2312" w:eastAsia="楷体_GB2312"/>
          <w:kern w:val="0"/>
        </w:rPr>
      </w:pPr>
    </w:p>
    <w:p w:rsidR="00FB499A" w:rsidRPr="00FB499A" w:rsidRDefault="001E262A" w:rsidP="001E262A">
      <w:pPr>
        <w:autoSpaceDE w:val="0"/>
        <w:autoSpaceDN w:val="0"/>
        <w:adjustRightInd w:val="0"/>
        <w:ind w:firstLineChars="1050" w:firstLine="2205"/>
        <w:jc w:val="left"/>
        <w:rPr>
          <w:rFonts w:ascii="楷体_GB2312" w:eastAsia="楷体_GB2312"/>
          <w:kern w:val="0"/>
        </w:rPr>
      </w:pPr>
      <w:r>
        <w:rPr>
          <w:rFonts w:ascii="楷体_GB2312" w:eastAsia="楷体_GB2312" w:hint="eastAsia"/>
          <w:kern w:val="0"/>
        </w:rPr>
        <w:t>二、</w:t>
      </w:r>
      <w:r w:rsidR="00FB499A" w:rsidRPr="00FB499A">
        <w:rPr>
          <w:rFonts w:ascii="楷体_GB2312" w:eastAsia="楷体_GB2312" w:hint="eastAsia"/>
          <w:kern w:val="0"/>
        </w:rPr>
        <w:t>通信服务行业整体增速加快</w:t>
      </w:r>
    </w:p>
    <w:p w:rsidR="001E262A" w:rsidRDefault="001E262A" w:rsidP="001E262A">
      <w:pPr>
        <w:autoSpaceDE w:val="0"/>
        <w:autoSpaceDN w:val="0"/>
        <w:adjustRightInd w:val="0"/>
        <w:ind w:leftChars="1200" w:left="2520"/>
        <w:jc w:val="left"/>
        <w:rPr>
          <w:rFonts w:ascii="楷体_GB2312" w:eastAsia="楷体_GB2312"/>
          <w:kern w:val="0"/>
        </w:rPr>
      </w:pPr>
    </w:p>
    <w:p w:rsidR="00FB499A" w:rsidRPr="00FB499A" w:rsidRDefault="00FB499A" w:rsidP="001E262A">
      <w:pPr>
        <w:autoSpaceDE w:val="0"/>
        <w:autoSpaceDN w:val="0"/>
        <w:adjustRightInd w:val="0"/>
        <w:ind w:leftChars="1200" w:left="2520"/>
        <w:jc w:val="left"/>
        <w:rPr>
          <w:rFonts w:ascii="楷体_GB2312" w:eastAsia="楷体_GB2312"/>
          <w:kern w:val="0"/>
        </w:rPr>
      </w:pPr>
      <w:r w:rsidRPr="00FB499A">
        <w:rPr>
          <w:rFonts w:ascii="楷体_GB2312" w:eastAsia="楷体_GB2312" w:hint="eastAsia"/>
          <w:kern w:val="0"/>
        </w:rPr>
        <w:t>2012年，</w:t>
      </w:r>
      <w:r w:rsidRPr="00FB499A">
        <w:rPr>
          <w:rFonts w:ascii="楷体_GB2312" w:eastAsia="楷体_GB2312"/>
          <w:kern w:val="0"/>
        </w:rPr>
        <w:t>在网络容量逐渐变大、用户规模庞大、网络负载程度</w:t>
      </w:r>
      <w:r w:rsidRPr="00FB499A">
        <w:rPr>
          <w:rFonts w:ascii="楷体_GB2312" w:eastAsia="楷体_GB2312" w:hint="eastAsia"/>
          <w:kern w:val="0"/>
        </w:rPr>
        <w:t>提</w:t>
      </w:r>
      <w:r w:rsidRPr="00FB499A">
        <w:rPr>
          <w:rFonts w:ascii="楷体_GB2312" w:eastAsia="楷体_GB2312"/>
          <w:kern w:val="0"/>
        </w:rPr>
        <w:t>高情况下</w:t>
      </w:r>
      <w:r w:rsidRPr="00FB499A">
        <w:rPr>
          <w:rFonts w:ascii="楷体_GB2312" w:eastAsia="楷体_GB2312" w:hint="eastAsia"/>
          <w:kern w:val="0"/>
        </w:rPr>
        <w:t>，运营商网络承载能力面临极大的挑战。同时由于网络复杂度增加，运营商用于网络维护的支出无法缩减。</w:t>
      </w:r>
      <w:r w:rsidRPr="00FB499A">
        <w:rPr>
          <w:rFonts w:ascii="楷体_GB2312" w:eastAsia="楷体_GB2312"/>
          <w:kern w:val="0"/>
        </w:rPr>
        <w:t>随着</w:t>
      </w:r>
      <w:smartTag w:uri="urn:schemas-microsoft-com:office:smarttags" w:element="chmetcnv">
        <w:smartTagPr>
          <w:attr w:name="UnitName" w:val="g"/>
          <w:attr w:name="SourceValue" w:val="3"/>
          <w:attr w:name="HasSpace" w:val="False"/>
          <w:attr w:name="Negative" w:val="False"/>
          <w:attr w:name="NumberType" w:val="1"/>
          <w:attr w:name="TCSC" w:val="0"/>
        </w:smartTagPr>
        <w:r w:rsidRPr="00FB499A">
          <w:rPr>
            <w:rFonts w:ascii="楷体_GB2312" w:eastAsia="楷体_GB2312"/>
            <w:kern w:val="0"/>
          </w:rPr>
          <w:t>3G</w:t>
        </w:r>
      </w:smartTag>
      <w:r w:rsidRPr="00FB499A">
        <w:rPr>
          <w:rFonts w:ascii="楷体_GB2312" w:eastAsia="楷体_GB2312" w:hint="eastAsia"/>
          <w:kern w:val="0"/>
        </w:rPr>
        <w:t>网络扩容升级</w:t>
      </w:r>
      <w:r w:rsidRPr="00FB499A">
        <w:rPr>
          <w:rFonts w:ascii="楷体_GB2312" w:eastAsia="楷体_GB2312"/>
          <w:kern w:val="0"/>
        </w:rPr>
        <w:t>及</w:t>
      </w:r>
      <w:r w:rsidRPr="00FB499A">
        <w:rPr>
          <w:rFonts w:ascii="楷体_GB2312" w:eastAsia="楷体_GB2312" w:hint="eastAsia"/>
          <w:kern w:val="0"/>
        </w:rPr>
        <w:t>“</w:t>
      </w:r>
      <w:r w:rsidRPr="00FB499A">
        <w:rPr>
          <w:rFonts w:ascii="楷体_GB2312" w:eastAsia="楷体_GB2312"/>
          <w:kern w:val="0"/>
        </w:rPr>
        <w:t>三网融合</w:t>
      </w:r>
      <w:r w:rsidRPr="00FB499A">
        <w:rPr>
          <w:rFonts w:ascii="楷体_GB2312" w:eastAsia="楷体_GB2312" w:hint="eastAsia"/>
          <w:kern w:val="0"/>
        </w:rPr>
        <w:t>”</w:t>
      </w:r>
      <w:r w:rsidRPr="00FB499A">
        <w:rPr>
          <w:rFonts w:ascii="楷体_GB2312" w:eastAsia="楷体_GB2312"/>
          <w:kern w:val="0"/>
        </w:rPr>
        <w:t>进程的加快，信息通信网络建设将进入一个新的高潮期，通信运维服务外包需求不断增长，将成为效益可观的一个大市场。根据中国通信企协运维服务专委会预测，国内通信运维服务行业在未来3-5年内将继续保持</w:t>
      </w:r>
      <w:r w:rsidRPr="00FB499A">
        <w:rPr>
          <w:rFonts w:ascii="楷体_GB2312" w:eastAsia="楷体_GB2312" w:hint="eastAsia"/>
          <w:kern w:val="0"/>
        </w:rPr>
        <w:t>快</w:t>
      </w:r>
      <w:r w:rsidRPr="00FB499A">
        <w:rPr>
          <w:rFonts w:ascii="楷体_GB2312" w:eastAsia="楷体_GB2312"/>
          <w:kern w:val="0"/>
        </w:rPr>
        <w:t>速增长，未来三年的复合增长率将超过30%。</w:t>
      </w:r>
      <w:r w:rsidRPr="00FB499A">
        <w:rPr>
          <w:rFonts w:ascii="楷体_GB2312" w:eastAsia="楷体_GB2312" w:hint="eastAsia"/>
          <w:kern w:val="0"/>
        </w:rPr>
        <w:t>我们认为，电信运营商的出于对全面降低运营成本的考虑，第三方运维外包逐渐成为趋势，呈现快速增长态势，网优运维服务外包行业未来几年将保持20%左右的稳定增长。</w:t>
      </w:r>
    </w:p>
    <w:p w:rsidR="001E262A" w:rsidRDefault="001E262A" w:rsidP="001E262A">
      <w:pPr>
        <w:autoSpaceDE w:val="0"/>
        <w:autoSpaceDN w:val="0"/>
        <w:adjustRightInd w:val="0"/>
        <w:ind w:leftChars="1200" w:left="2520"/>
        <w:jc w:val="left"/>
        <w:rPr>
          <w:rFonts w:ascii="楷体_GB2312" w:eastAsia="楷体_GB2312"/>
          <w:kern w:val="0"/>
        </w:rPr>
      </w:pPr>
    </w:p>
    <w:p w:rsidR="00FB499A" w:rsidRPr="00FB499A" w:rsidRDefault="001E262A" w:rsidP="001E262A">
      <w:pPr>
        <w:autoSpaceDE w:val="0"/>
        <w:autoSpaceDN w:val="0"/>
        <w:adjustRightInd w:val="0"/>
        <w:ind w:firstLineChars="1000" w:firstLine="2100"/>
        <w:jc w:val="left"/>
        <w:rPr>
          <w:rFonts w:ascii="楷体_GB2312" w:eastAsia="楷体_GB2312"/>
          <w:kern w:val="0"/>
        </w:rPr>
      </w:pPr>
      <w:r>
        <w:rPr>
          <w:rFonts w:ascii="楷体_GB2312" w:eastAsia="楷体_GB2312" w:hint="eastAsia"/>
          <w:kern w:val="0"/>
        </w:rPr>
        <w:t>三、</w:t>
      </w:r>
      <w:r w:rsidR="00FB499A" w:rsidRPr="00FB499A">
        <w:rPr>
          <w:rFonts w:ascii="楷体_GB2312" w:eastAsia="楷体_GB2312" w:hint="eastAsia"/>
          <w:kern w:val="0"/>
        </w:rPr>
        <w:t>企业网设备投资周期到来</w:t>
      </w:r>
    </w:p>
    <w:p w:rsidR="001E262A" w:rsidRDefault="001E262A" w:rsidP="001E262A">
      <w:pPr>
        <w:autoSpaceDE w:val="0"/>
        <w:autoSpaceDN w:val="0"/>
        <w:adjustRightInd w:val="0"/>
        <w:ind w:leftChars="1200" w:left="2520"/>
        <w:jc w:val="left"/>
        <w:rPr>
          <w:rFonts w:ascii="楷体_GB2312" w:eastAsia="楷体_GB2312"/>
          <w:kern w:val="0"/>
        </w:rPr>
      </w:pPr>
    </w:p>
    <w:p w:rsidR="00FB499A" w:rsidRPr="00FB499A" w:rsidRDefault="00FB499A" w:rsidP="001E262A">
      <w:pPr>
        <w:autoSpaceDE w:val="0"/>
        <w:autoSpaceDN w:val="0"/>
        <w:adjustRightInd w:val="0"/>
        <w:ind w:leftChars="1200" w:left="2520"/>
        <w:jc w:val="left"/>
        <w:rPr>
          <w:rFonts w:ascii="楷体_GB2312" w:eastAsia="楷体_GB2312"/>
          <w:kern w:val="0"/>
        </w:rPr>
      </w:pPr>
      <w:r w:rsidRPr="00FB499A">
        <w:rPr>
          <w:rFonts w:ascii="楷体_GB2312" w:eastAsia="楷体_GB2312" w:hint="eastAsia"/>
          <w:kern w:val="0"/>
        </w:rPr>
        <w:t>第二次信息高速公路建设进入后期。自2008年金融危机之后，中国加大了固网和无线领域的宽带投入，进入到了第二次信息高速公路的建设期。2011年三大运营商在光纤宽带网络上的计划投资总额超过600亿元，仅电信500亿元资本开支计划中，就有超过一半金额投到光网络建设中。2012年，宽带网络依然是运营商建设的主题，投资比例有望进一步提高，预计三大运营商在光纤宽带网络投资总体增长20%-30%，投资总额在800亿元左</w:t>
      </w:r>
      <w:r w:rsidRPr="00FB499A">
        <w:rPr>
          <w:rFonts w:ascii="楷体_GB2312" w:eastAsia="楷体_GB2312" w:hint="eastAsia"/>
          <w:kern w:val="0"/>
        </w:rPr>
        <w:lastRenderedPageBreak/>
        <w:t>右。截至2011年5月底，全国</w:t>
      </w:r>
      <w:smartTag w:uri="urn:schemas-microsoft-com:office:smarttags" w:element="chmetcnv">
        <w:smartTagPr>
          <w:attr w:name="UnitName" w:val="g"/>
          <w:attr w:name="SourceValue" w:val="3"/>
          <w:attr w:name="HasSpace" w:val="False"/>
          <w:attr w:name="Negative" w:val="False"/>
          <w:attr w:name="NumberType" w:val="1"/>
          <w:attr w:name="TCSC" w:val="0"/>
        </w:smartTagPr>
        <w:r w:rsidRPr="00FB499A">
          <w:rPr>
            <w:rFonts w:ascii="楷体_GB2312" w:eastAsia="楷体_GB2312" w:hint="eastAsia"/>
            <w:kern w:val="0"/>
          </w:rPr>
          <w:t>3G</w:t>
        </w:r>
      </w:smartTag>
      <w:r w:rsidRPr="00FB499A">
        <w:rPr>
          <w:rFonts w:ascii="楷体_GB2312" w:eastAsia="楷体_GB2312" w:hint="eastAsia"/>
          <w:kern w:val="0"/>
        </w:rPr>
        <w:t>基站总数已达71.4万个，其中移动、电信和联通的</w:t>
      </w:r>
      <w:smartTag w:uri="urn:schemas-microsoft-com:office:smarttags" w:element="chmetcnv">
        <w:smartTagPr>
          <w:attr w:name="UnitName" w:val="g"/>
          <w:attr w:name="SourceValue" w:val="3"/>
          <w:attr w:name="HasSpace" w:val="False"/>
          <w:attr w:name="Negative" w:val="False"/>
          <w:attr w:name="NumberType" w:val="1"/>
          <w:attr w:name="TCSC" w:val="0"/>
        </w:smartTagPr>
        <w:r w:rsidRPr="00FB499A">
          <w:rPr>
            <w:rFonts w:ascii="楷体_GB2312" w:eastAsia="楷体_GB2312" w:hint="eastAsia"/>
            <w:kern w:val="0"/>
          </w:rPr>
          <w:t>3G</w:t>
        </w:r>
      </w:smartTag>
      <w:r w:rsidRPr="00FB499A">
        <w:rPr>
          <w:rFonts w:ascii="楷体_GB2312" w:eastAsia="楷体_GB2312" w:hint="eastAsia"/>
          <w:kern w:val="0"/>
        </w:rPr>
        <w:t>基站数分别为21.4万、22.6万和27.4万个</w:t>
      </w:r>
      <w:bookmarkStart w:id="69" w:name="OLE_LINK2"/>
      <w:r w:rsidRPr="00FB499A">
        <w:rPr>
          <w:rFonts w:ascii="楷体_GB2312" w:eastAsia="楷体_GB2312" w:hint="eastAsia"/>
          <w:kern w:val="0"/>
        </w:rPr>
        <w:t>。</w:t>
      </w:r>
      <w:bookmarkEnd w:id="69"/>
      <w:r w:rsidRPr="00FB499A">
        <w:rPr>
          <w:rFonts w:ascii="楷体_GB2312" w:eastAsia="楷体_GB2312" w:hint="eastAsia"/>
          <w:kern w:val="0"/>
        </w:rPr>
        <w:t>移动的TD网络已覆盖全国4个直辖市、283个地级市、370个县级市及1607个县的热点区域，以及部分发达乡镇。电信的C网络覆盖国内全部城市和县城以及2.9万个乡镇；联通的W网络已覆盖341个城市和1917个县城。1990年美国为提振经济提出宽带建设计划，1995年Internet诞生，2000年互联网泡沫，这是美国企业网设备成长的黄金十年。中国企业网设备市场的高速增长期来自于2000-2004年中国家庭宽带用户的普及。</w:t>
      </w:r>
      <w:r w:rsidRPr="001E262A">
        <w:rPr>
          <w:rFonts w:ascii="楷体_GB2312" w:eastAsia="楷体_GB2312" w:hint="eastAsia"/>
          <w:b/>
          <w:kern w:val="0"/>
        </w:rPr>
        <w:t>从历史的经验来看，我们相信中国企业网通信设备的高速成长期又一次因为宽带建设打开了。</w:t>
      </w:r>
    </w:p>
    <w:p w:rsidR="001E262A" w:rsidRDefault="001E262A" w:rsidP="001E262A">
      <w:pPr>
        <w:autoSpaceDE w:val="0"/>
        <w:autoSpaceDN w:val="0"/>
        <w:adjustRightInd w:val="0"/>
        <w:ind w:leftChars="1200" w:left="2520"/>
        <w:jc w:val="left"/>
        <w:rPr>
          <w:rFonts w:ascii="楷体_GB2312" w:eastAsia="楷体_GB2312"/>
          <w:kern w:val="0"/>
        </w:rPr>
      </w:pPr>
    </w:p>
    <w:p w:rsidR="00FB499A" w:rsidRPr="00FB499A" w:rsidRDefault="00FB499A" w:rsidP="001E262A">
      <w:pPr>
        <w:autoSpaceDE w:val="0"/>
        <w:autoSpaceDN w:val="0"/>
        <w:adjustRightInd w:val="0"/>
        <w:ind w:leftChars="1200" w:left="2520"/>
        <w:jc w:val="left"/>
        <w:rPr>
          <w:rFonts w:ascii="楷体_GB2312" w:eastAsia="楷体_GB2312"/>
          <w:kern w:val="0"/>
        </w:rPr>
      </w:pPr>
      <w:r w:rsidRPr="00FB499A">
        <w:rPr>
          <w:rFonts w:ascii="楷体_GB2312" w:eastAsia="楷体_GB2312" w:hint="eastAsia"/>
          <w:kern w:val="0"/>
        </w:rPr>
        <w:t>IPv6的推广必然会带动企业网设备的更替。</w:t>
      </w:r>
      <w:r w:rsidRPr="00FB499A">
        <w:rPr>
          <w:rFonts w:ascii="楷体_GB2312" w:eastAsia="楷体_GB2312"/>
          <w:kern w:val="0"/>
        </w:rPr>
        <w:t>12</w:t>
      </w:r>
      <w:r w:rsidRPr="00FB499A">
        <w:rPr>
          <w:rFonts w:ascii="楷体_GB2312" w:eastAsia="楷体_GB2312" w:hint="eastAsia"/>
          <w:kern w:val="0"/>
        </w:rPr>
        <w:t>月</w:t>
      </w:r>
      <w:r w:rsidRPr="00FB499A">
        <w:rPr>
          <w:rFonts w:ascii="楷体_GB2312" w:eastAsia="楷体_GB2312"/>
          <w:kern w:val="0"/>
        </w:rPr>
        <w:t>23</w:t>
      </w:r>
      <w:r w:rsidRPr="00FB499A">
        <w:rPr>
          <w:rFonts w:ascii="楷体_GB2312" w:eastAsia="楷体_GB2312" w:hint="eastAsia"/>
          <w:kern w:val="0"/>
        </w:rPr>
        <w:t>日，国务院总理温家宝主持召开的国务院常务会议推出了IPv6t推广的路线图：到</w:t>
      </w:r>
      <w:r w:rsidRPr="00FB499A">
        <w:rPr>
          <w:rFonts w:ascii="楷体_GB2312" w:eastAsia="楷体_GB2312"/>
          <w:kern w:val="0"/>
        </w:rPr>
        <w:t>2013</w:t>
      </w:r>
      <w:r w:rsidRPr="00FB499A">
        <w:rPr>
          <w:rFonts w:ascii="楷体_GB2312" w:eastAsia="楷体_GB2312" w:hint="eastAsia"/>
          <w:kern w:val="0"/>
        </w:rPr>
        <w:t>年年底前，开展国际互联网协议第</w:t>
      </w:r>
      <w:r w:rsidRPr="00FB499A">
        <w:rPr>
          <w:rFonts w:ascii="楷体_GB2312" w:eastAsia="楷体_GB2312"/>
          <w:kern w:val="0"/>
        </w:rPr>
        <w:t>6</w:t>
      </w:r>
      <w:r w:rsidRPr="00FB499A">
        <w:rPr>
          <w:rFonts w:ascii="楷体_GB2312" w:eastAsia="楷体_GB2312" w:hint="eastAsia"/>
          <w:kern w:val="0"/>
        </w:rPr>
        <w:t>版（</w:t>
      </w:r>
      <w:r w:rsidRPr="00FB499A">
        <w:rPr>
          <w:rFonts w:ascii="楷体_GB2312" w:eastAsia="楷体_GB2312"/>
          <w:kern w:val="0"/>
        </w:rPr>
        <w:t>IPv6</w:t>
      </w:r>
      <w:r w:rsidRPr="00FB499A">
        <w:rPr>
          <w:rFonts w:ascii="楷体_GB2312" w:eastAsia="楷体_GB2312" w:hint="eastAsia"/>
          <w:kern w:val="0"/>
        </w:rPr>
        <w:t>）网络小规模商用试点，形成成熟的商业模式和技术演进路线；</w:t>
      </w:r>
      <w:r w:rsidRPr="00FB499A">
        <w:rPr>
          <w:rFonts w:ascii="楷体_GB2312" w:eastAsia="楷体_GB2312"/>
          <w:kern w:val="0"/>
        </w:rPr>
        <w:t xml:space="preserve">2014 </w:t>
      </w:r>
      <w:r w:rsidRPr="00FB499A">
        <w:rPr>
          <w:rFonts w:ascii="楷体_GB2312" w:eastAsia="楷体_GB2312" w:hint="eastAsia"/>
          <w:kern w:val="0"/>
        </w:rPr>
        <w:t>年至</w:t>
      </w:r>
      <w:r w:rsidRPr="00FB499A">
        <w:rPr>
          <w:rFonts w:ascii="楷体_GB2312" w:eastAsia="楷体_GB2312"/>
          <w:kern w:val="0"/>
        </w:rPr>
        <w:t xml:space="preserve">2015 </w:t>
      </w:r>
      <w:r w:rsidRPr="00FB499A">
        <w:rPr>
          <w:rFonts w:ascii="楷体_GB2312" w:eastAsia="楷体_GB2312" w:hint="eastAsia"/>
          <w:kern w:val="0"/>
        </w:rPr>
        <w:t>年，开展大规模部署和商用，实现国际互联网协议第</w:t>
      </w:r>
      <w:r w:rsidRPr="00FB499A">
        <w:rPr>
          <w:rFonts w:ascii="楷体_GB2312" w:eastAsia="楷体_GB2312"/>
          <w:kern w:val="0"/>
        </w:rPr>
        <w:t xml:space="preserve">4 </w:t>
      </w:r>
      <w:r w:rsidRPr="00FB499A">
        <w:rPr>
          <w:rFonts w:ascii="楷体_GB2312" w:eastAsia="楷体_GB2312" w:hint="eastAsia"/>
          <w:kern w:val="0"/>
        </w:rPr>
        <w:t>版与第</w:t>
      </w:r>
      <w:r w:rsidRPr="00FB499A">
        <w:rPr>
          <w:rFonts w:ascii="楷体_GB2312" w:eastAsia="楷体_GB2312"/>
          <w:kern w:val="0"/>
        </w:rPr>
        <w:t xml:space="preserve">6 </w:t>
      </w:r>
      <w:r w:rsidRPr="00FB499A">
        <w:rPr>
          <w:rFonts w:ascii="楷体_GB2312" w:eastAsia="楷体_GB2312" w:hint="eastAsia"/>
          <w:kern w:val="0"/>
        </w:rPr>
        <w:t>版主流业务互通。目前通信网络中大多数骨干节点的交换和路由设备是支持IPv6,少数不支持的可以通过软件升级；但是，占网络节点80%的边缘路由器多数不支持IPv6，并且由于比较低端无法通过软件进行升级。同时必须强调一点，对于用户需求来说IPv6不是必须要的选择，IPv6的推广更多是从政府到运营商再到企业和个人的自上而下式的推动。</w:t>
      </w:r>
    </w:p>
    <w:p w:rsidR="001E262A" w:rsidRDefault="001E262A" w:rsidP="001E262A">
      <w:pPr>
        <w:autoSpaceDE w:val="0"/>
        <w:autoSpaceDN w:val="0"/>
        <w:adjustRightInd w:val="0"/>
        <w:ind w:leftChars="1200" w:left="2520"/>
        <w:jc w:val="left"/>
        <w:rPr>
          <w:rFonts w:ascii="楷体_GB2312" w:eastAsia="楷体_GB2312"/>
          <w:kern w:val="0"/>
        </w:rPr>
      </w:pPr>
    </w:p>
    <w:p w:rsidR="00FB499A" w:rsidRPr="00FB499A" w:rsidRDefault="001E262A" w:rsidP="001E262A">
      <w:pPr>
        <w:autoSpaceDE w:val="0"/>
        <w:autoSpaceDN w:val="0"/>
        <w:adjustRightInd w:val="0"/>
        <w:ind w:firstLineChars="1000" w:firstLine="2100"/>
        <w:jc w:val="left"/>
        <w:rPr>
          <w:rFonts w:ascii="楷体_GB2312" w:eastAsia="楷体_GB2312"/>
          <w:kern w:val="0"/>
        </w:rPr>
      </w:pPr>
      <w:r>
        <w:rPr>
          <w:rFonts w:ascii="楷体_GB2312" w:eastAsia="楷体_GB2312" w:hint="eastAsia"/>
          <w:kern w:val="0"/>
        </w:rPr>
        <w:t>四、</w:t>
      </w:r>
      <w:r w:rsidR="00FB499A" w:rsidRPr="00FB499A">
        <w:rPr>
          <w:rFonts w:ascii="楷体_GB2312" w:eastAsia="楷体_GB2312" w:hint="eastAsia"/>
          <w:kern w:val="0"/>
        </w:rPr>
        <w:t>期待移动互联网领域诞生“伟大的企业”</w:t>
      </w:r>
    </w:p>
    <w:p w:rsidR="001E262A" w:rsidRDefault="001E262A" w:rsidP="001E262A">
      <w:pPr>
        <w:autoSpaceDE w:val="0"/>
        <w:autoSpaceDN w:val="0"/>
        <w:adjustRightInd w:val="0"/>
        <w:ind w:leftChars="1200" w:left="2520"/>
        <w:jc w:val="left"/>
        <w:rPr>
          <w:rFonts w:ascii="楷体_GB2312" w:eastAsia="楷体_GB2312"/>
          <w:kern w:val="0"/>
        </w:rPr>
      </w:pPr>
    </w:p>
    <w:p w:rsidR="00FB499A" w:rsidRPr="00FB499A" w:rsidRDefault="00FB499A" w:rsidP="001E262A">
      <w:pPr>
        <w:autoSpaceDE w:val="0"/>
        <w:autoSpaceDN w:val="0"/>
        <w:adjustRightInd w:val="0"/>
        <w:ind w:leftChars="1200" w:left="2520"/>
        <w:jc w:val="left"/>
        <w:rPr>
          <w:rFonts w:ascii="楷体_GB2312" w:eastAsia="楷体_GB2312"/>
          <w:kern w:val="0"/>
        </w:rPr>
      </w:pPr>
      <w:r w:rsidRPr="00FB499A">
        <w:rPr>
          <w:rFonts w:ascii="楷体_GB2312" w:eastAsia="楷体_GB2312" w:hint="eastAsia"/>
          <w:kern w:val="0"/>
        </w:rPr>
        <w:t>移动互联网是一个革命性的领域，通过几年来的充分酝酿以及近年来行业环境不断规范，国内大发展的各项条件（用户基础、终端性能、产业链各方配合、网络带宽等）逐渐成熟：经过几年来的每年连续翻倍增长，截至2011年上半年，我国手机网民已达到3.18亿户，移动互联网各项业务发展的用户基础已经具备。并且上亿的</w:t>
      </w:r>
      <w:smartTag w:uri="urn:schemas-microsoft-com:office:smarttags" w:element="chmetcnv">
        <w:smartTagPr>
          <w:attr w:name="TCSC" w:val="0"/>
          <w:attr w:name="NumberType" w:val="1"/>
          <w:attr w:name="Negative" w:val="False"/>
          <w:attr w:name="HasSpace" w:val="False"/>
          <w:attr w:name="SourceValue" w:val="3"/>
          <w:attr w:name="UnitName" w:val="g"/>
        </w:smartTagPr>
        <w:r w:rsidRPr="00FB499A">
          <w:rPr>
            <w:rFonts w:ascii="楷体_GB2312" w:eastAsia="楷体_GB2312" w:hint="eastAsia"/>
            <w:kern w:val="0"/>
          </w:rPr>
          <w:t>3G</w:t>
        </w:r>
      </w:smartTag>
      <w:r w:rsidRPr="00FB499A">
        <w:rPr>
          <w:rFonts w:ascii="楷体_GB2312" w:eastAsia="楷体_GB2312" w:hint="eastAsia"/>
          <w:kern w:val="0"/>
        </w:rPr>
        <w:t>用户（2011年11月，国内基于Android和iOS的智能移动设备超过5000万）也为移动互联网数据业务的大规模应用打下了基础，成为重要推动力；</w:t>
      </w:r>
    </w:p>
    <w:p w:rsidR="007D00FD" w:rsidRDefault="007D00FD" w:rsidP="001E262A">
      <w:pPr>
        <w:autoSpaceDE w:val="0"/>
        <w:autoSpaceDN w:val="0"/>
        <w:adjustRightInd w:val="0"/>
        <w:ind w:leftChars="1200" w:left="2520"/>
        <w:jc w:val="left"/>
        <w:rPr>
          <w:rFonts w:ascii="楷体_GB2312" w:eastAsia="楷体_GB2312"/>
          <w:kern w:val="0"/>
        </w:rPr>
      </w:pPr>
    </w:p>
    <w:p w:rsidR="00FB499A" w:rsidRPr="00FB499A" w:rsidRDefault="00FB499A" w:rsidP="001E262A">
      <w:pPr>
        <w:autoSpaceDE w:val="0"/>
        <w:autoSpaceDN w:val="0"/>
        <w:adjustRightInd w:val="0"/>
        <w:ind w:leftChars="1200" w:left="2520"/>
        <w:jc w:val="left"/>
        <w:rPr>
          <w:rFonts w:ascii="楷体_GB2312" w:eastAsia="楷体_GB2312"/>
          <w:kern w:val="0"/>
        </w:rPr>
      </w:pPr>
      <w:r w:rsidRPr="00FB499A">
        <w:rPr>
          <w:rFonts w:ascii="楷体_GB2312" w:eastAsia="楷体_GB2312" w:hint="eastAsia"/>
          <w:kern w:val="0"/>
        </w:rPr>
        <w:t>智能终端的快速普及成为带动移动互联网发展的重要动力，2011年上半年，智能手机销量占手机销量的23.92%，又据DCCI调查显示，2013年这个比例将达到51%，超越非</w:t>
      </w:r>
      <w:hyperlink r:id="rId62" w:tgtFrame="_blank" w:tooltip="查看 智能手机 的全部文章" w:history="1">
        <w:r w:rsidRPr="00FB499A">
          <w:rPr>
            <w:rFonts w:ascii="楷体_GB2312" w:eastAsia="楷体_GB2312" w:hint="eastAsia"/>
            <w:kern w:val="0"/>
          </w:rPr>
          <w:t>智能手机</w:t>
        </w:r>
      </w:hyperlink>
      <w:r w:rsidRPr="00FB499A">
        <w:rPr>
          <w:rFonts w:ascii="楷体_GB2312" w:eastAsia="楷体_GB2312" w:hint="eastAsia"/>
          <w:kern w:val="0"/>
        </w:rPr>
        <w:t>；无线网络宽带化不断提速，目前电信运营商全国</w:t>
      </w:r>
      <w:smartTag w:uri="urn:schemas-microsoft-com:office:smarttags" w:element="chmetcnv">
        <w:smartTagPr>
          <w:attr w:name="UnitName" w:val="g"/>
          <w:attr w:name="SourceValue" w:val="3"/>
          <w:attr w:name="HasSpace" w:val="False"/>
          <w:attr w:name="Negative" w:val="False"/>
          <w:attr w:name="NumberType" w:val="1"/>
          <w:attr w:name="TCSC" w:val="0"/>
        </w:smartTagPr>
        <w:r w:rsidRPr="00FB499A">
          <w:rPr>
            <w:rFonts w:ascii="楷体_GB2312" w:eastAsia="楷体_GB2312"/>
            <w:kern w:val="0"/>
          </w:rPr>
          <w:t>3G</w:t>
        </w:r>
      </w:smartTag>
      <w:r w:rsidRPr="00FB499A">
        <w:rPr>
          <w:rFonts w:ascii="楷体_GB2312" w:eastAsia="楷体_GB2312" w:hint="eastAsia"/>
          <w:kern w:val="0"/>
        </w:rPr>
        <w:t>移动基站已有70多万个，并在全国大中城市部署WIFI热点，无线网络宽带化将进一步推动移动互联网的大发展。</w:t>
      </w:r>
    </w:p>
    <w:p w:rsidR="001E262A" w:rsidRPr="007D00FD" w:rsidRDefault="001E262A" w:rsidP="001E262A">
      <w:pPr>
        <w:autoSpaceDE w:val="0"/>
        <w:autoSpaceDN w:val="0"/>
        <w:adjustRightInd w:val="0"/>
        <w:ind w:leftChars="1200" w:left="2520"/>
        <w:jc w:val="left"/>
        <w:rPr>
          <w:rFonts w:ascii="楷体_GB2312" w:eastAsia="楷体_GB2312"/>
          <w:kern w:val="0"/>
        </w:rPr>
      </w:pPr>
    </w:p>
    <w:p w:rsidR="00FB499A" w:rsidRPr="00FB499A" w:rsidRDefault="00FB499A" w:rsidP="001E262A">
      <w:pPr>
        <w:autoSpaceDE w:val="0"/>
        <w:autoSpaceDN w:val="0"/>
        <w:adjustRightInd w:val="0"/>
        <w:ind w:leftChars="1200" w:left="2520"/>
        <w:jc w:val="left"/>
        <w:rPr>
          <w:rFonts w:ascii="楷体_GB2312" w:eastAsia="楷体_GB2312"/>
          <w:kern w:val="0"/>
        </w:rPr>
      </w:pPr>
      <w:r w:rsidRPr="00FB499A">
        <w:rPr>
          <w:rFonts w:ascii="楷体_GB2312" w:eastAsia="楷体_GB2312" w:hint="eastAsia"/>
          <w:kern w:val="0"/>
        </w:rPr>
        <w:t>产业链上下游积极推动，中国联通2011年12月发布“Wo+开放体系”，以更加开放的姿态向产业链各方张开双手，进军移动互联网领域；各CP、SP们正摩拳擦掌，中移动MM平台</w:t>
      </w:r>
      <w:r w:rsidRPr="00FB499A">
        <w:rPr>
          <w:rFonts w:ascii="楷体_GB2312" w:eastAsia="楷体_GB2312"/>
          <w:kern w:val="0"/>
        </w:rPr>
        <w:t>已有</w:t>
      </w:r>
      <w:r w:rsidRPr="00FB499A">
        <w:rPr>
          <w:rFonts w:ascii="楷体_GB2312" w:eastAsia="楷体_GB2312" w:hint="eastAsia"/>
          <w:kern w:val="0"/>
        </w:rPr>
        <w:t>超过</w:t>
      </w:r>
      <w:r w:rsidRPr="00FB499A">
        <w:rPr>
          <w:rFonts w:ascii="楷体_GB2312" w:eastAsia="楷体_GB2312"/>
          <w:kern w:val="0"/>
        </w:rPr>
        <w:t>200万注册开发商</w:t>
      </w:r>
      <w:r w:rsidRPr="00FB499A">
        <w:rPr>
          <w:rFonts w:ascii="楷体_GB2312" w:eastAsia="楷体_GB2312" w:hint="eastAsia"/>
          <w:kern w:val="0"/>
        </w:rPr>
        <w:t>，不断开发出各式各样的</w:t>
      </w:r>
      <w:r w:rsidRPr="00FB499A">
        <w:rPr>
          <w:rFonts w:ascii="楷体_GB2312" w:eastAsia="楷体_GB2312"/>
          <w:kern w:val="0"/>
        </w:rPr>
        <w:t>移动互联网应用，包括移动支付、</w:t>
      </w:r>
      <w:r w:rsidRPr="00FB499A">
        <w:rPr>
          <w:rFonts w:ascii="楷体_GB2312" w:eastAsia="楷体_GB2312" w:hint="eastAsia"/>
          <w:kern w:val="0"/>
        </w:rPr>
        <w:t>LBS</w:t>
      </w:r>
      <w:r w:rsidRPr="00FB499A">
        <w:rPr>
          <w:rFonts w:ascii="楷体_GB2312" w:eastAsia="楷体_GB2312"/>
          <w:kern w:val="0"/>
        </w:rPr>
        <w:t>、移动搜索、智能医疗、NFC、移动广告、手机即时信息如天气预报、音乐、社交等。</w:t>
      </w:r>
      <w:r w:rsidRPr="00FB499A">
        <w:rPr>
          <w:rFonts w:ascii="楷体_GB2312" w:eastAsia="楷体_GB2312" w:hint="eastAsia"/>
          <w:kern w:val="0"/>
        </w:rPr>
        <w:t>移动应用增长速度远远快于桌面软件。以微博为例，微博用户从6000万增长到了接近2亿时，微博内容来自移动互联网比例由15％增长到34％。移动搜索2009年到2011年，国内移动搜索的成长速度接近17倍。</w:t>
      </w:r>
    </w:p>
    <w:p w:rsidR="001E262A" w:rsidRDefault="001E262A" w:rsidP="001E262A">
      <w:pPr>
        <w:autoSpaceDE w:val="0"/>
        <w:autoSpaceDN w:val="0"/>
        <w:adjustRightInd w:val="0"/>
        <w:ind w:leftChars="1200" w:left="2520"/>
        <w:jc w:val="left"/>
        <w:rPr>
          <w:rFonts w:ascii="楷体_GB2312" w:eastAsia="楷体_GB2312"/>
          <w:kern w:val="0"/>
        </w:rPr>
      </w:pPr>
    </w:p>
    <w:p w:rsidR="00FB499A" w:rsidRPr="00FB499A" w:rsidRDefault="00FB499A" w:rsidP="001E262A">
      <w:pPr>
        <w:autoSpaceDE w:val="0"/>
        <w:autoSpaceDN w:val="0"/>
        <w:adjustRightInd w:val="0"/>
        <w:ind w:leftChars="1200" w:left="2520"/>
        <w:jc w:val="left"/>
        <w:rPr>
          <w:rFonts w:ascii="楷体_GB2312" w:eastAsia="楷体_GB2312"/>
          <w:kern w:val="0"/>
        </w:rPr>
      </w:pPr>
      <w:r w:rsidRPr="00FB499A">
        <w:rPr>
          <w:rFonts w:ascii="楷体_GB2312" w:eastAsia="楷体_GB2312"/>
          <w:kern w:val="0"/>
        </w:rPr>
        <w:t>根据艾瑞咨询统计数据显示，2011</w:t>
      </w:r>
      <w:r w:rsidRPr="00FB499A">
        <w:rPr>
          <w:rFonts w:ascii="楷体_GB2312" w:eastAsia="楷体_GB2312" w:hint="eastAsia"/>
          <w:kern w:val="0"/>
        </w:rPr>
        <w:t>年第三季度</w:t>
      </w:r>
      <w:r w:rsidRPr="00FB499A">
        <w:rPr>
          <w:rFonts w:ascii="楷体_GB2312" w:eastAsia="楷体_GB2312"/>
          <w:kern w:val="0"/>
        </w:rPr>
        <w:t>中国移动互联网市场规模达108.3亿元，同比增长154.6%，环比增长38.9%</w:t>
      </w:r>
      <w:r w:rsidRPr="00FB499A">
        <w:rPr>
          <w:rFonts w:ascii="楷体_GB2312" w:eastAsia="楷体_GB2312" w:hint="eastAsia"/>
          <w:kern w:val="0"/>
        </w:rPr>
        <w:t>，</w:t>
      </w:r>
      <w:r w:rsidRPr="00FB499A">
        <w:rPr>
          <w:rFonts w:ascii="楷体_GB2312" w:eastAsia="楷体_GB2312"/>
          <w:kern w:val="0"/>
        </w:rPr>
        <w:t>增速较上个季度增长了近18个百分点，整个移动互联网市场爆发之势初显。</w:t>
      </w:r>
      <w:r w:rsidRPr="00FB499A">
        <w:rPr>
          <w:rFonts w:ascii="楷体_GB2312" w:eastAsia="楷体_GB2312" w:hint="eastAsia"/>
          <w:kern w:val="0"/>
        </w:rPr>
        <w:t>移动互联网大发展的临界点将至，未来几年必将迎来加速发展，</w:t>
      </w:r>
      <w:r w:rsidRPr="00FB499A">
        <w:rPr>
          <w:rFonts w:ascii="楷体_GB2312" w:eastAsia="楷体_GB2312" w:hint="eastAsia"/>
          <w:kern w:val="0"/>
        </w:rPr>
        <w:lastRenderedPageBreak/>
        <w:t>且移动互联网其影响力和规模可能超过互联网，在该领域未来将不断创造新的商业模式和盈利模式。成功企业成长的爆发性将令人瞠目，且未来一定会成长出“伟大的企业”。</w:t>
      </w:r>
    </w:p>
    <w:p w:rsidR="00C205F5" w:rsidRDefault="00C32B55" w:rsidP="00C205F5">
      <w:pPr>
        <w:autoSpaceDE w:val="0"/>
        <w:autoSpaceDN w:val="0"/>
        <w:adjustRightInd w:val="0"/>
        <w:spacing w:line="320" w:lineRule="exact"/>
        <w:jc w:val="left"/>
        <w:rPr>
          <w:rFonts w:ascii="楷体_GB2312" w:eastAsia="楷体_GB2312"/>
          <w:kern w:val="0"/>
        </w:rPr>
      </w:pPr>
      <w:r>
        <w:rPr>
          <w:rFonts w:ascii="楷体_GB2312" w:eastAsia="楷体_GB2312" w:hint="eastAsia"/>
          <w:kern w:val="0"/>
        </w:rPr>
        <w:t xml:space="preserve">                       </w:t>
      </w:r>
    </w:p>
    <w:p w:rsidR="00C32B55" w:rsidRPr="001C1E84" w:rsidRDefault="00C32B55" w:rsidP="00C32B55">
      <w:pPr>
        <w:autoSpaceDE w:val="0"/>
        <w:autoSpaceDN w:val="0"/>
        <w:adjustRightInd w:val="0"/>
        <w:ind w:firstLineChars="1000" w:firstLine="2100"/>
        <w:jc w:val="left"/>
        <w:rPr>
          <w:rFonts w:ascii="楷体_GB2312" w:eastAsia="楷体_GB2312" w:hAnsi="Arial" w:cs="楷体_GB2312"/>
          <w:b/>
          <w:kern w:val="0"/>
          <w:sz w:val="24"/>
          <w:szCs w:val="24"/>
        </w:rPr>
      </w:pPr>
      <w:r>
        <w:rPr>
          <w:rFonts w:ascii="楷体_GB2312" w:eastAsia="楷体_GB2312" w:hint="eastAsia"/>
          <w:kern w:val="0"/>
        </w:rPr>
        <w:t>五、</w:t>
      </w:r>
      <w:r w:rsidRPr="00C32B55">
        <w:rPr>
          <w:rFonts w:ascii="楷体_GB2312" w:eastAsia="楷体_GB2312" w:hint="eastAsia"/>
          <w:kern w:val="0"/>
        </w:rPr>
        <w:t>计算机行业：观察经济周期带来的变化，成长的天平向效率倾斜</w:t>
      </w:r>
    </w:p>
    <w:p w:rsidR="00C32B55" w:rsidRDefault="00C32B55" w:rsidP="00C32B55">
      <w:pPr>
        <w:autoSpaceDE w:val="0"/>
        <w:autoSpaceDN w:val="0"/>
        <w:adjustRightInd w:val="0"/>
        <w:ind w:firstLineChars="50" w:firstLine="105"/>
        <w:jc w:val="left"/>
        <w:rPr>
          <w:rFonts w:ascii="楷体_GB2312" w:eastAsia="楷体_GB2312"/>
          <w:kern w:val="0"/>
        </w:rPr>
      </w:pPr>
    </w:p>
    <w:p w:rsidR="00C32B55" w:rsidRPr="00C32B55" w:rsidRDefault="00C32B55" w:rsidP="00C32B55">
      <w:pPr>
        <w:autoSpaceDE w:val="0"/>
        <w:autoSpaceDN w:val="0"/>
        <w:adjustRightInd w:val="0"/>
        <w:ind w:leftChars="1200" w:left="2520"/>
        <w:jc w:val="left"/>
        <w:rPr>
          <w:rFonts w:ascii="楷体_GB2312" w:eastAsia="楷体_GB2312"/>
          <w:kern w:val="0"/>
        </w:rPr>
      </w:pPr>
      <w:r>
        <w:rPr>
          <w:rFonts w:ascii="楷体_GB2312" w:eastAsia="楷体_GB2312" w:hint="eastAsia"/>
          <w:kern w:val="0"/>
        </w:rPr>
        <w:t>2011年</w:t>
      </w:r>
      <w:r w:rsidRPr="00C32B55">
        <w:rPr>
          <w:rFonts w:ascii="楷体_GB2312" w:eastAsia="楷体_GB2312" w:hint="eastAsia"/>
          <w:kern w:val="0"/>
        </w:rPr>
        <w:t>计算机行业在整个行业板块中跌幅靠前（中信计算机行业累计下跌32%），主要是经过近20 年的信息化建设高峰，目前行业信息化的需求面临变革和升级，而计算机行业提供信息化在效率层面也遭遇到了挑战。随着政府、能源、电信、金融等传统信息化需求大户在基础性IT 投资基本完成后，国内基础性的信息化投资增速放缓，传统IT硬件、基础软件及以此为依托的系统集成业务增长较为乏力。同时宏观经济的变化使得人力成本大幅上涨，而计算机行业尤其是软件行业主要是以人力为资源的，传统低效率的商业模式以及信息化产品使得企业利润被挤压。</w:t>
      </w:r>
    </w:p>
    <w:p w:rsidR="00C32B55" w:rsidRDefault="00C32B55" w:rsidP="00C32B55">
      <w:pPr>
        <w:autoSpaceDE w:val="0"/>
        <w:autoSpaceDN w:val="0"/>
        <w:adjustRightInd w:val="0"/>
        <w:jc w:val="left"/>
        <w:rPr>
          <w:rFonts w:ascii="楷体_GB2312" w:eastAsia="楷体_GB2312"/>
          <w:kern w:val="0"/>
        </w:rPr>
      </w:pPr>
      <w:r w:rsidRPr="00C32B55">
        <w:rPr>
          <w:rFonts w:ascii="楷体_GB2312" w:eastAsia="楷体_GB2312" w:hint="eastAsia"/>
          <w:kern w:val="0"/>
        </w:rPr>
        <w:tab/>
      </w:r>
      <w:r>
        <w:rPr>
          <w:rFonts w:ascii="楷体_GB2312" w:eastAsia="楷体_GB2312" w:hint="eastAsia"/>
          <w:kern w:val="0"/>
        </w:rPr>
        <w:t xml:space="preserve">                    </w:t>
      </w:r>
    </w:p>
    <w:p w:rsidR="00C32B55" w:rsidRPr="00C32B55" w:rsidRDefault="00C32B55" w:rsidP="00C32B55">
      <w:pPr>
        <w:autoSpaceDE w:val="0"/>
        <w:autoSpaceDN w:val="0"/>
        <w:adjustRightInd w:val="0"/>
        <w:ind w:firstLineChars="1200" w:firstLine="2520"/>
        <w:jc w:val="left"/>
        <w:rPr>
          <w:rFonts w:ascii="楷体_GB2312" w:eastAsia="楷体_GB2312"/>
          <w:kern w:val="0"/>
        </w:rPr>
      </w:pPr>
      <w:r w:rsidRPr="00C32B55">
        <w:rPr>
          <w:rFonts w:ascii="楷体_GB2312" w:eastAsia="楷体_GB2312" w:hint="eastAsia"/>
          <w:kern w:val="0"/>
        </w:rPr>
        <w:t>在2012年，计算机行业的投资主要遵循以下三思路：</w:t>
      </w:r>
    </w:p>
    <w:p w:rsidR="00C32B55" w:rsidRPr="00C32B55" w:rsidRDefault="00C32B55" w:rsidP="00164BC2">
      <w:pPr>
        <w:pStyle w:val="ac"/>
        <w:numPr>
          <w:ilvl w:val="0"/>
          <w:numId w:val="15"/>
        </w:numPr>
        <w:autoSpaceDE w:val="0"/>
        <w:autoSpaceDN w:val="0"/>
        <w:adjustRightInd w:val="0"/>
        <w:ind w:firstLineChars="0"/>
        <w:jc w:val="left"/>
        <w:rPr>
          <w:rFonts w:ascii="楷体_GB2312" w:eastAsia="楷体_GB2312" w:hAnsi="Times New Roman" w:cs="Times New Roman"/>
          <w:kern w:val="0"/>
        </w:rPr>
      </w:pPr>
      <w:r w:rsidRPr="00C32B55">
        <w:rPr>
          <w:rFonts w:ascii="楷体_GB2312" w:eastAsia="楷体_GB2312" w:hAnsi="Times New Roman" w:cs="Times New Roman" w:hint="eastAsia"/>
          <w:kern w:val="0"/>
        </w:rPr>
        <w:t>上半年需要警惕经济后周期的影响。</w:t>
      </w:r>
    </w:p>
    <w:p w:rsidR="00C32B55" w:rsidRPr="00C32B55" w:rsidRDefault="00C32B55" w:rsidP="00CA1A68">
      <w:pPr>
        <w:autoSpaceDE w:val="0"/>
        <w:autoSpaceDN w:val="0"/>
        <w:adjustRightInd w:val="0"/>
        <w:ind w:leftChars="1250" w:left="2625" w:firstLineChars="50" w:firstLine="105"/>
        <w:jc w:val="left"/>
        <w:rPr>
          <w:rFonts w:ascii="楷体_GB2312" w:eastAsia="楷体_GB2312"/>
          <w:kern w:val="0"/>
        </w:rPr>
      </w:pPr>
      <w:r w:rsidRPr="00C32B55">
        <w:rPr>
          <w:rFonts w:ascii="楷体_GB2312" w:eastAsia="楷体_GB2312" w:hint="eastAsia"/>
          <w:kern w:val="0"/>
        </w:rPr>
        <w:t>从上市公司的数据来看，软件行业与宏观经济的关系有两个特征：软件行业增速对宏观经济难以免疫以及软件行业周期略滞后于宏观经济。</w:t>
      </w:r>
    </w:p>
    <w:p w:rsidR="00C32B55" w:rsidRPr="00C32B55" w:rsidRDefault="00C32B55" w:rsidP="00C32B55">
      <w:pPr>
        <w:autoSpaceDE w:val="0"/>
        <w:autoSpaceDN w:val="0"/>
        <w:adjustRightInd w:val="0"/>
        <w:ind w:firstLine="420"/>
        <w:jc w:val="left"/>
        <w:rPr>
          <w:rFonts w:ascii="楷体_GB2312" w:eastAsia="楷体_GB2312"/>
          <w:kern w:val="0"/>
        </w:rPr>
      </w:pPr>
      <w:r w:rsidRPr="00C32B55">
        <w:rPr>
          <w:rFonts w:ascii="楷体_GB2312" w:eastAsia="楷体_GB2312" w:hint="eastAsia"/>
          <w:kern w:val="0"/>
        </w:rPr>
        <w:tab/>
      </w:r>
      <w:r w:rsidR="00CA1A68">
        <w:rPr>
          <w:rFonts w:ascii="楷体_GB2312" w:eastAsia="楷体_GB2312" w:hint="eastAsia"/>
          <w:kern w:val="0"/>
        </w:rPr>
        <w:t xml:space="preserve">                     </w:t>
      </w:r>
      <w:r w:rsidRPr="00C32B55">
        <w:rPr>
          <w:rFonts w:ascii="楷体_GB2312" w:eastAsia="楷体_GB2312" w:hint="eastAsia"/>
          <w:kern w:val="0"/>
        </w:rPr>
        <w:t>图：软件行业增速与GDP增速比较</w:t>
      </w:r>
    </w:p>
    <w:p w:rsidR="00C32B55" w:rsidRPr="00C32B55" w:rsidRDefault="00CA1A68" w:rsidP="00C32B55">
      <w:pPr>
        <w:autoSpaceDE w:val="0"/>
        <w:autoSpaceDN w:val="0"/>
        <w:adjustRightInd w:val="0"/>
        <w:ind w:firstLine="420"/>
        <w:jc w:val="left"/>
        <w:rPr>
          <w:rFonts w:ascii="楷体_GB2312" w:eastAsia="楷体_GB2312"/>
          <w:kern w:val="0"/>
        </w:rPr>
      </w:pPr>
      <w:r>
        <w:rPr>
          <w:rFonts w:ascii="楷体_GB2312" w:eastAsia="楷体_GB2312" w:hint="eastAsia"/>
          <w:kern w:val="0"/>
        </w:rPr>
        <w:t xml:space="preserve">                                        </w:t>
      </w:r>
      <w:r w:rsidRPr="00C32B55">
        <w:rPr>
          <w:rFonts w:ascii="楷体_GB2312" w:eastAsia="楷体_GB2312" w:hint="eastAsia"/>
          <w:noProof/>
          <w:kern w:val="0"/>
        </w:rPr>
        <w:drawing>
          <wp:inline distT="0" distB="0" distL="0" distR="0">
            <wp:extent cx="3002984" cy="2260600"/>
            <wp:effectExtent l="19050" t="0" r="6916"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3005477" cy="2262477"/>
                    </a:xfrm>
                    <a:prstGeom prst="rect">
                      <a:avLst/>
                    </a:prstGeom>
                    <a:noFill/>
                    <a:ln w="9525">
                      <a:noFill/>
                      <a:miter lim="800000"/>
                      <a:headEnd/>
                      <a:tailEnd/>
                    </a:ln>
                  </pic:spPr>
                </pic:pic>
              </a:graphicData>
            </a:graphic>
          </wp:inline>
        </w:drawing>
      </w:r>
      <w:r>
        <w:rPr>
          <w:rFonts w:ascii="楷体_GB2312" w:eastAsia="楷体_GB2312" w:hint="eastAsia"/>
          <w:kern w:val="0"/>
        </w:rPr>
        <w:t xml:space="preserve">   </w:t>
      </w:r>
    </w:p>
    <w:p w:rsidR="00C32B55" w:rsidRPr="00C32B55" w:rsidRDefault="00C32B55" w:rsidP="00C32B55">
      <w:pPr>
        <w:autoSpaceDE w:val="0"/>
        <w:autoSpaceDN w:val="0"/>
        <w:adjustRightInd w:val="0"/>
        <w:ind w:firstLine="420"/>
        <w:jc w:val="left"/>
        <w:rPr>
          <w:rFonts w:ascii="楷体_GB2312" w:eastAsia="楷体_GB2312"/>
          <w:kern w:val="0"/>
        </w:rPr>
      </w:pPr>
    </w:p>
    <w:p w:rsidR="00C32B55" w:rsidRPr="00C32B55" w:rsidRDefault="00C32B55" w:rsidP="00CA1A68">
      <w:pPr>
        <w:autoSpaceDE w:val="0"/>
        <w:autoSpaceDN w:val="0"/>
        <w:adjustRightInd w:val="0"/>
        <w:ind w:leftChars="1350" w:left="2835"/>
        <w:jc w:val="left"/>
        <w:rPr>
          <w:rFonts w:ascii="楷体_GB2312" w:eastAsia="楷体_GB2312"/>
          <w:kern w:val="0"/>
        </w:rPr>
      </w:pPr>
      <w:r w:rsidRPr="00C32B55">
        <w:rPr>
          <w:rFonts w:ascii="楷体_GB2312" w:eastAsia="楷体_GB2312" w:hint="eastAsia"/>
          <w:kern w:val="0"/>
        </w:rPr>
        <w:t>2011年下半年，在紧缩的政策到导向，宏观经济出现明显放缓。这样的紧缩环境将在2012年延续，因此我们判断经济的放缓压力必然引发企业新年度资本开支的下降，从而导致软件行业出现订单下降。</w:t>
      </w:r>
    </w:p>
    <w:p w:rsidR="00C32B55" w:rsidRPr="00C32B55" w:rsidRDefault="00C32B55" w:rsidP="00164BC2">
      <w:pPr>
        <w:pStyle w:val="ac"/>
        <w:numPr>
          <w:ilvl w:val="0"/>
          <w:numId w:val="15"/>
        </w:numPr>
        <w:autoSpaceDE w:val="0"/>
        <w:autoSpaceDN w:val="0"/>
        <w:adjustRightInd w:val="0"/>
        <w:ind w:firstLineChars="0"/>
        <w:jc w:val="left"/>
        <w:rPr>
          <w:rFonts w:ascii="楷体_GB2312" w:eastAsia="楷体_GB2312" w:hAnsi="Times New Roman" w:cs="Times New Roman"/>
          <w:kern w:val="0"/>
        </w:rPr>
      </w:pPr>
      <w:r w:rsidRPr="00C32B55">
        <w:rPr>
          <w:rFonts w:ascii="楷体_GB2312" w:eastAsia="楷体_GB2312" w:hAnsi="Times New Roman" w:cs="Times New Roman" w:hint="eastAsia"/>
          <w:kern w:val="0"/>
        </w:rPr>
        <w:t>下半年经济调整之后，企业信息化投入存在加速的可能。</w:t>
      </w:r>
    </w:p>
    <w:p w:rsidR="00CA1A68" w:rsidRDefault="00CA1A68" w:rsidP="00CA1A68">
      <w:pPr>
        <w:autoSpaceDE w:val="0"/>
        <w:autoSpaceDN w:val="0"/>
        <w:adjustRightInd w:val="0"/>
        <w:ind w:firstLineChars="50" w:firstLine="105"/>
        <w:jc w:val="left"/>
        <w:rPr>
          <w:rFonts w:ascii="楷体_GB2312" w:eastAsia="楷体_GB2312"/>
          <w:kern w:val="0"/>
        </w:rPr>
      </w:pPr>
    </w:p>
    <w:p w:rsidR="00C32B55" w:rsidRDefault="00C32B55" w:rsidP="00CA1A68">
      <w:pPr>
        <w:autoSpaceDE w:val="0"/>
        <w:autoSpaceDN w:val="0"/>
        <w:adjustRightInd w:val="0"/>
        <w:ind w:leftChars="1250" w:left="2625"/>
        <w:jc w:val="left"/>
        <w:rPr>
          <w:rFonts w:ascii="楷体_GB2312" w:eastAsia="楷体_GB2312"/>
          <w:kern w:val="0"/>
        </w:rPr>
      </w:pPr>
      <w:r w:rsidRPr="00C32B55">
        <w:rPr>
          <w:rFonts w:ascii="楷体_GB2312" w:eastAsia="楷体_GB2312" w:hint="eastAsia"/>
          <w:kern w:val="0"/>
        </w:rPr>
        <w:t>中国企业未来面临竞争加剧、成本上升的压力，信息化的需求将进一步扩散到企业的生产、业务和市场管理等核心流程。2011年，中国的宏观经济进入到后危机时代，在外需减弱的压力之下，企业过去粗放型的增长模式受到了挑战。在这样的经济背景下，企业只有通过压缩成本来提高企业生存以及竞争的能力，而信息化是大部分企业会采取的最佳策略。过去除了在IT化程度较高的金融、通信行业，大量的信息化仅仅覆盖的是企业的财务部门，企业缺乏足够的动力去学习如何使用信息化来降低管理的成本。在竞争压力之下，企业必须思考创新商业模式，寻找降低成本的方法，信息化必然会</w:t>
      </w:r>
      <w:r w:rsidRPr="00C32B55">
        <w:rPr>
          <w:rFonts w:ascii="楷体_GB2312" w:eastAsia="楷体_GB2312" w:hint="eastAsia"/>
          <w:kern w:val="0"/>
        </w:rPr>
        <w:lastRenderedPageBreak/>
        <w:t>在更多的部门里得到使用。在2012年上半年经济调整之后，我们看好企业信息化需求的增长。</w:t>
      </w:r>
    </w:p>
    <w:p w:rsidR="00CA1A68" w:rsidRPr="00C32B55" w:rsidRDefault="00CA1A68" w:rsidP="00CA1A68">
      <w:pPr>
        <w:autoSpaceDE w:val="0"/>
        <w:autoSpaceDN w:val="0"/>
        <w:adjustRightInd w:val="0"/>
        <w:ind w:leftChars="1250" w:left="2625"/>
        <w:jc w:val="left"/>
        <w:rPr>
          <w:rFonts w:ascii="楷体_GB2312" w:eastAsia="楷体_GB2312"/>
          <w:kern w:val="0"/>
        </w:rPr>
      </w:pPr>
    </w:p>
    <w:p w:rsidR="00C32B55" w:rsidRDefault="00C32B55" w:rsidP="00CA1A68">
      <w:pPr>
        <w:autoSpaceDE w:val="0"/>
        <w:autoSpaceDN w:val="0"/>
        <w:adjustRightInd w:val="0"/>
        <w:ind w:leftChars="1250" w:left="2625"/>
        <w:jc w:val="left"/>
        <w:rPr>
          <w:rFonts w:ascii="楷体_GB2312" w:eastAsia="楷体_GB2312"/>
          <w:kern w:val="0"/>
        </w:rPr>
      </w:pPr>
      <w:r w:rsidRPr="00C32B55">
        <w:rPr>
          <w:rFonts w:ascii="楷体_GB2312" w:eastAsia="楷体_GB2312" w:hint="eastAsia"/>
          <w:kern w:val="0"/>
        </w:rPr>
        <w:t>国际IT巨头加速在中国企业信息化市场的布局。自08年以来IBM一直在中国一线城市扩张其基础性产品的研发团队，2011年扩张的步伐深化到了中国的二线城市并成立了39家分公司，未来IBM还将继续深入到三线城市。同时，IBM在过去两年收购了不少小公司，市场目标定位于新兴国家的行业解决方案市场。SAP在过去的一年里将其在德国的技术支持中心转移到了中国，并宣布在中国投入20亿美元发展ERP实施团队。2011微软亚洲研发中心大幅招聘新员工，加大在搜索技术、虚拟化技术以及商业智能的投入。国际巨头的动作都显示了他们对中国企业信息化市场的乐观判断。</w:t>
      </w:r>
    </w:p>
    <w:p w:rsidR="007D00FD" w:rsidRPr="00C32B55" w:rsidRDefault="007D00FD" w:rsidP="00CA1A68">
      <w:pPr>
        <w:autoSpaceDE w:val="0"/>
        <w:autoSpaceDN w:val="0"/>
        <w:adjustRightInd w:val="0"/>
        <w:ind w:leftChars="1250" w:left="2625"/>
        <w:jc w:val="left"/>
        <w:rPr>
          <w:rFonts w:ascii="楷体_GB2312" w:eastAsia="楷体_GB2312"/>
          <w:kern w:val="0"/>
        </w:rPr>
      </w:pPr>
    </w:p>
    <w:p w:rsidR="00C32B55" w:rsidRPr="00C32B55" w:rsidRDefault="00C32B55" w:rsidP="00164BC2">
      <w:pPr>
        <w:pStyle w:val="ac"/>
        <w:numPr>
          <w:ilvl w:val="0"/>
          <w:numId w:val="15"/>
        </w:numPr>
        <w:autoSpaceDE w:val="0"/>
        <w:autoSpaceDN w:val="0"/>
        <w:adjustRightInd w:val="0"/>
        <w:ind w:firstLineChars="0"/>
        <w:jc w:val="left"/>
        <w:rPr>
          <w:rFonts w:ascii="楷体_GB2312" w:eastAsia="楷体_GB2312" w:hAnsi="Times New Roman" w:cs="Times New Roman"/>
          <w:kern w:val="0"/>
        </w:rPr>
      </w:pPr>
      <w:r w:rsidRPr="00C32B55">
        <w:rPr>
          <w:rFonts w:ascii="楷体_GB2312" w:eastAsia="楷体_GB2312" w:hAnsi="Times New Roman" w:cs="Times New Roman" w:hint="eastAsia"/>
          <w:kern w:val="0"/>
        </w:rPr>
        <w:t>投资的天平需要向效率倾斜。</w:t>
      </w:r>
    </w:p>
    <w:p w:rsidR="00CA1A68" w:rsidRDefault="00CA1A68" w:rsidP="00C32B55">
      <w:pPr>
        <w:autoSpaceDE w:val="0"/>
        <w:autoSpaceDN w:val="0"/>
        <w:adjustRightInd w:val="0"/>
        <w:ind w:firstLine="420"/>
        <w:jc w:val="left"/>
        <w:rPr>
          <w:rFonts w:ascii="楷体_GB2312" w:eastAsia="楷体_GB2312"/>
          <w:kern w:val="0"/>
        </w:rPr>
      </w:pPr>
    </w:p>
    <w:p w:rsidR="00C32B55" w:rsidRPr="00C32B55" w:rsidRDefault="00C32B55" w:rsidP="00CA1A68">
      <w:pPr>
        <w:autoSpaceDE w:val="0"/>
        <w:autoSpaceDN w:val="0"/>
        <w:adjustRightInd w:val="0"/>
        <w:ind w:leftChars="1300" w:left="2730"/>
        <w:jc w:val="left"/>
        <w:rPr>
          <w:rFonts w:ascii="楷体_GB2312" w:eastAsia="楷体_GB2312"/>
          <w:kern w:val="0"/>
        </w:rPr>
      </w:pPr>
      <w:r w:rsidRPr="00C32B55">
        <w:rPr>
          <w:rFonts w:ascii="楷体_GB2312" w:eastAsia="楷体_GB2312" w:hint="eastAsia"/>
          <w:kern w:val="0"/>
        </w:rPr>
        <w:t>通过上市公司的数据分析可以看到人力成本占收入的比例仍然在提高，只是增速略有放缓。尽管一些调研显示2012年计算机企业对其人力成本上升表示了一定的乐观，认为会有个明显的放缓态势，但我们认为人力成本上升是长期趋势，同时行业的景气会加大这一成本上升的压力。</w:t>
      </w:r>
    </w:p>
    <w:p w:rsidR="00C32B55" w:rsidRPr="00C32B55" w:rsidRDefault="00C32B55" w:rsidP="00CA1A68">
      <w:pPr>
        <w:autoSpaceDE w:val="0"/>
        <w:autoSpaceDN w:val="0"/>
        <w:adjustRightInd w:val="0"/>
        <w:ind w:leftChars="1300" w:left="2940" w:hangingChars="100" w:hanging="210"/>
        <w:jc w:val="left"/>
        <w:rPr>
          <w:rFonts w:ascii="楷体_GB2312" w:eastAsia="楷体_GB2312"/>
          <w:kern w:val="0"/>
        </w:rPr>
      </w:pPr>
      <w:r w:rsidRPr="00C32B55">
        <w:rPr>
          <w:rFonts w:ascii="楷体_GB2312" w:eastAsia="楷体_GB2312" w:hint="eastAsia"/>
          <w:kern w:val="0"/>
        </w:rPr>
        <w:t>未来计算机行业的竞争力部分决定于其如何在有限的人力资</w:t>
      </w:r>
      <w:r w:rsidR="00CA1A68">
        <w:rPr>
          <w:rFonts w:ascii="楷体_GB2312" w:eastAsia="楷体_GB2312" w:hint="eastAsia"/>
          <w:kern w:val="0"/>
        </w:rPr>
        <w:t>源之上创造更多的财富</w:t>
      </w:r>
      <w:r w:rsidR="00EA2423">
        <w:rPr>
          <w:rFonts w:ascii="楷体_GB2312" w:eastAsia="楷体_GB2312" w:hint="eastAsia"/>
          <w:kern w:val="0"/>
        </w:rPr>
        <w:t>，</w:t>
      </w:r>
      <w:r w:rsidRPr="00C32B55">
        <w:rPr>
          <w:rFonts w:ascii="楷体_GB2312" w:eastAsia="楷体_GB2312" w:hint="eastAsia"/>
          <w:kern w:val="0"/>
        </w:rPr>
        <w:t>因此我们判断效率对计算机企业未来成长的影响权重加大。</w:t>
      </w:r>
    </w:p>
    <w:p w:rsidR="00CA1A68" w:rsidRDefault="00CA1A68" w:rsidP="00CA1A68">
      <w:pPr>
        <w:autoSpaceDE w:val="0"/>
        <w:autoSpaceDN w:val="0"/>
        <w:adjustRightInd w:val="0"/>
        <w:jc w:val="left"/>
        <w:rPr>
          <w:rFonts w:ascii="楷体_GB2312" w:eastAsia="楷体_GB2312"/>
          <w:kern w:val="0"/>
        </w:rPr>
      </w:pPr>
    </w:p>
    <w:p w:rsidR="00C32B55" w:rsidRDefault="00C32B55" w:rsidP="00CA1A68">
      <w:pPr>
        <w:autoSpaceDE w:val="0"/>
        <w:autoSpaceDN w:val="0"/>
        <w:adjustRightInd w:val="0"/>
        <w:jc w:val="left"/>
        <w:rPr>
          <w:rFonts w:ascii="楷体_GB2312" w:eastAsia="楷体_GB2312"/>
          <w:kern w:val="0"/>
        </w:rPr>
      </w:pPr>
      <w:r w:rsidRPr="00C32B55">
        <w:rPr>
          <w:rFonts w:ascii="楷体_GB2312" w:eastAsia="楷体_GB2312" w:hint="eastAsia"/>
          <w:kern w:val="0"/>
        </w:rPr>
        <w:t>表：计算机应用行业前三季度人力成本分析（单位：亿元）</w:t>
      </w:r>
    </w:p>
    <w:p w:rsidR="00CA1A68" w:rsidRDefault="00CA1A68" w:rsidP="00CA1A68">
      <w:pPr>
        <w:autoSpaceDE w:val="0"/>
        <w:autoSpaceDN w:val="0"/>
        <w:adjustRightInd w:val="0"/>
        <w:jc w:val="left"/>
        <w:rPr>
          <w:rFonts w:ascii="楷体_GB2312" w:eastAsia="楷体_GB2312"/>
          <w:kern w:val="0"/>
        </w:rPr>
      </w:pPr>
    </w:p>
    <w:p w:rsidR="00CA1A68" w:rsidRDefault="00CA1A68" w:rsidP="00CA1A68">
      <w:pPr>
        <w:autoSpaceDE w:val="0"/>
        <w:autoSpaceDN w:val="0"/>
        <w:adjustRightInd w:val="0"/>
        <w:jc w:val="left"/>
        <w:rPr>
          <w:rFonts w:ascii="楷体_GB2312" w:eastAsia="楷体_GB2312"/>
          <w:kern w:val="0"/>
        </w:rPr>
      </w:pPr>
    </w:p>
    <w:p w:rsidR="00CA1A68" w:rsidRDefault="00CA1A68" w:rsidP="00CA1A68">
      <w:pPr>
        <w:autoSpaceDE w:val="0"/>
        <w:autoSpaceDN w:val="0"/>
        <w:adjustRightInd w:val="0"/>
        <w:jc w:val="left"/>
        <w:rPr>
          <w:rFonts w:ascii="楷体_GB2312" w:eastAsia="楷体_GB2312"/>
          <w:kern w:val="0"/>
        </w:rPr>
      </w:pPr>
    </w:p>
    <w:p w:rsidR="00CA1A68" w:rsidRDefault="00CA1A68" w:rsidP="00CA1A68">
      <w:pPr>
        <w:autoSpaceDE w:val="0"/>
        <w:autoSpaceDN w:val="0"/>
        <w:adjustRightInd w:val="0"/>
        <w:jc w:val="left"/>
        <w:rPr>
          <w:rFonts w:ascii="楷体_GB2312" w:eastAsia="楷体_GB2312"/>
          <w:kern w:val="0"/>
        </w:rPr>
      </w:pPr>
    </w:p>
    <w:p w:rsidR="00CA1A68" w:rsidRPr="00C32B55" w:rsidRDefault="00CA1A68" w:rsidP="00CA1A68">
      <w:pPr>
        <w:autoSpaceDE w:val="0"/>
        <w:autoSpaceDN w:val="0"/>
        <w:adjustRightInd w:val="0"/>
        <w:jc w:val="left"/>
        <w:rPr>
          <w:rFonts w:ascii="楷体_GB2312" w:eastAsia="楷体_GB2312"/>
          <w:kern w:val="0"/>
        </w:rPr>
      </w:pPr>
    </w:p>
    <w:p w:rsidR="00C32B55" w:rsidRDefault="00CA1A68" w:rsidP="00C32B55">
      <w:pPr>
        <w:autoSpaceDE w:val="0"/>
        <w:autoSpaceDN w:val="0"/>
        <w:adjustRightInd w:val="0"/>
        <w:ind w:firstLine="420"/>
        <w:jc w:val="left"/>
        <w:rPr>
          <w:rFonts w:ascii="楷体_GB2312" w:eastAsia="楷体_GB2312" w:hAnsi="Arial" w:cs="楷体_GB2312"/>
          <w:kern w:val="0"/>
          <w:sz w:val="24"/>
          <w:szCs w:val="24"/>
        </w:rPr>
      </w:pPr>
      <w:r>
        <w:rPr>
          <w:rFonts w:ascii="楷体_GB2312" w:eastAsia="楷体_GB2312" w:hAnsi="Arial" w:cs="楷体_GB2312" w:hint="eastAsia"/>
          <w:kern w:val="0"/>
          <w:sz w:val="24"/>
          <w:szCs w:val="24"/>
        </w:rPr>
        <w:t xml:space="preserve">                                                                                                                                                                                                                                             </w:t>
      </w:r>
    </w:p>
    <w:p w:rsidR="00C32B55" w:rsidRPr="00E50B83" w:rsidRDefault="00CA1A68" w:rsidP="00C32B55">
      <w:pPr>
        <w:autoSpaceDE w:val="0"/>
        <w:autoSpaceDN w:val="0"/>
        <w:adjustRightInd w:val="0"/>
        <w:ind w:firstLine="420"/>
        <w:jc w:val="left"/>
        <w:rPr>
          <w:rFonts w:ascii="楷体_GB2312" w:eastAsia="楷体_GB2312" w:hAnsi="Arial" w:cs="楷体_GB2312"/>
          <w:kern w:val="0"/>
          <w:sz w:val="24"/>
          <w:szCs w:val="24"/>
        </w:rPr>
      </w:pPr>
      <w:r>
        <w:rPr>
          <w:rFonts w:ascii="楷体_GB2312" w:eastAsia="楷体_GB2312" w:hAnsi="Arial" w:cs="楷体_GB2312" w:hint="eastAsia"/>
          <w:kern w:val="0"/>
          <w:sz w:val="24"/>
          <w:szCs w:val="24"/>
        </w:rPr>
        <w:t xml:space="preserve">                                                                                                                     </w:t>
      </w:r>
    </w:p>
    <w:p w:rsidR="00C32B55" w:rsidRPr="00FB499A" w:rsidRDefault="00CA1A68" w:rsidP="00C205F5">
      <w:pPr>
        <w:autoSpaceDE w:val="0"/>
        <w:autoSpaceDN w:val="0"/>
        <w:adjustRightInd w:val="0"/>
        <w:spacing w:line="320" w:lineRule="exact"/>
        <w:jc w:val="left"/>
        <w:rPr>
          <w:rFonts w:ascii="楷体_GB2312" w:eastAsia="楷体_GB2312"/>
          <w:kern w:val="0"/>
        </w:rPr>
      </w:pPr>
      <w:r w:rsidRPr="00CA1A68">
        <w:rPr>
          <w:rFonts w:ascii="楷体_GB2312" w:eastAsia="楷体_GB2312"/>
          <w:noProof/>
          <w:kern w:val="0"/>
        </w:rPr>
        <w:drawing>
          <wp:anchor distT="0" distB="0" distL="114300" distR="114300" simplePos="0" relativeHeight="251684864" behindDoc="0" locked="0" layoutInCell="1" allowOverlap="1">
            <wp:simplePos x="0" y="0"/>
            <wp:positionH relativeFrom="column">
              <wp:posOffset>19050</wp:posOffset>
            </wp:positionH>
            <wp:positionV relativeFrom="paragraph">
              <wp:posOffset>-1257935</wp:posOffset>
            </wp:positionV>
            <wp:extent cx="5941483" cy="1422400"/>
            <wp:effectExtent l="19050" t="0" r="2117" b="0"/>
            <wp:wrapNone/>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srcRect/>
                    <a:stretch>
                      <a:fillRect/>
                    </a:stretch>
                  </pic:blipFill>
                  <pic:spPr bwMode="auto">
                    <a:xfrm>
                      <a:off x="0" y="0"/>
                      <a:ext cx="5941483" cy="1422400"/>
                    </a:xfrm>
                    <a:prstGeom prst="rect">
                      <a:avLst/>
                    </a:prstGeom>
                    <a:noFill/>
                    <a:ln w="9525">
                      <a:noFill/>
                      <a:miter lim="800000"/>
                      <a:headEnd/>
                      <a:tailEnd/>
                    </a:ln>
                  </pic:spPr>
                </pic:pic>
              </a:graphicData>
            </a:graphic>
          </wp:anchor>
        </w:drawing>
      </w:r>
    </w:p>
    <w:p w:rsidR="00097DFD" w:rsidRDefault="001E262A" w:rsidP="008B0962">
      <w:pPr>
        <w:pStyle w:val="1"/>
        <w:numPr>
          <w:ilvl w:val="0"/>
          <w:numId w:val="4"/>
        </w:numPr>
        <w:spacing w:beforeLines="50" w:afterLines="50" w:line="480" w:lineRule="auto"/>
        <w:ind w:left="2705"/>
        <w:rPr>
          <w:rFonts w:ascii="楷体_GB2312" w:eastAsia="楷体_GB2312"/>
          <w:bCs w:val="0"/>
          <w:kern w:val="0"/>
          <w:sz w:val="21"/>
          <w:szCs w:val="21"/>
        </w:rPr>
      </w:pPr>
      <w:bookmarkStart w:id="70" w:name="_Toc282178554"/>
      <w:bookmarkStart w:id="71" w:name="_Toc313737767"/>
      <w:r w:rsidRPr="001E262A">
        <w:rPr>
          <w:rFonts w:ascii="楷体_GB2312" w:eastAsia="楷体_GB2312" w:hint="eastAsia"/>
          <w:bCs w:val="0"/>
          <w:kern w:val="0"/>
          <w:sz w:val="21"/>
          <w:szCs w:val="21"/>
        </w:rPr>
        <w:t>传媒行业：</w:t>
      </w:r>
      <w:bookmarkEnd w:id="70"/>
      <w:bookmarkEnd w:id="71"/>
      <w:r w:rsidR="00C32B55" w:rsidRPr="001E262A">
        <w:rPr>
          <w:rFonts w:ascii="楷体_GB2312" w:eastAsia="楷体_GB2312"/>
          <w:bCs w:val="0"/>
          <w:kern w:val="0"/>
          <w:sz w:val="21"/>
          <w:szCs w:val="21"/>
        </w:rPr>
        <w:t xml:space="preserve"> </w:t>
      </w:r>
    </w:p>
    <w:p w:rsidR="00097DFD" w:rsidRDefault="001E262A" w:rsidP="008B0962">
      <w:pPr>
        <w:pStyle w:val="ac"/>
        <w:numPr>
          <w:ilvl w:val="0"/>
          <w:numId w:val="13"/>
        </w:numPr>
        <w:spacing w:afterLines="50"/>
        <w:ind w:firstLineChars="0"/>
        <w:rPr>
          <w:rFonts w:ascii="楷体_GB2312" w:eastAsia="楷体_GB2312" w:hAnsi="Times New Roman" w:cs="Times New Roman"/>
          <w:kern w:val="0"/>
        </w:rPr>
      </w:pPr>
      <w:r w:rsidRPr="00F64DFA">
        <w:rPr>
          <w:rFonts w:ascii="楷体_GB2312" w:eastAsia="楷体_GB2312" w:hAnsi="Times New Roman" w:cs="Times New Roman" w:hint="eastAsia"/>
          <w:kern w:val="0"/>
        </w:rPr>
        <w:t>受益于经济结构调整和国家政策的推动</w:t>
      </w:r>
    </w:p>
    <w:p w:rsidR="001E262A" w:rsidRPr="00F64DFA" w:rsidRDefault="001E262A" w:rsidP="001E262A">
      <w:pPr>
        <w:autoSpaceDE w:val="0"/>
        <w:autoSpaceDN w:val="0"/>
        <w:adjustRightInd w:val="0"/>
        <w:spacing w:after="50" w:line="320" w:lineRule="exact"/>
        <w:ind w:left="2155"/>
        <w:rPr>
          <w:rFonts w:ascii="楷体_GB2312" w:eastAsia="楷体_GB2312"/>
          <w:kern w:val="0"/>
        </w:rPr>
      </w:pPr>
      <w:r w:rsidRPr="00F64DFA">
        <w:rPr>
          <w:rFonts w:ascii="楷体_GB2312" w:eastAsia="楷体_GB2312" w:hint="eastAsia"/>
          <w:kern w:val="0"/>
        </w:rPr>
        <w:t>中国经济在改革开放以后经历了持续</w:t>
      </w:r>
      <w:r w:rsidRPr="00F64DFA">
        <w:rPr>
          <w:rFonts w:ascii="楷体_GB2312" w:eastAsia="楷体_GB2312"/>
          <w:kern w:val="0"/>
        </w:rPr>
        <w:t>30</w:t>
      </w:r>
      <w:r w:rsidRPr="00F64DFA">
        <w:rPr>
          <w:rFonts w:ascii="楷体_GB2312" w:eastAsia="楷体_GB2312" w:hint="eastAsia"/>
          <w:kern w:val="0"/>
        </w:rPr>
        <w:t>多年的高速增长，人均</w:t>
      </w:r>
      <w:r w:rsidRPr="00F64DFA">
        <w:rPr>
          <w:rFonts w:ascii="楷体_GB2312" w:eastAsia="楷体_GB2312"/>
          <w:kern w:val="0"/>
        </w:rPr>
        <w:t>GDP</w:t>
      </w:r>
      <w:r w:rsidRPr="00F64DFA">
        <w:rPr>
          <w:rFonts w:ascii="楷体_GB2312" w:eastAsia="楷体_GB2312" w:hint="eastAsia"/>
          <w:kern w:val="0"/>
        </w:rPr>
        <w:t>在</w:t>
      </w:r>
      <w:r w:rsidRPr="00F64DFA">
        <w:rPr>
          <w:rFonts w:ascii="楷体_GB2312" w:eastAsia="楷体_GB2312"/>
          <w:kern w:val="0"/>
        </w:rPr>
        <w:t>2010</w:t>
      </w:r>
      <w:r w:rsidRPr="00F64DFA">
        <w:rPr>
          <w:rFonts w:ascii="楷体_GB2312" w:eastAsia="楷体_GB2312" w:hint="eastAsia"/>
          <w:kern w:val="0"/>
        </w:rPr>
        <w:t>年达到</w:t>
      </w:r>
      <w:r w:rsidRPr="00F64DFA">
        <w:rPr>
          <w:rFonts w:ascii="楷体_GB2312" w:eastAsia="楷体_GB2312"/>
          <w:kern w:val="0"/>
        </w:rPr>
        <w:t>44</w:t>
      </w:r>
      <w:r w:rsidRPr="00F64DFA">
        <w:rPr>
          <w:rFonts w:ascii="楷体_GB2312" w:eastAsia="楷体_GB2312" w:hint="eastAsia"/>
          <w:kern w:val="0"/>
        </w:rPr>
        <w:t>30美元，超过了1981年的19倍。过去的经济增长主要依靠投资、出口、内需三大引擎，目前国内出口劳动力成本和汇率优势逐步减弱；投资方面，政府支出和房地产业发展增长逐渐趋缓。两大引擎减速，必须通过科技创新推动产业升级同时提供更丰富的产品以扩大内需的方式构筑新的经济增长引擎。根据从美国、日本等发达国家的经验，人均</w:t>
      </w:r>
      <w:r w:rsidRPr="00F64DFA">
        <w:rPr>
          <w:rFonts w:ascii="楷体_GB2312" w:eastAsia="楷体_GB2312"/>
          <w:kern w:val="0"/>
        </w:rPr>
        <w:t>GDP</w:t>
      </w:r>
      <w:r w:rsidRPr="00F64DFA">
        <w:rPr>
          <w:rFonts w:ascii="楷体_GB2312" w:eastAsia="楷体_GB2312" w:hint="eastAsia"/>
          <w:kern w:val="0"/>
        </w:rPr>
        <w:t>达到</w:t>
      </w:r>
      <w:r w:rsidRPr="00F64DFA">
        <w:rPr>
          <w:rFonts w:ascii="楷体_GB2312" w:eastAsia="楷体_GB2312"/>
          <w:kern w:val="0"/>
        </w:rPr>
        <w:t>3000</w:t>
      </w:r>
      <w:r w:rsidRPr="00F64DFA">
        <w:rPr>
          <w:rFonts w:ascii="楷体_GB2312" w:eastAsia="楷体_GB2312" w:hint="eastAsia"/>
          <w:kern w:val="0"/>
        </w:rPr>
        <w:t>美元后，文化传媒消费需求有一个快速增长的过程，一直持续到人均</w:t>
      </w:r>
      <w:r w:rsidRPr="00F64DFA">
        <w:rPr>
          <w:rFonts w:ascii="楷体_GB2312" w:eastAsia="楷体_GB2312"/>
          <w:kern w:val="0"/>
        </w:rPr>
        <w:t>GDP</w:t>
      </w:r>
      <w:r w:rsidRPr="00F64DFA">
        <w:rPr>
          <w:rFonts w:ascii="楷体_GB2312" w:eastAsia="楷体_GB2312" w:hint="eastAsia"/>
          <w:kern w:val="0"/>
        </w:rPr>
        <w:t>迈向</w:t>
      </w:r>
      <w:r w:rsidRPr="00F64DFA">
        <w:rPr>
          <w:rFonts w:ascii="楷体_GB2312" w:eastAsia="楷体_GB2312"/>
          <w:kern w:val="0"/>
        </w:rPr>
        <w:t>3</w:t>
      </w:r>
      <w:r w:rsidRPr="00F64DFA">
        <w:rPr>
          <w:rFonts w:ascii="楷体_GB2312" w:eastAsia="楷体_GB2312" w:hint="eastAsia"/>
          <w:kern w:val="0"/>
        </w:rPr>
        <w:t>万美元之后才有所放缓。目前的中国正经历着文化消费需求快速释放的过程，发展文化传媒产业是经济结构转型、推动经济持续增长的必然选择。</w:t>
      </w:r>
    </w:p>
    <w:p w:rsidR="001E262A" w:rsidRPr="00F64DFA" w:rsidRDefault="001E262A" w:rsidP="008B0962">
      <w:pPr>
        <w:spacing w:beforeLines="50" w:afterLines="50"/>
        <w:ind w:left="2154"/>
        <w:jc w:val="center"/>
        <w:rPr>
          <w:rFonts w:ascii="楷体_GB2312" w:eastAsia="楷体_GB2312"/>
          <w:kern w:val="0"/>
        </w:rPr>
      </w:pPr>
      <w:r w:rsidRPr="00F64DFA">
        <w:rPr>
          <w:rFonts w:ascii="楷体_GB2312" w:eastAsia="楷体_GB2312"/>
          <w:noProof/>
          <w:kern w:val="0"/>
        </w:rPr>
        <w:lastRenderedPageBreak/>
        <w:drawing>
          <wp:inline distT="0" distB="0" distL="0" distR="0">
            <wp:extent cx="3131388" cy="2122098"/>
            <wp:effectExtent l="19050" t="0" r="11862" b="0"/>
            <wp:docPr id="25" name="对象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E262A" w:rsidRPr="00F64DFA" w:rsidRDefault="001E262A" w:rsidP="001E262A">
      <w:pPr>
        <w:spacing w:before="50" w:after="50" w:line="400" w:lineRule="exact"/>
        <w:ind w:left="2154"/>
        <w:jc w:val="center"/>
        <w:rPr>
          <w:rFonts w:ascii="楷体_GB2312" w:eastAsia="楷体_GB2312"/>
          <w:kern w:val="0"/>
        </w:rPr>
      </w:pPr>
      <w:r w:rsidRPr="00F64DFA">
        <w:rPr>
          <w:rFonts w:ascii="楷体_GB2312" w:eastAsia="楷体_GB2312" w:hint="eastAsia"/>
          <w:kern w:val="0"/>
        </w:rPr>
        <w:t>图  中国人均GDP（1981-2010）</w:t>
      </w:r>
    </w:p>
    <w:p w:rsidR="001E262A" w:rsidRPr="00F64DFA" w:rsidRDefault="001E262A" w:rsidP="008B0962">
      <w:pPr>
        <w:spacing w:beforeLines="50" w:afterLines="50"/>
        <w:ind w:left="2154"/>
        <w:jc w:val="center"/>
        <w:rPr>
          <w:rFonts w:ascii="楷体_GB2312" w:eastAsia="楷体_GB2312"/>
          <w:kern w:val="0"/>
        </w:rPr>
      </w:pPr>
      <w:r w:rsidRPr="00F64DFA">
        <w:rPr>
          <w:rFonts w:ascii="楷体_GB2312" w:eastAsia="楷体_GB2312"/>
          <w:noProof/>
          <w:kern w:val="0"/>
        </w:rPr>
        <w:drawing>
          <wp:inline distT="0" distB="0" distL="0" distR="0">
            <wp:extent cx="3724814" cy="2346022"/>
            <wp:effectExtent l="19050" t="0" r="8986"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3725294" cy="2346325"/>
                    </a:xfrm>
                    <a:prstGeom prst="rect">
                      <a:avLst/>
                    </a:prstGeom>
                    <a:noFill/>
                    <a:ln w="9525">
                      <a:noFill/>
                      <a:miter lim="800000"/>
                      <a:headEnd/>
                      <a:tailEnd/>
                    </a:ln>
                  </pic:spPr>
                </pic:pic>
              </a:graphicData>
            </a:graphic>
          </wp:inline>
        </w:drawing>
      </w:r>
    </w:p>
    <w:p w:rsidR="001E262A" w:rsidRPr="00F64DFA" w:rsidRDefault="001E262A" w:rsidP="001E262A">
      <w:pPr>
        <w:spacing w:before="50" w:after="50" w:line="400" w:lineRule="exact"/>
        <w:ind w:left="2154"/>
        <w:jc w:val="center"/>
        <w:rPr>
          <w:rFonts w:ascii="楷体_GB2312" w:eastAsia="楷体_GB2312"/>
          <w:kern w:val="0"/>
        </w:rPr>
      </w:pPr>
      <w:r w:rsidRPr="00F64DFA">
        <w:rPr>
          <w:rFonts w:ascii="楷体_GB2312" w:eastAsia="楷体_GB2312" w:hint="eastAsia"/>
          <w:kern w:val="0"/>
        </w:rPr>
        <w:t>图  美国娱乐消费占人均GDP比重</w:t>
      </w:r>
    </w:p>
    <w:p w:rsidR="001E262A" w:rsidRPr="00F64DFA" w:rsidRDefault="001E262A" w:rsidP="008B0962">
      <w:pPr>
        <w:autoSpaceDE w:val="0"/>
        <w:autoSpaceDN w:val="0"/>
        <w:adjustRightInd w:val="0"/>
        <w:spacing w:beforeLines="50" w:afterLines="50" w:line="320" w:lineRule="exact"/>
        <w:ind w:left="2155"/>
        <w:rPr>
          <w:rFonts w:ascii="楷体_GB2312" w:eastAsia="楷体_GB2312"/>
          <w:kern w:val="0"/>
        </w:rPr>
      </w:pPr>
      <w:smartTag w:uri="urn:schemas-microsoft-com:office:smarttags" w:element="chsdate">
        <w:smartTagPr>
          <w:attr w:name="Year" w:val="2011"/>
          <w:attr w:name="Month" w:val="10"/>
          <w:attr w:name="Day" w:val="18"/>
          <w:attr w:name="IsLunarDate" w:val="False"/>
          <w:attr w:name="IsROCDate" w:val="False"/>
        </w:smartTagPr>
        <w:r w:rsidRPr="00F64DFA">
          <w:rPr>
            <w:rFonts w:ascii="楷体_GB2312" w:eastAsia="楷体_GB2312" w:hint="eastAsia"/>
            <w:kern w:val="0"/>
          </w:rPr>
          <w:t>2011年</w:t>
        </w:r>
        <w:r w:rsidRPr="00F64DFA">
          <w:rPr>
            <w:rFonts w:ascii="楷体_GB2312" w:eastAsia="楷体_GB2312"/>
            <w:kern w:val="0"/>
          </w:rPr>
          <w:t>10</w:t>
        </w:r>
        <w:r w:rsidRPr="00F64DFA">
          <w:rPr>
            <w:rFonts w:ascii="楷体_GB2312" w:eastAsia="楷体_GB2312" w:hint="eastAsia"/>
            <w:kern w:val="0"/>
          </w:rPr>
          <w:t>月</w:t>
        </w:r>
        <w:r w:rsidRPr="00F64DFA">
          <w:rPr>
            <w:rFonts w:ascii="楷体_GB2312" w:eastAsia="楷体_GB2312"/>
            <w:kern w:val="0"/>
          </w:rPr>
          <w:t>18</w:t>
        </w:r>
        <w:r w:rsidRPr="00F64DFA">
          <w:rPr>
            <w:rFonts w:ascii="楷体_GB2312" w:eastAsia="楷体_GB2312" w:hint="eastAsia"/>
            <w:kern w:val="0"/>
          </w:rPr>
          <w:t>日</w:t>
        </w:r>
      </w:smartTag>
      <w:r w:rsidRPr="00F64DFA">
        <w:rPr>
          <w:rFonts w:ascii="楷体_GB2312" w:eastAsia="楷体_GB2312" w:hint="eastAsia"/>
          <w:kern w:val="0"/>
        </w:rPr>
        <w:t>，中央十七届六中全会通过了《中共中央关于深化文化体制改革推动社会主义文化大发展大繁荣若干重大问题的决定》。《决定》提出了2020年的文化产业发展目标：“</w:t>
      </w:r>
      <w:r w:rsidRPr="00F64DFA">
        <w:rPr>
          <w:rFonts w:ascii="楷体_GB2312" w:eastAsia="楷体_GB2312"/>
          <w:kern w:val="0"/>
        </w:rPr>
        <w:t>社会主义核心价值体系建设深入推进，良好思想道德风尚进一步弘扬，公民素质明显提高；适应人民需要的文化产品更加丰富，精品力作不断涌现；文化事业全面繁荣，覆盖全社会的公共文化服务体系基本建立，努力实现基本公共文化服务均等化；文化产业成为国民经济支柱性产业，整体实力和国际竞争力显著增强</w:t>
      </w:r>
      <w:r w:rsidRPr="00F64DFA">
        <w:rPr>
          <w:rFonts w:ascii="楷体_GB2312" w:eastAsia="楷体_GB2312" w:hint="eastAsia"/>
          <w:kern w:val="0"/>
        </w:rPr>
        <w:t>”等，将文化产业上升至支柱产业的地位。按照支柱产业的一般定义，其产值的GDP占比不低于5%，而目前国内文化产业的GDP占比约为2%，发展空间巨大，在未来9年年均增长率将达到22%。</w:t>
      </w:r>
    </w:p>
    <w:p w:rsidR="00097DFD" w:rsidRDefault="001E262A" w:rsidP="008B0962">
      <w:pPr>
        <w:pStyle w:val="ac"/>
        <w:numPr>
          <w:ilvl w:val="0"/>
          <w:numId w:val="13"/>
        </w:numPr>
        <w:spacing w:beforeLines="100" w:afterLines="50" w:line="320" w:lineRule="exact"/>
        <w:ind w:left="2609" w:firstLineChars="0"/>
        <w:rPr>
          <w:rFonts w:ascii="楷体_GB2312" w:eastAsia="楷体_GB2312" w:hAnsi="Times New Roman" w:cs="Times New Roman"/>
          <w:kern w:val="0"/>
        </w:rPr>
      </w:pPr>
      <w:r w:rsidRPr="00F64DFA">
        <w:rPr>
          <w:rFonts w:ascii="楷体_GB2312" w:eastAsia="楷体_GB2312" w:hAnsi="Times New Roman" w:cs="Times New Roman" w:hint="eastAsia"/>
          <w:kern w:val="0"/>
        </w:rPr>
        <w:t>看好政策支持同时符合产业发展规律的子行业：影视剧行业、IPTV等新媒体行业以及进行跨领域、跨区域整合的传统媒体行业。</w:t>
      </w:r>
    </w:p>
    <w:p w:rsidR="00097DFD" w:rsidRDefault="001E262A" w:rsidP="008B0962">
      <w:pPr>
        <w:autoSpaceDE w:val="0"/>
        <w:autoSpaceDN w:val="0"/>
        <w:adjustRightInd w:val="0"/>
        <w:spacing w:afterLines="50" w:line="320" w:lineRule="exact"/>
        <w:ind w:left="2160"/>
        <w:rPr>
          <w:rFonts w:ascii="楷体_GB2312" w:eastAsia="楷体_GB2312"/>
          <w:kern w:val="0"/>
        </w:rPr>
      </w:pPr>
      <w:r w:rsidRPr="00F64DFA">
        <w:rPr>
          <w:rFonts w:ascii="楷体_GB2312" w:eastAsia="楷体_GB2312" w:hint="eastAsia"/>
          <w:kern w:val="0"/>
        </w:rPr>
        <w:t>文化传媒行业有其自身的发展规律，例如网络视频侵蚀传统电视，数字出版侵蚀传统出版等体现出的新媒体加速侵蚀传统媒体的趋势，优秀影视剧价格上升体现出的优质内容稀缺的趋势等，顺应趋势投资才可能获得持续的增长和收益。</w:t>
      </w:r>
    </w:p>
    <w:p w:rsidR="00097DFD" w:rsidRDefault="001E262A" w:rsidP="008B0962">
      <w:pPr>
        <w:autoSpaceDE w:val="0"/>
        <w:autoSpaceDN w:val="0"/>
        <w:adjustRightInd w:val="0"/>
        <w:spacing w:afterLines="50" w:line="320" w:lineRule="exact"/>
        <w:ind w:left="2160"/>
        <w:rPr>
          <w:rFonts w:ascii="楷体_GB2312" w:eastAsia="楷体_GB2312"/>
          <w:kern w:val="0"/>
        </w:rPr>
      </w:pPr>
      <w:r w:rsidRPr="00F64DFA">
        <w:rPr>
          <w:rFonts w:ascii="楷体_GB2312" w:eastAsia="楷体_GB2312" w:hint="eastAsia"/>
          <w:kern w:val="0"/>
        </w:rPr>
        <w:lastRenderedPageBreak/>
        <w:t>文化传媒行业因为受众广泛，拥有巨大的影响力，在我国具有比较特殊的地位，一直受到政府的密切监管。十七届六中全会决议中提到“</w:t>
      </w:r>
      <w:r w:rsidRPr="00F64DFA">
        <w:rPr>
          <w:rFonts w:ascii="楷体_GB2312" w:eastAsia="楷体_GB2312"/>
          <w:kern w:val="0"/>
        </w:rPr>
        <w:t>坚持以马克思主义为指导，坚持社会主义先进文化前进方向，坚持为人民服务、为社会主义服务，坚持把社会效益放在首位</w:t>
      </w:r>
      <w:r w:rsidRPr="00F64DFA">
        <w:rPr>
          <w:rFonts w:ascii="楷体_GB2312" w:eastAsia="楷体_GB2312" w:hint="eastAsia"/>
          <w:kern w:val="0"/>
        </w:rPr>
        <w:t>”等指导方针，年内广电总局的“限娱令”、“限广令”等则是这一指导方针的具体实施，预计未来行业监管不会放松，只有政策支持的子行业才可能得到长期、稳定的发展。</w:t>
      </w:r>
    </w:p>
    <w:p w:rsidR="00097DFD" w:rsidRDefault="001E262A" w:rsidP="008B0962">
      <w:pPr>
        <w:spacing w:afterLines="50" w:line="320" w:lineRule="exact"/>
        <w:ind w:left="2160"/>
        <w:rPr>
          <w:rFonts w:ascii="楷体_GB2312" w:eastAsia="楷体_GB2312"/>
          <w:kern w:val="0"/>
        </w:rPr>
      </w:pPr>
      <w:r w:rsidRPr="00F64DFA">
        <w:rPr>
          <w:rFonts w:ascii="楷体_GB2312" w:eastAsia="楷体_GB2312" w:hint="eastAsia"/>
          <w:kern w:val="0"/>
        </w:rPr>
        <w:t>因此，我们将选取文化传媒行业中受到政策支持同时符合产业发展规律的子行业，作为我们主要的投资方向，主要看好影视剧行业、IPTV等新媒体行业以及进行跨领域、跨区域整合的传统媒体行业。</w:t>
      </w:r>
    </w:p>
    <w:p w:rsidR="00097DFD" w:rsidRDefault="001E262A" w:rsidP="008B0962">
      <w:pPr>
        <w:pStyle w:val="ac"/>
        <w:numPr>
          <w:ilvl w:val="0"/>
          <w:numId w:val="12"/>
        </w:numPr>
        <w:autoSpaceDE w:val="0"/>
        <w:autoSpaceDN w:val="0"/>
        <w:adjustRightInd w:val="0"/>
        <w:spacing w:afterLines="50" w:line="320" w:lineRule="exact"/>
        <w:ind w:firstLineChars="0"/>
        <w:jc w:val="left"/>
        <w:rPr>
          <w:rFonts w:ascii="楷体_GB2312" w:eastAsia="楷体_GB2312" w:hAnsi="Times New Roman" w:cs="Times New Roman"/>
          <w:kern w:val="0"/>
        </w:rPr>
      </w:pPr>
      <w:r w:rsidRPr="00F64DFA">
        <w:rPr>
          <w:rFonts w:ascii="楷体_GB2312" w:eastAsia="楷体_GB2312" w:hAnsi="Times New Roman" w:cs="Times New Roman" w:hint="eastAsia"/>
          <w:kern w:val="0"/>
        </w:rPr>
        <w:t>影视剧行业</w:t>
      </w:r>
    </w:p>
    <w:p w:rsidR="00097DFD" w:rsidRDefault="001E262A" w:rsidP="008B0962">
      <w:pPr>
        <w:autoSpaceDE w:val="0"/>
        <w:autoSpaceDN w:val="0"/>
        <w:adjustRightInd w:val="0"/>
        <w:spacing w:afterLines="50" w:line="320" w:lineRule="exact"/>
        <w:ind w:left="2157"/>
        <w:rPr>
          <w:rFonts w:ascii="楷体_GB2312" w:eastAsia="楷体_GB2312"/>
          <w:kern w:val="0"/>
        </w:rPr>
      </w:pPr>
      <w:r w:rsidRPr="00F64DFA">
        <w:rPr>
          <w:rFonts w:ascii="楷体_GB2312" w:eastAsia="楷体_GB2312" w:hint="eastAsia"/>
          <w:kern w:val="0"/>
        </w:rPr>
        <w:t>中国电影票房从2002年至今增长了10倍以上，但票房占GDP的比例仅0.025%，远低于同等收入国家的0.05%，行业空间巨大。电影屏幕以每天8块的速度增加，2010年底为6200块，2011年肯定超过8000块，预计2015年将超过15000块，主流院线市场将下沉至县级。屏幕的增加和电影质量的提升将直接促进电影票房的增长，预计2010-2015年电影票房复合增长率约25%，2015年的电影票房将达到300亿元。电影行业的龙头公司将分享行业的高速成长。</w:t>
      </w:r>
    </w:p>
    <w:p w:rsidR="00097DFD" w:rsidRDefault="001E262A" w:rsidP="008B0962">
      <w:pPr>
        <w:pStyle w:val="ac"/>
        <w:autoSpaceDE w:val="0"/>
        <w:autoSpaceDN w:val="0"/>
        <w:adjustRightInd w:val="0"/>
        <w:spacing w:afterLines="50"/>
        <w:ind w:left="2160" w:firstLineChars="0" w:firstLine="0"/>
        <w:jc w:val="center"/>
        <w:rPr>
          <w:rFonts w:ascii="楷体_GB2312" w:eastAsia="楷体_GB2312" w:hAnsi="Times New Roman" w:cs="Times New Roman"/>
          <w:kern w:val="0"/>
        </w:rPr>
      </w:pPr>
      <w:r w:rsidRPr="00F64DFA">
        <w:rPr>
          <w:rFonts w:ascii="楷体_GB2312" w:eastAsia="楷体_GB2312" w:hAnsi="Times New Roman" w:cs="Times New Roman"/>
          <w:noProof/>
          <w:kern w:val="0"/>
        </w:rPr>
        <w:drawing>
          <wp:inline distT="0" distB="0" distL="0" distR="0">
            <wp:extent cx="3557366" cy="1978361"/>
            <wp:effectExtent l="19050" t="0" r="24034" b="2839"/>
            <wp:docPr id="27"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E262A" w:rsidRPr="00F64DFA" w:rsidRDefault="001E262A" w:rsidP="001E262A">
      <w:pPr>
        <w:spacing w:after="50" w:line="320" w:lineRule="exact"/>
        <w:ind w:left="2157"/>
        <w:jc w:val="center"/>
        <w:rPr>
          <w:rFonts w:ascii="楷体_GB2312" w:eastAsia="楷体_GB2312"/>
          <w:kern w:val="0"/>
        </w:rPr>
      </w:pPr>
      <w:r w:rsidRPr="00F64DFA">
        <w:rPr>
          <w:rFonts w:ascii="楷体_GB2312" w:eastAsia="楷体_GB2312" w:hint="eastAsia"/>
          <w:kern w:val="0"/>
        </w:rPr>
        <w:t>图  中国电影票房</w:t>
      </w:r>
    </w:p>
    <w:p w:rsidR="001E262A" w:rsidRPr="00F64DFA" w:rsidRDefault="001E262A" w:rsidP="008B0962">
      <w:pPr>
        <w:spacing w:afterLines="50" w:line="320" w:lineRule="exact"/>
        <w:ind w:left="2160"/>
        <w:rPr>
          <w:rFonts w:ascii="楷体_GB2312" w:eastAsia="楷体_GB2312"/>
          <w:kern w:val="0"/>
        </w:rPr>
      </w:pPr>
      <w:r w:rsidRPr="00F64DFA">
        <w:rPr>
          <w:rFonts w:ascii="楷体_GB2312" w:eastAsia="楷体_GB2312" w:hint="eastAsia"/>
          <w:kern w:val="0"/>
        </w:rPr>
        <w:t>电视剧是电视台收视率和视频网站流量的最重要贡献者，也是广告收入的主要来源。2009年开始，由于电视台和视频网站的激烈竞争，电视剧的价格一路彪涨，从单集40万元涨至200万元以上，但即便如此，电视剧交易额占电视台广告收入的比例也仅有10%，却贡献了电视台超过50%的广告收入，因此，电视剧尤其是精品电视剧的价格空间还很大，预计2016年电视剧行业的空间将超过200亿元，超过2010年的3倍，复合增长率约21%。电视剧行业的龙头企业将显著受益于产业增长和产业集中度的提升。</w:t>
      </w:r>
    </w:p>
    <w:p w:rsidR="001E262A" w:rsidRPr="00F64DFA" w:rsidRDefault="001E262A" w:rsidP="001E262A">
      <w:pPr>
        <w:pStyle w:val="ac"/>
        <w:spacing w:after="50"/>
        <w:ind w:left="2160" w:firstLineChars="0" w:firstLine="0"/>
        <w:jc w:val="center"/>
        <w:rPr>
          <w:rFonts w:ascii="楷体_GB2312" w:eastAsia="楷体_GB2312" w:hAnsi="Times New Roman" w:cs="Times New Roman"/>
          <w:kern w:val="0"/>
        </w:rPr>
      </w:pPr>
      <w:r w:rsidRPr="00F64DFA">
        <w:rPr>
          <w:rFonts w:ascii="楷体_GB2312" w:eastAsia="楷体_GB2312" w:hAnsi="Times New Roman" w:cs="Times New Roman"/>
          <w:noProof/>
          <w:kern w:val="0"/>
        </w:rPr>
        <w:lastRenderedPageBreak/>
        <w:drawing>
          <wp:inline distT="0" distB="0" distL="0" distR="0">
            <wp:extent cx="3453931" cy="2125704"/>
            <wp:effectExtent l="9203" t="4721" r="4601" b="0"/>
            <wp:docPr id="28"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E262A" w:rsidRPr="00F64DFA" w:rsidRDefault="001E262A" w:rsidP="001E262A">
      <w:pPr>
        <w:spacing w:after="50" w:line="320" w:lineRule="exact"/>
        <w:ind w:left="2157"/>
        <w:jc w:val="center"/>
        <w:rPr>
          <w:rFonts w:ascii="楷体_GB2312" w:eastAsia="楷体_GB2312"/>
          <w:kern w:val="0"/>
        </w:rPr>
      </w:pPr>
      <w:r w:rsidRPr="00F64DFA">
        <w:rPr>
          <w:rFonts w:ascii="楷体_GB2312" w:eastAsia="楷体_GB2312" w:hint="eastAsia"/>
          <w:kern w:val="0"/>
        </w:rPr>
        <w:t>图  中国电视剧市场规模</w:t>
      </w:r>
    </w:p>
    <w:p w:rsidR="00097DFD" w:rsidRDefault="001E262A" w:rsidP="008B0962">
      <w:pPr>
        <w:pStyle w:val="ac"/>
        <w:numPr>
          <w:ilvl w:val="0"/>
          <w:numId w:val="12"/>
        </w:numPr>
        <w:autoSpaceDE w:val="0"/>
        <w:autoSpaceDN w:val="0"/>
        <w:adjustRightInd w:val="0"/>
        <w:spacing w:beforeLines="50" w:afterLines="50" w:line="240" w:lineRule="exact"/>
        <w:ind w:left="2575" w:firstLineChars="0"/>
        <w:jc w:val="left"/>
        <w:rPr>
          <w:rFonts w:ascii="楷体_GB2312" w:eastAsia="楷体_GB2312" w:hAnsi="Times New Roman" w:cs="Times New Roman"/>
          <w:kern w:val="0"/>
        </w:rPr>
      </w:pPr>
      <w:r w:rsidRPr="00F64DFA">
        <w:rPr>
          <w:rFonts w:ascii="楷体_GB2312" w:eastAsia="楷体_GB2312" w:hAnsi="Times New Roman" w:cs="Times New Roman" w:hint="eastAsia"/>
          <w:kern w:val="0"/>
        </w:rPr>
        <w:t>IPTV等新媒体行业</w:t>
      </w:r>
    </w:p>
    <w:p w:rsidR="00097DFD" w:rsidRDefault="001E262A" w:rsidP="008B0962">
      <w:pPr>
        <w:autoSpaceDE w:val="0"/>
        <w:autoSpaceDN w:val="0"/>
        <w:adjustRightInd w:val="0"/>
        <w:spacing w:beforeLines="50" w:afterLines="50" w:line="320" w:lineRule="exact"/>
        <w:ind w:left="2160"/>
        <w:rPr>
          <w:rFonts w:ascii="楷体_GB2312" w:eastAsia="楷体_GB2312"/>
          <w:kern w:val="0"/>
        </w:rPr>
      </w:pPr>
      <w:r w:rsidRPr="00F64DFA">
        <w:rPr>
          <w:rFonts w:ascii="楷体_GB2312" w:eastAsia="楷体_GB2312" w:hint="eastAsia"/>
          <w:kern w:val="0"/>
        </w:rPr>
        <w:t>随着技术进步和国家宽带战略的推动，宽带渗透率逐步提高，</w:t>
      </w:r>
      <w:r w:rsidRPr="00F64DFA">
        <w:rPr>
          <w:rFonts w:ascii="楷体_GB2312" w:eastAsia="楷体_GB2312"/>
          <w:kern w:val="0"/>
        </w:rPr>
        <w:t xml:space="preserve">2012 </w:t>
      </w:r>
      <w:r w:rsidRPr="00F64DFA">
        <w:rPr>
          <w:rFonts w:ascii="楷体_GB2312" w:eastAsia="楷体_GB2312" w:hint="eastAsia"/>
          <w:kern w:val="0"/>
        </w:rPr>
        <w:t>年底宽带接入用户数将接近</w:t>
      </w:r>
      <w:r w:rsidRPr="00F64DFA">
        <w:rPr>
          <w:rFonts w:ascii="楷体_GB2312" w:eastAsia="楷体_GB2312"/>
          <w:kern w:val="0"/>
        </w:rPr>
        <w:t xml:space="preserve">1.9 </w:t>
      </w:r>
      <w:r w:rsidRPr="00F64DFA">
        <w:rPr>
          <w:rFonts w:ascii="楷体_GB2312" w:eastAsia="楷体_GB2312" w:hint="eastAsia"/>
          <w:kern w:val="0"/>
        </w:rPr>
        <w:t>亿，宽带普及率接近50%。基于固网宽带基础上的</w:t>
      </w:r>
      <w:r w:rsidRPr="00F64DFA">
        <w:rPr>
          <w:rFonts w:ascii="楷体_GB2312" w:eastAsia="楷体_GB2312"/>
          <w:kern w:val="0"/>
        </w:rPr>
        <w:t>IPTV</w:t>
      </w:r>
      <w:r w:rsidRPr="00F64DFA">
        <w:rPr>
          <w:rFonts w:ascii="楷体_GB2312" w:eastAsia="楷体_GB2312" w:hint="eastAsia"/>
          <w:kern w:val="0"/>
        </w:rPr>
        <w:t>应用，拥有比有线电视更丰富的节目资源而且克服了有线电视的地域壁垒，预期IPTV对有线电视的冲击将逐步加速；</w:t>
      </w:r>
      <w:r w:rsidRPr="00F64DFA">
        <w:rPr>
          <w:rFonts w:ascii="楷体_GB2312" w:eastAsia="楷体_GB2312"/>
          <w:kern w:val="0"/>
        </w:rPr>
        <w:t>201</w:t>
      </w:r>
      <w:r w:rsidRPr="00F64DFA">
        <w:rPr>
          <w:rFonts w:ascii="楷体_GB2312" w:eastAsia="楷体_GB2312" w:hint="eastAsia"/>
          <w:kern w:val="0"/>
        </w:rPr>
        <w:t>1年</w:t>
      </w:r>
      <w:r w:rsidRPr="00F64DFA">
        <w:rPr>
          <w:rFonts w:ascii="楷体_GB2312" w:eastAsia="楷体_GB2312"/>
          <w:kern w:val="0"/>
        </w:rPr>
        <w:t>IPTV</w:t>
      </w:r>
      <w:r w:rsidRPr="00F64DFA">
        <w:rPr>
          <w:rFonts w:ascii="楷体_GB2312" w:eastAsia="楷体_GB2312" w:hint="eastAsia"/>
          <w:kern w:val="0"/>
        </w:rPr>
        <w:t>用户将达到1400万，</w:t>
      </w:r>
      <w:r w:rsidRPr="00F64DFA">
        <w:rPr>
          <w:rFonts w:ascii="楷体_GB2312" w:eastAsia="楷体_GB2312"/>
          <w:kern w:val="0"/>
        </w:rPr>
        <w:t>2015</w:t>
      </w:r>
      <w:r w:rsidRPr="00F64DFA">
        <w:rPr>
          <w:rFonts w:ascii="楷体_GB2312" w:eastAsia="楷体_GB2312" w:hint="eastAsia"/>
          <w:kern w:val="0"/>
        </w:rPr>
        <w:t>年</w:t>
      </w:r>
      <w:r w:rsidRPr="00F64DFA">
        <w:rPr>
          <w:rFonts w:ascii="楷体_GB2312" w:eastAsia="楷体_GB2312"/>
          <w:kern w:val="0"/>
        </w:rPr>
        <w:t>IPTV</w:t>
      </w:r>
      <w:r w:rsidRPr="00F64DFA">
        <w:rPr>
          <w:rFonts w:ascii="楷体_GB2312" w:eastAsia="楷体_GB2312" w:hint="eastAsia"/>
          <w:kern w:val="0"/>
        </w:rPr>
        <w:t>用户将达到</w:t>
      </w:r>
      <w:r w:rsidRPr="00F64DFA">
        <w:rPr>
          <w:rFonts w:ascii="楷体_GB2312" w:eastAsia="楷体_GB2312"/>
          <w:kern w:val="0"/>
        </w:rPr>
        <w:t>4700</w:t>
      </w:r>
      <w:r w:rsidRPr="00F64DFA">
        <w:rPr>
          <w:rFonts w:ascii="楷体_GB2312" w:eastAsia="楷体_GB2312" w:hint="eastAsia"/>
          <w:kern w:val="0"/>
        </w:rPr>
        <w:t>万，复合增长率35%。IPTV龙头企业将依靠牌照壁垒和先发优势获得快速增长并积累大量用户资源。</w:t>
      </w:r>
    </w:p>
    <w:p w:rsidR="00000000" w:rsidRDefault="001E262A" w:rsidP="008B0962">
      <w:pPr>
        <w:pStyle w:val="ac"/>
        <w:autoSpaceDE w:val="0"/>
        <w:autoSpaceDN w:val="0"/>
        <w:adjustRightInd w:val="0"/>
        <w:spacing w:beforeLines="50" w:afterLines="50"/>
        <w:ind w:left="2160" w:firstLineChars="0" w:firstLine="0"/>
        <w:jc w:val="center"/>
        <w:rPr>
          <w:rFonts w:ascii="楷体_GB2312" w:eastAsia="楷体_GB2312" w:hAnsi="Times New Roman" w:cs="Times New Roman"/>
          <w:kern w:val="0"/>
        </w:rPr>
      </w:pPr>
      <w:r w:rsidRPr="00F64DFA">
        <w:rPr>
          <w:rFonts w:ascii="楷体_GB2312" w:eastAsia="楷体_GB2312" w:hAnsi="Times New Roman" w:cs="Times New Roman" w:hint="eastAsia"/>
          <w:noProof/>
          <w:kern w:val="0"/>
        </w:rPr>
        <w:drawing>
          <wp:inline distT="0" distB="0" distL="0" distR="0">
            <wp:extent cx="3571240" cy="2458720"/>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srcRect/>
                    <a:stretch>
                      <a:fillRect/>
                    </a:stretch>
                  </pic:blipFill>
                  <pic:spPr bwMode="auto">
                    <a:xfrm>
                      <a:off x="0" y="0"/>
                      <a:ext cx="3571240" cy="2458720"/>
                    </a:xfrm>
                    <a:prstGeom prst="rect">
                      <a:avLst/>
                    </a:prstGeom>
                    <a:noFill/>
                    <a:ln w="9525">
                      <a:noFill/>
                      <a:miter lim="800000"/>
                      <a:headEnd/>
                      <a:tailEnd/>
                    </a:ln>
                  </pic:spPr>
                </pic:pic>
              </a:graphicData>
            </a:graphic>
          </wp:inline>
        </w:drawing>
      </w:r>
    </w:p>
    <w:p w:rsidR="001E262A" w:rsidRPr="00F64DFA" w:rsidRDefault="001E262A" w:rsidP="001E262A">
      <w:pPr>
        <w:pStyle w:val="ac"/>
        <w:spacing w:before="50" w:after="50" w:line="400" w:lineRule="exact"/>
        <w:ind w:left="2577" w:firstLineChars="0" w:firstLine="0"/>
        <w:jc w:val="center"/>
        <w:rPr>
          <w:rFonts w:ascii="楷体_GB2312" w:eastAsia="楷体_GB2312" w:hAnsi="Times New Roman" w:cs="Times New Roman"/>
          <w:kern w:val="0"/>
        </w:rPr>
      </w:pPr>
      <w:r w:rsidRPr="00F64DFA">
        <w:rPr>
          <w:rFonts w:ascii="楷体_GB2312" w:eastAsia="楷体_GB2312" w:hAnsi="Times New Roman" w:cs="Times New Roman" w:hint="eastAsia"/>
          <w:kern w:val="0"/>
        </w:rPr>
        <w:t>图  中国宽带用户和IPTV用户</w:t>
      </w:r>
    </w:p>
    <w:p w:rsidR="00097DFD" w:rsidRDefault="001E262A" w:rsidP="008B0962">
      <w:pPr>
        <w:pStyle w:val="ac"/>
        <w:numPr>
          <w:ilvl w:val="0"/>
          <w:numId w:val="12"/>
        </w:numPr>
        <w:autoSpaceDE w:val="0"/>
        <w:autoSpaceDN w:val="0"/>
        <w:adjustRightInd w:val="0"/>
        <w:spacing w:beforeLines="50" w:afterLines="50" w:line="400" w:lineRule="exact"/>
        <w:ind w:firstLineChars="0"/>
        <w:rPr>
          <w:rFonts w:ascii="楷体_GB2312" w:eastAsia="楷体_GB2312" w:hAnsi="Times New Roman" w:cs="Times New Roman"/>
          <w:kern w:val="0"/>
        </w:rPr>
      </w:pPr>
      <w:r w:rsidRPr="00F64DFA">
        <w:rPr>
          <w:rFonts w:ascii="楷体_GB2312" w:eastAsia="楷体_GB2312" w:hAnsi="Times New Roman" w:cs="Times New Roman" w:hint="eastAsia"/>
          <w:kern w:val="0"/>
        </w:rPr>
        <w:t>进行跨领域、跨区域整合的传统媒体行业</w:t>
      </w:r>
    </w:p>
    <w:p w:rsidR="00097DFD" w:rsidRDefault="001E262A" w:rsidP="008B0962">
      <w:pPr>
        <w:autoSpaceDE w:val="0"/>
        <w:autoSpaceDN w:val="0"/>
        <w:adjustRightInd w:val="0"/>
        <w:spacing w:beforeLines="50" w:afterLines="50" w:line="400" w:lineRule="exact"/>
        <w:ind w:left="2157"/>
        <w:rPr>
          <w:rFonts w:ascii="楷体_GB2312" w:eastAsia="楷体_GB2312"/>
          <w:kern w:val="0"/>
        </w:rPr>
      </w:pPr>
      <w:r w:rsidRPr="00F64DFA">
        <w:rPr>
          <w:rFonts w:ascii="楷体_GB2312" w:eastAsia="楷体_GB2312" w:hint="eastAsia"/>
          <w:kern w:val="0"/>
        </w:rPr>
        <w:t>党的十七届六中全会决议中提出"要培育一批核心竞争力强的国有或国有控股大型文化企业或企业集团，在发展产业和繁荣市场方面发挥主导作用"，也就是说要建成文化航母，引导国内舆论，繁荣国内市场同时扩大国际影响力。</w:t>
      </w:r>
      <w:r w:rsidRPr="00F64DFA">
        <w:rPr>
          <w:rFonts w:ascii="楷体_GB2312" w:eastAsia="楷体_GB2312"/>
          <w:kern w:val="0"/>
        </w:rPr>
        <w:t>2012</w:t>
      </w:r>
      <w:r w:rsidRPr="00F64DFA">
        <w:rPr>
          <w:rFonts w:ascii="楷体_GB2312" w:eastAsia="楷体_GB2312" w:hint="eastAsia"/>
          <w:kern w:val="0"/>
        </w:rPr>
        <w:t>年将是政策落实之年，预计各部委、各地方政府将陆续出台各方面的具体政策扶持，有线网络的省内整合、大文化部改革以及各省广电、出版、报业的整合速度将加快。正在进行有线网络省内整合的企业，以及各省的文化</w:t>
      </w:r>
      <w:r w:rsidRPr="00F64DFA">
        <w:rPr>
          <w:rFonts w:ascii="楷体_GB2312" w:eastAsia="楷体_GB2312" w:hint="eastAsia"/>
          <w:kern w:val="0"/>
        </w:rPr>
        <w:lastRenderedPageBreak/>
        <w:t>龙头企业都将迎来政策推动的跨越式发展机会。</w:t>
      </w:r>
    </w:p>
    <w:p w:rsidR="00097DFD" w:rsidRDefault="00C32B55" w:rsidP="008B0962">
      <w:pPr>
        <w:pStyle w:val="1"/>
        <w:numPr>
          <w:ilvl w:val="0"/>
          <w:numId w:val="4"/>
        </w:numPr>
        <w:spacing w:beforeLines="50" w:afterLines="50" w:line="480" w:lineRule="auto"/>
        <w:ind w:left="2705"/>
        <w:rPr>
          <w:rFonts w:ascii="楷体_GB2312" w:eastAsia="楷体_GB2312"/>
          <w:bCs w:val="0"/>
          <w:kern w:val="0"/>
          <w:sz w:val="21"/>
          <w:szCs w:val="21"/>
        </w:rPr>
      </w:pPr>
      <w:bookmarkStart w:id="72" w:name="_Toc313737768"/>
      <w:r w:rsidRPr="00C32B55">
        <w:rPr>
          <w:rFonts w:ascii="楷体_GB2312" w:eastAsia="楷体_GB2312" w:hint="eastAsia"/>
          <w:bCs w:val="0"/>
          <w:kern w:val="0"/>
          <w:sz w:val="21"/>
          <w:szCs w:val="21"/>
        </w:rPr>
        <w:t>环保行业：</w:t>
      </w:r>
      <w:bookmarkEnd w:id="72"/>
      <w:r w:rsidRPr="00C32B55">
        <w:rPr>
          <w:rFonts w:ascii="楷体_GB2312" w:eastAsia="楷体_GB2312"/>
          <w:bCs w:val="0"/>
          <w:kern w:val="0"/>
          <w:sz w:val="21"/>
          <w:szCs w:val="21"/>
        </w:rPr>
        <w:t xml:space="preserve"> </w:t>
      </w:r>
    </w:p>
    <w:p w:rsidR="00C32B55" w:rsidRPr="00C32B55" w:rsidRDefault="00C32B55" w:rsidP="00C32B55">
      <w:pPr>
        <w:autoSpaceDE w:val="0"/>
        <w:autoSpaceDN w:val="0"/>
        <w:adjustRightInd w:val="0"/>
        <w:snapToGrid w:val="0"/>
        <w:spacing w:line="360" w:lineRule="auto"/>
        <w:jc w:val="center"/>
        <w:rPr>
          <w:rFonts w:ascii="楷体_GB2312" w:eastAsia="楷体_GB2312"/>
          <w:kern w:val="0"/>
        </w:rPr>
      </w:pPr>
    </w:p>
    <w:p w:rsidR="00C32B55" w:rsidRPr="00C32B55" w:rsidRDefault="00C32B55" w:rsidP="00C32B55">
      <w:pPr>
        <w:overflowPunct w:val="0"/>
        <w:autoSpaceDE w:val="0"/>
        <w:autoSpaceDN w:val="0"/>
        <w:adjustRightInd w:val="0"/>
        <w:snapToGrid w:val="0"/>
        <w:spacing w:line="360" w:lineRule="auto"/>
        <w:ind w:leftChars="1000" w:left="2100"/>
        <w:rPr>
          <w:rFonts w:ascii="楷体_GB2312" w:eastAsia="楷体_GB2312"/>
          <w:kern w:val="0"/>
        </w:rPr>
      </w:pPr>
      <w:r w:rsidRPr="00C32B55">
        <w:rPr>
          <w:rFonts w:ascii="楷体_GB2312" w:eastAsia="楷体_GB2312" w:hint="eastAsia"/>
          <w:kern w:val="0"/>
        </w:rPr>
        <w:t>保护环境是我国的基本国策。在经济转型的大背景下，随着人民生活环境不断改善的需求和节能减排的要求，环境保护日益受到重视，政府部门已将环保产业列为战略性新兴产业，加快培育成为先导产业和支柱产业。近期出台的环保产业“十二五”规划从环保目标、投资规模到政策落实都有利于推动环保行业快速发展，在宏观经济整体增速回落的情况下，2012年环保行业将呈现增速为25%左右的确定性增长。</w:t>
      </w:r>
    </w:p>
    <w:p w:rsidR="00C32B55" w:rsidRDefault="00C32B55" w:rsidP="00C32B55">
      <w:pPr>
        <w:overflowPunct w:val="0"/>
        <w:autoSpaceDE w:val="0"/>
        <w:autoSpaceDN w:val="0"/>
        <w:adjustRightInd w:val="0"/>
        <w:snapToGrid w:val="0"/>
        <w:spacing w:line="360" w:lineRule="auto"/>
        <w:ind w:firstLineChars="1000" w:firstLine="2100"/>
        <w:rPr>
          <w:rFonts w:ascii="楷体_GB2312" w:eastAsia="楷体_GB2312"/>
          <w:kern w:val="0"/>
        </w:rPr>
      </w:pPr>
    </w:p>
    <w:p w:rsidR="00C32B55" w:rsidRDefault="00C32B55" w:rsidP="00C32B55">
      <w:pPr>
        <w:overflowPunct w:val="0"/>
        <w:autoSpaceDE w:val="0"/>
        <w:autoSpaceDN w:val="0"/>
        <w:adjustRightInd w:val="0"/>
        <w:snapToGrid w:val="0"/>
        <w:spacing w:line="360" w:lineRule="auto"/>
        <w:ind w:leftChars="1000" w:left="2100"/>
        <w:rPr>
          <w:rFonts w:ascii="楷体_GB2312" w:eastAsia="楷体_GB2312"/>
          <w:kern w:val="0"/>
        </w:rPr>
      </w:pPr>
      <w:r w:rsidRPr="00C32B55">
        <w:rPr>
          <w:rFonts w:ascii="楷体_GB2312" w:eastAsia="楷体_GB2312" w:hint="eastAsia"/>
          <w:kern w:val="0"/>
        </w:rPr>
        <w:t>1、“十二五”环保投资需求3.4万亿元。目前发达国家环保投入占GDP的比例为2.5%以上，而我国的环保投入仅为1.5%，差距很大。“十二五”规划指出全社会环保投资需求约3.4万亿元，超出之前市场预期环保投入的3.1万亿元。其中，优先实施8项环境保护重点工程，开展一批环境基础调查与试点示范，投资需求约1.5万亿元。要充分利用市场机制，形成多元化的投入格局，确保工程投资到位。工程投入以企业和地方各级政府为主，中央政府区别不同情况给予支持。同时通过环保部与各省、各电力集团、国家电网、中石油、中石化签订责任书的方式，实现减排目标。</w:t>
      </w:r>
    </w:p>
    <w:p w:rsidR="00C32B55" w:rsidRDefault="00C32B55" w:rsidP="00C32B55">
      <w:pPr>
        <w:overflowPunct w:val="0"/>
        <w:autoSpaceDE w:val="0"/>
        <w:autoSpaceDN w:val="0"/>
        <w:adjustRightInd w:val="0"/>
        <w:snapToGrid w:val="0"/>
        <w:spacing w:line="360" w:lineRule="auto"/>
        <w:ind w:firstLineChars="1050" w:firstLine="2205"/>
        <w:rPr>
          <w:rFonts w:ascii="楷体_GB2312" w:eastAsia="楷体_GB2312"/>
          <w:kern w:val="0"/>
        </w:rPr>
      </w:pPr>
    </w:p>
    <w:p w:rsidR="00C32B55" w:rsidRPr="00C32B55" w:rsidRDefault="00C32B55" w:rsidP="00C32B55">
      <w:pPr>
        <w:overflowPunct w:val="0"/>
        <w:autoSpaceDE w:val="0"/>
        <w:autoSpaceDN w:val="0"/>
        <w:adjustRightInd w:val="0"/>
        <w:snapToGrid w:val="0"/>
        <w:spacing w:line="360" w:lineRule="auto"/>
        <w:ind w:leftChars="1000" w:left="2100" w:firstLineChars="50" w:firstLine="105"/>
        <w:rPr>
          <w:rFonts w:ascii="楷体_GB2312" w:eastAsia="楷体_GB2312"/>
          <w:kern w:val="0"/>
        </w:rPr>
      </w:pPr>
      <w:r w:rsidRPr="00C32B55">
        <w:rPr>
          <w:rFonts w:ascii="楷体_GB2312" w:eastAsia="楷体_GB2312" w:hint="eastAsia"/>
          <w:kern w:val="0"/>
        </w:rPr>
        <w:t>2、严控大气污染排放，扩展脱硫脱硝领域。“十二五”期间，国家环境保护规划继续强调二氧化硫、化学需氧量排放总量，新增氨氮排放总量、氮氧化物排放总量作为环境保护主要指标。大气污染治理的要求更加严格：（1）加快其他行业脱硫脱硝步伐。要求加强水泥、石油石化、煤化工等行业二氧化硫和氮氧化物治理。石油石化、有色、建材等行业的工业窑炉要进行脱硫改造。新型干法水泥窑要进行低氮燃烧技术改造，新建水泥生产线要安装效率不低于60%的脱硝设施。（2）在京津冀、长三角和珠三角等区域开展臭氧、细颗粒物（PM2.5）等污染物监测，开展区域联合执法检查，到2015年，上述区域复合型大气污染得到控制，所有城市空气环境质量达到或好于国家二级标准，酸雨、灰霾和光化学烟雾污染明显减少。</w:t>
      </w:r>
    </w:p>
    <w:p w:rsidR="00C32B55" w:rsidRDefault="00C32B55" w:rsidP="00C32B55">
      <w:pPr>
        <w:pStyle w:val="af6"/>
        <w:adjustRightInd w:val="0"/>
        <w:snapToGrid w:val="0"/>
        <w:spacing w:after="0" w:line="360" w:lineRule="auto"/>
        <w:ind w:firstLineChars="200" w:firstLine="420"/>
        <w:rPr>
          <w:rFonts w:ascii="楷体_GB2312" w:hAnsi="Times New Roman" w:cs="Times New Roman"/>
          <w:kern w:val="0"/>
          <w:sz w:val="21"/>
          <w:szCs w:val="21"/>
        </w:rPr>
      </w:pPr>
    </w:p>
    <w:p w:rsidR="00C32B55" w:rsidRPr="00C32B55" w:rsidRDefault="00C32B55" w:rsidP="00C32B55">
      <w:pPr>
        <w:pStyle w:val="af6"/>
        <w:adjustRightInd w:val="0"/>
        <w:snapToGrid w:val="0"/>
        <w:spacing w:after="0" w:line="360" w:lineRule="auto"/>
        <w:ind w:leftChars="1000" w:left="2100"/>
        <w:rPr>
          <w:rFonts w:ascii="楷体_GB2312" w:hAnsi="Times New Roman" w:cs="Times New Roman"/>
          <w:kern w:val="0"/>
          <w:sz w:val="21"/>
          <w:szCs w:val="21"/>
        </w:rPr>
      </w:pPr>
      <w:r w:rsidRPr="00C32B55">
        <w:rPr>
          <w:rFonts w:ascii="楷体_GB2312" w:hAnsi="Times New Roman" w:cs="Times New Roman" w:hint="eastAsia"/>
          <w:kern w:val="0"/>
          <w:sz w:val="21"/>
          <w:szCs w:val="21"/>
        </w:rPr>
        <w:t>3、加强污水管网建设，提升城镇污水处理水平。根据“十二五”规划，到2015年，全国新增城镇污水管网约16万公里，新增污水日处理能力4200万吨，基本实现所有县和重点建制镇具备污水处理能力，污水处理设施负荷率提高到80%以上，城市污水处理率达到85%。尽管新增城镇污水管网和污水日处理能力略低于市场预期，但对于污水管网建设、污水处理设备提供商以及污水运营企业都将带来潜在的利好。“十二五”期间，由于先进的水处理技术</w:t>
      </w:r>
      <w:r w:rsidRPr="00C32B55">
        <w:rPr>
          <w:rFonts w:ascii="楷体_GB2312" w:hAnsi="Times New Roman" w:cs="Times New Roman" w:hint="eastAsia"/>
          <w:kern w:val="0"/>
          <w:sz w:val="21"/>
          <w:szCs w:val="21"/>
        </w:rPr>
        <w:lastRenderedPageBreak/>
        <w:t>如MBR膜技术的广泛应用，再生水利用率有望从2%提高到10%左右，具有先进水处理技术的龙头企业将面临巨大的市场机会。</w:t>
      </w:r>
    </w:p>
    <w:p w:rsidR="00C32B55" w:rsidRDefault="00C32B55" w:rsidP="00C32B55">
      <w:pPr>
        <w:pStyle w:val="af6"/>
        <w:adjustRightInd w:val="0"/>
        <w:snapToGrid w:val="0"/>
        <w:spacing w:after="0" w:line="360" w:lineRule="auto"/>
        <w:ind w:firstLineChars="1000" w:firstLine="2100"/>
        <w:rPr>
          <w:rFonts w:ascii="楷体_GB2312" w:hAnsi="Times New Roman" w:cs="Times New Roman"/>
          <w:kern w:val="0"/>
          <w:sz w:val="21"/>
          <w:szCs w:val="21"/>
        </w:rPr>
      </w:pPr>
    </w:p>
    <w:p w:rsidR="00C32B55" w:rsidRPr="00C32B55" w:rsidRDefault="00C32B55" w:rsidP="00C32B55">
      <w:pPr>
        <w:pStyle w:val="af6"/>
        <w:adjustRightInd w:val="0"/>
        <w:snapToGrid w:val="0"/>
        <w:spacing w:after="0" w:line="360" w:lineRule="auto"/>
        <w:ind w:leftChars="1000" w:left="2100"/>
        <w:rPr>
          <w:rFonts w:ascii="楷体_GB2312" w:hAnsi="Times New Roman" w:cs="Times New Roman"/>
          <w:kern w:val="0"/>
          <w:sz w:val="21"/>
          <w:szCs w:val="21"/>
        </w:rPr>
      </w:pPr>
      <w:r w:rsidRPr="00C32B55">
        <w:rPr>
          <w:rFonts w:ascii="楷体_GB2312" w:hAnsi="Times New Roman" w:cs="Times New Roman" w:hint="eastAsia"/>
          <w:kern w:val="0"/>
          <w:sz w:val="21"/>
          <w:szCs w:val="21"/>
        </w:rPr>
        <w:t>4、加大固废处理投入，提高固废利用率和处理率。固废产生量的增速与GDP增速及城市化率增速具有强相关性。我国的固废处理行业仍处于初级发展阶段，与发达国家成熟的固废处理行业相比差距很大，也严重滞后于我国的经济发展水平和城市化进程。“十二五”规划要求：到2015年，工业固体废物综合利用率达到72%， 全国城市生活垃圾无害化处理率达到80%；同时新增三项固废处理要求：（1）推出二口恶英排放标准，到2015年，重点行业二口恶英排放强度降低10%；（2）提出重金属污染排放标准量化，并首次列入规划：到2015年，重点区域内重点重金属污染物排放量比2007年降低15%，非重点区域重点重金属污染物排放量不超过2007年水平；（3）加强核与辐射安全管理，加强放射性污染防治。加快放射性废物贮存、处理和处置能力建设，基本消除历史遗留中低放废液的安全风险。加快铀矿、伴生放射性矿污染治理，关停不符合安全要求的铀矿冶设施，建立铀矿冶退役治理工程长期监护机制。</w:t>
      </w:r>
    </w:p>
    <w:p w:rsidR="00C32B55" w:rsidRDefault="00C32B55" w:rsidP="00C32B55">
      <w:pPr>
        <w:pStyle w:val="af6"/>
        <w:widowControl w:val="0"/>
        <w:adjustRightInd w:val="0"/>
        <w:snapToGrid w:val="0"/>
        <w:spacing w:after="0" w:line="360" w:lineRule="auto"/>
        <w:ind w:firstLineChars="950" w:firstLine="1995"/>
        <w:rPr>
          <w:rFonts w:ascii="楷体_GB2312" w:hAnsi="Times New Roman" w:cs="Times New Roman"/>
          <w:kern w:val="0"/>
          <w:sz w:val="21"/>
          <w:szCs w:val="21"/>
        </w:rPr>
      </w:pPr>
    </w:p>
    <w:p w:rsidR="00C32B55" w:rsidRPr="00C32B55" w:rsidRDefault="00C32B55" w:rsidP="00C32B55">
      <w:pPr>
        <w:pStyle w:val="af6"/>
        <w:widowControl w:val="0"/>
        <w:adjustRightInd w:val="0"/>
        <w:snapToGrid w:val="0"/>
        <w:spacing w:after="0" w:line="360" w:lineRule="auto"/>
        <w:ind w:leftChars="950" w:left="1995"/>
        <w:rPr>
          <w:rFonts w:ascii="楷体_GB2312" w:hAnsi="Times New Roman" w:cs="Times New Roman"/>
          <w:kern w:val="0"/>
          <w:sz w:val="21"/>
          <w:szCs w:val="21"/>
        </w:rPr>
      </w:pPr>
      <w:r w:rsidRPr="00C32B55">
        <w:rPr>
          <w:rFonts w:ascii="楷体_GB2312" w:hAnsi="Times New Roman" w:cs="Times New Roman" w:hint="eastAsia"/>
          <w:kern w:val="0"/>
          <w:sz w:val="21"/>
          <w:szCs w:val="21"/>
        </w:rPr>
        <w:t>5、明确责任主体，加强评估考核。“十二五”规划明确了地方政府是规划实施的责任主体，并强调了财政资金的引导作用，将环保指标作为重要政绩考核指标：（1）深化“以奖促防”、“以奖促治”、“以奖代补”等政策，强化各级财政资金的引导作用；（2）要在2013年底和2015年底，分别对规划执行情况进行中期评估和终期考核，评估和考核结果向国务院报告，向社会公布，并作为对地方人民政府政绩考核的重要内容。实行严苛的考核机制、政绩考量标准以及监管机制，主要的目的是将环保产业利益链完全理顺。整体产权和奖罚机制理顺，将会增加污染企业污染成本，同时让民众参与环保投资，可以将污染处罚和民众支付转移给污染治理企业，政府可以自然而然的解决缺钱办环保的现状，同时提高环保企业的盈利水平。</w:t>
      </w:r>
    </w:p>
    <w:p w:rsidR="00C32B55" w:rsidRPr="00C32B55" w:rsidRDefault="00C32B55" w:rsidP="00C32B55">
      <w:pPr>
        <w:pStyle w:val="af6"/>
        <w:adjustRightInd w:val="0"/>
        <w:snapToGrid w:val="0"/>
        <w:spacing w:line="360" w:lineRule="auto"/>
        <w:ind w:firstLineChars="200" w:firstLine="420"/>
        <w:rPr>
          <w:rFonts w:ascii="楷体_GB2312" w:hAnsi="Times New Roman" w:cs="Times New Roman"/>
          <w:b/>
          <w:sz w:val="21"/>
          <w:szCs w:val="21"/>
        </w:rPr>
      </w:pPr>
      <w:r>
        <w:rPr>
          <w:rFonts w:ascii="楷体_GB2312" w:hAnsi="Times New Roman" w:cs="Times New Roman" w:hint="eastAsia"/>
          <w:kern w:val="0"/>
          <w:sz w:val="21"/>
          <w:szCs w:val="21"/>
        </w:rPr>
        <w:t xml:space="preserve">                </w:t>
      </w:r>
      <w:r w:rsidRPr="00C32B55">
        <w:rPr>
          <w:rFonts w:ascii="楷体_GB2312" w:hAnsi="Times New Roman" w:cs="Times New Roman" w:hint="eastAsia"/>
          <w:b/>
          <w:sz w:val="21"/>
          <w:szCs w:val="21"/>
        </w:rPr>
        <w:t>表1： “十二五”环境保护主要指标</w:t>
      </w:r>
    </w:p>
    <w:tbl>
      <w:tblPr>
        <w:tblW w:w="7802" w:type="dxa"/>
        <w:tblInd w:w="1965"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80"/>
        <w:gridCol w:w="4254"/>
        <w:gridCol w:w="938"/>
        <w:gridCol w:w="933"/>
        <w:gridCol w:w="1097"/>
      </w:tblGrid>
      <w:tr w:rsidR="00C32B55" w:rsidRPr="00C32B55" w:rsidTr="00B22D56">
        <w:trPr>
          <w:trHeight w:val="677"/>
        </w:trPr>
        <w:tc>
          <w:tcPr>
            <w:tcW w:w="372" w:type="pct"/>
            <w:shd w:val="clear" w:color="auto" w:fill="E6E6E6"/>
            <w:vAlign w:val="center"/>
          </w:tcPr>
          <w:p w:rsidR="00C32B55" w:rsidRPr="00C32B55" w:rsidRDefault="00C32B55" w:rsidP="00B22D56">
            <w:pPr>
              <w:spacing w:line="280" w:lineRule="exact"/>
              <w:ind w:left="57" w:right="57"/>
              <w:jc w:val="center"/>
              <w:rPr>
                <w:rFonts w:ascii="楷体_GB2312" w:eastAsia="楷体_GB2312"/>
                <w:kern w:val="0"/>
              </w:rPr>
            </w:pPr>
          </w:p>
        </w:tc>
        <w:tc>
          <w:tcPr>
            <w:tcW w:w="2726" w:type="pct"/>
            <w:shd w:val="clear" w:color="auto" w:fill="E6E6E6"/>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hint="eastAsia"/>
                <w:kern w:val="0"/>
              </w:rPr>
              <w:t>指标</w:t>
            </w:r>
          </w:p>
        </w:tc>
        <w:tc>
          <w:tcPr>
            <w:tcW w:w="601" w:type="pct"/>
            <w:shd w:val="clear" w:color="auto" w:fill="E6E6E6"/>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kern w:val="0"/>
              </w:rPr>
              <w:t>20</w:t>
            </w:r>
            <w:r w:rsidRPr="00C32B55">
              <w:rPr>
                <w:rFonts w:ascii="楷体_GB2312" w:eastAsia="楷体_GB2312" w:hint="eastAsia"/>
                <w:kern w:val="0"/>
              </w:rPr>
              <w:t>10</w:t>
            </w:r>
            <w:r w:rsidRPr="00C32B55">
              <w:rPr>
                <w:rFonts w:ascii="楷体_GB2312" w:eastAsia="楷体_GB2312"/>
                <w:kern w:val="0"/>
              </w:rPr>
              <w:t>年</w:t>
            </w:r>
          </w:p>
        </w:tc>
        <w:tc>
          <w:tcPr>
            <w:tcW w:w="598" w:type="pct"/>
            <w:shd w:val="clear" w:color="auto" w:fill="E6E6E6"/>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kern w:val="0"/>
              </w:rPr>
              <w:t>201</w:t>
            </w:r>
            <w:r w:rsidRPr="00C32B55">
              <w:rPr>
                <w:rFonts w:ascii="楷体_GB2312" w:eastAsia="楷体_GB2312" w:hint="eastAsia"/>
                <w:kern w:val="0"/>
              </w:rPr>
              <w:t>5</w:t>
            </w:r>
            <w:r w:rsidRPr="00C32B55">
              <w:rPr>
                <w:rFonts w:ascii="楷体_GB2312" w:eastAsia="楷体_GB2312"/>
                <w:kern w:val="0"/>
              </w:rPr>
              <w:t>年</w:t>
            </w:r>
          </w:p>
        </w:tc>
        <w:tc>
          <w:tcPr>
            <w:tcW w:w="703" w:type="pct"/>
            <w:shd w:val="clear" w:color="auto" w:fill="E6E6E6"/>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hint="eastAsia"/>
                <w:kern w:val="0"/>
              </w:rPr>
              <w:t>“十二五”</w:t>
            </w:r>
            <w:r w:rsidRPr="00C32B55">
              <w:rPr>
                <w:rFonts w:ascii="楷体_GB2312" w:eastAsia="楷体_GB2312"/>
                <w:kern w:val="0"/>
              </w:rPr>
              <w:br/>
            </w:r>
            <w:r w:rsidRPr="00C32B55">
              <w:rPr>
                <w:rFonts w:ascii="楷体_GB2312" w:eastAsia="楷体_GB2312" w:hint="eastAsia"/>
                <w:kern w:val="0"/>
              </w:rPr>
              <w:t>增减情况</w:t>
            </w:r>
          </w:p>
        </w:tc>
      </w:tr>
      <w:tr w:rsidR="00C32B55" w:rsidRPr="00C32B55" w:rsidTr="00B22D56">
        <w:trPr>
          <w:trHeight w:val="391"/>
        </w:trPr>
        <w:tc>
          <w:tcPr>
            <w:tcW w:w="372" w:type="pct"/>
            <w:shd w:val="clear" w:color="auto" w:fill="auto"/>
            <w:vAlign w:val="center"/>
          </w:tcPr>
          <w:p w:rsidR="00C32B55" w:rsidRPr="00C32B55" w:rsidRDefault="00C32B55" w:rsidP="00B22D56">
            <w:pPr>
              <w:spacing w:line="280" w:lineRule="exact"/>
              <w:ind w:left="57" w:right="57"/>
              <w:jc w:val="center"/>
              <w:rPr>
                <w:rFonts w:ascii="楷体_GB2312" w:eastAsia="楷体_GB2312"/>
                <w:kern w:val="0"/>
              </w:rPr>
            </w:pPr>
            <w:r w:rsidRPr="00C32B55">
              <w:rPr>
                <w:rFonts w:ascii="楷体_GB2312" w:eastAsia="楷体_GB2312"/>
                <w:kern w:val="0"/>
              </w:rPr>
              <w:t>1</w:t>
            </w:r>
          </w:p>
        </w:tc>
        <w:tc>
          <w:tcPr>
            <w:tcW w:w="2726"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kern w:val="0"/>
              </w:rPr>
              <w:t>化学需氧量排放总量（万吨）</w:t>
            </w:r>
          </w:p>
        </w:tc>
        <w:tc>
          <w:tcPr>
            <w:tcW w:w="601"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kern w:val="0"/>
              </w:rPr>
              <w:t>2551.7</w:t>
            </w:r>
          </w:p>
        </w:tc>
        <w:tc>
          <w:tcPr>
            <w:tcW w:w="598"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kern w:val="0"/>
              </w:rPr>
              <w:t>2347.6</w:t>
            </w:r>
          </w:p>
        </w:tc>
        <w:tc>
          <w:tcPr>
            <w:tcW w:w="703"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hint="eastAsia"/>
                <w:kern w:val="0"/>
              </w:rPr>
              <w:t>-8%</w:t>
            </w:r>
          </w:p>
        </w:tc>
      </w:tr>
      <w:tr w:rsidR="00C32B55" w:rsidRPr="00C32B55" w:rsidTr="00B22D56">
        <w:trPr>
          <w:trHeight w:val="406"/>
        </w:trPr>
        <w:tc>
          <w:tcPr>
            <w:tcW w:w="372" w:type="pct"/>
            <w:shd w:val="clear" w:color="auto" w:fill="E6E6E6"/>
            <w:vAlign w:val="center"/>
          </w:tcPr>
          <w:p w:rsidR="00C32B55" w:rsidRPr="00C32B55" w:rsidRDefault="00C32B55" w:rsidP="00B22D56">
            <w:pPr>
              <w:spacing w:line="280" w:lineRule="exact"/>
              <w:ind w:left="57" w:right="57"/>
              <w:jc w:val="center"/>
              <w:rPr>
                <w:rFonts w:ascii="楷体_GB2312" w:eastAsia="楷体_GB2312"/>
                <w:kern w:val="0"/>
              </w:rPr>
            </w:pPr>
            <w:r w:rsidRPr="00C32B55">
              <w:rPr>
                <w:rFonts w:ascii="楷体_GB2312" w:eastAsia="楷体_GB2312" w:hint="eastAsia"/>
                <w:kern w:val="0"/>
              </w:rPr>
              <w:t>2</w:t>
            </w:r>
          </w:p>
        </w:tc>
        <w:tc>
          <w:tcPr>
            <w:tcW w:w="2726" w:type="pct"/>
            <w:shd w:val="clear" w:color="auto" w:fill="E6E6E6"/>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hint="eastAsia"/>
                <w:kern w:val="0"/>
              </w:rPr>
              <w:t>氨氮排放总量（万吨）</w:t>
            </w:r>
          </w:p>
        </w:tc>
        <w:tc>
          <w:tcPr>
            <w:tcW w:w="601" w:type="pct"/>
            <w:shd w:val="clear" w:color="auto" w:fill="E6E6E6"/>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kern w:val="0"/>
              </w:rPr>
              <w:t>264.4</w:t>
            </w:r>
          </w:p>
        </w:tc>
        <w:tc>
          <w:tcPr>
            <w:tcW w:w="598" w:type="pct"/>
            <w:shd w:val="clear" w:color="auto" w:fill="E6E6E6"/>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kern w:val="0"/>
              </w:rPr>
              <w:t>238.0</w:t>
            </w:r>
          </w:p>
        </w:tc>
        <w:tc>
          <w:tcPr>
            <w:tcW w:w="703" w:type="pct"/>
            <w:shd w:val="clear" w:color="auto" w:fill="E6E6E6"/>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hint="eastAsia"/>
                <w:kern w:val="0"/>
              </w:rPr>
              <w:t>-10%</w:t>
            </w:r>
          </w:p>
        </w:tc>
      </w:tr>
      <w:tr w:rsidR="00C32B55" w:rsidRPr="00C32B55" w:rsidTr="00B22D56">
        <w:trPr>
          <w:trHeight w:val="406"/>
        </w:trPr>
        <w:tc>
          <w:tcPr>
            <w:tcW w:w="372" w:type="pct"/>
            <w:shd w:val="clear" w:color="auto" w:fill="auto"/>
            <w:vAlign w:val="center"/>
          </w:tcPr>
          <w:p w:rsidR="00C32B55" w:rsidRPr="00C32B55" w:rsidRDefault="00C32B55" w:rsidP="00B22D56">
            <w:pPr>
              <w:spacing w:line="280" w:lineRule="exact"/>
              <w:ind w:left="57" w:right="57"/>
              <w:jc w:val="center"/>
              <w:rPr>
                <w:rFonts w:ascii="楷体_GB2312" w:eastAsia="楷体_GB2312"/>
                <w:kern w:val="0"/>
              </w:rPr>
            </w:pPr>
            <w:r w:rsidRPr="00C32B55">
              <w:rPr>
                <w:rFonts w:ascii="楷体_GB2312" w:eastAsia="楷体_GB2312" w:hint="eastAsia"/>
                <w:kern w:val="0"/>
              </w:rPr>
              <w:t>3</w:t>
            </w:r>
          </w:p>
        </w:tc>
        <w:tc>
          <w:tcPr>
            <w:tcW w:w="2726"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kern w:val="0"/>
              </w:rPr>
              <w:t>二氧化硫排放总量（万吨）</w:t>
            </w:r>
          </w:p>
        </w:tc>
        <w:tc>
          <w:tcPr>
            <w:tcW w:w="601"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kern w:val="0"/>
              </w:rPr>
              <w:t>2267.8</w:t>
            </w:r>
          </w:p>
        </w:tc>
        <w:tc>
          <w:tcPr>
            <w:tcW w:w="598"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kern w:val="0"/>
              </w:rPr>
              <w:t>2086.4</w:t>
            </w:r>
          </w:p>
        </w:tc>
        <w:tc>
          <w:tcPr>
            <w:tcW w:w="703"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hint="eastAsia"/>
                <w:kern w:val="0"/>
              </w:rPr>
              <w:t>-8%</w:t>
            </w:r>
          </w:p>
        </w:tc>
      </w:tr>
      <w:tr w:rsidR="00C32B55" w:rsidRPr="00C32B55" w:rsidTr="00B22D56">
        <w:trPr>
          <w:trHeight w:val="391"/>
        </w:trPr>
        <w:tc>
          <w:tcPr>
            <w:tcW w:w="372" w:type="pct"/>
            <w:shd w:val="clear" w:color="auto" w:fill="E6E6E6"/>
            <w:vAlign w:val="center"/>
          </w:tcPr>
          <w:p w:rsidR="00C32B55" w:rsidRPr="00C32B55" w:rsidRDefault="00C32B55" w:rsidP="00B22D56">
            <w:pPr>
              <w:spacing w:line="280" w:lineRule="exact"/>
              <w:ind w:left="57" w:right="57"/>
              <w:jc w:val="center"/>
              <w:rPr>
                <w:rFonts w:ascii="楷体_GB2312" w:eastAsia="楷体_GB2312"/>
                <w:kern w:val="0"/>
              </w:rPr>
            </w:pPr>
            <w:r w:rsidRPr="00C32B55">
              <w:rPr>
                <w:rFonts w:ascii="楷体_GB2312" w:eastAsia="楷体_GB2312" w:hint="eastAsia"/>
                <w:kern w:val="0"/>
              </w:rPr>
              <w:t>4</w:t>
            </w:r>
          </w:p>
        </w:tc>
        <w:tc>
          <w:tcPr>
            <w:tcW w:w="2726" w:type="pct"/>
            <w:shd w:val="clear" w:color="auto" w:fill="E6E6E6"/>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hint="eastAsia"/>
                <w:kern w:val="0"/>
              </w:rPr>
              <w:t>氮氧化物排放总量（万吨）</w:t>
            </w:r>
          </w:p>
        </w:tc>
        <w:tc>
          <w:tcPr>
            <w:tcW w:w="601" w:type="pct"/>
            <w:shd w:val="clear" w:color="auto" w:fill="E6E6E6"/>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hint="eastAsia"/>
                <w:kern w:val="0"/>
              </w:rPr>
              <w:t>2273.6</w:t>
            </w:r>
          </w:p>
        </w:tc>
        <w:tc>
          <w:tcPr>
            <w:tcW w:w="598" w:type="pct"/>
            <w:shd w:val="clear" w:color="auto" w:fill="E6E6E6"/>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hint="eastAsia"/>
                <w:kern w:val="0"/>
              </w:rPr>
              <w:t>2046.2</w:t>
            </w:r>
          </w:p>
        </w:tc>
        <w:tc>
          <w:tcPr>
            <w:tcW w:w="703" w:type="pct"/>
            <w:shd w:val="clear" w:color="auto" w:fill="E6E6E6"/>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hint="eastAsia"/>
                <w:kern w:val="0"/>
              </w:rPr>
              <w:t>-10%</w:t>
            </w:r>
          </w:p>
        </w:tc>
      </w:tr>
      <w:tr w:rsidR="00C32B55" w:rsidRPr="00C32B55" w:rsidTr="00B22D56">
        <w:trPr>
          <w:trHeight w:val="406"/>
        </w:trPr>
        <w:tc>
          <w:tcPr>
            <w:tcW w:w="372" w:type="pct"/>
            <w:shd w:val="clear" w:color="auto" w:fill="auto"/>
            <w:vAlign w:val="center"/>
          </w:tcPr>
          <w:p w:rsidR="00C32B55" w:rsidRPr="00C32B55" w:rsidRDefault="00C32B55" w:rsidP="00B22D56">
            <w:pPr>
              <w:spacing w:line="280" w:lineRule="exact"/>
              <w:ind w:left="57" w:right="57"/>
              <w:jc w:val="center"/>
              <w:rPr>
                <w:rFonts w:ascii="楷体_GB2312" w:eastAsia="楷体_GB2312"/>
                <w:kern w:val="0"/>
              </w:rPr>
            </w:pPr>
            <w:r w:rsidRPr="00C32B55">
              <w:rPr>
                <w:rFonts w:ascii="楷体_GB2312" w:eastAsia="楷体_GB2312" w:hint="eastAsia"/>
                <w:kern w:val="0"/>
              </w:rPr>
              <w:t>5</w:t>
            </w:r>
          </w:p>
        </w:tc>
        <w:tc>
          <w:tcPr>
            <w:tcW w:w="2726"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kern w:val="0"/>
              </w:rPr>
              <w:t>地表水国控断面劣V类水质的比例（%）</w:t>
            </w:r>
          </w:p>
        </w:tc>
        <w:tc>
          <w:tcPr>
            <w:tcW w:w="601"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hint="eastAsia"/>
                <w:kern w:val="0"/>
              </w:rPr>
              <w:t>17.7</w:t>
            </w:r>
          </w:p>
        </w:tc>
        <w:tc>
          <w:tcPr>
            <w:tcW w:w="598"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kern w:val="0"/>
              </w:rPr>
              <w:t>＜</w:t>
            </w:r>
            <w:r w:rsidRPr="00C32B55">
              <w:rPr>
                <w:rFonts w:ascii="楷体_GB2312" w:eastAsia="楷体_GB2312" w:hint="eastAsia"/>
                <w:kern w:val="0"/>
              </w:rPr>
              <w:t>15</w:t>
            </w:r>
          </w:p>
        </w:tc>
        <w:tc>
          <w:tcPr>
            <w:tcW w:w="703"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hint="eastAsia"/>
                <w:kern w:val="0"/>
              </w:rPr>
              <w:t>-2.7个百分点</w:t>
            </w:r>
          </w:p>
        </w:tc>
      </w:tr>
      <w:tr w:rsidR="00C32B55" w:rsidRPr="00C32B55" w:rsidTr="00B22D56">
        <w:trPr>
          <w:trHeight w:val="406"/>
        </w:trPr>
        <w:tc>
          <w:tcPr>
            <w:tcW w:w="372" w:type="pct"/>
            <w:shd w:val="clear" w:color="auto" w:fill="auto"/>
            <w:vAlign w:val="center"/>
          </w:tcPr>
          <w:p w:rsidR="00C32B55" w:rsidRPr="00C32B55" w:rsidRDefault="00C32B55" w:rsidP="00B22D56">
            <w:pPr>
              <w:spacing w:line="280" w:lineRule="exact"/>
              <w:ind w:left="57" w:right="57"/>
              <w:jc w:val="center"/>
              <w:rPr>
                <w:rFonts w:ascii="楷体_GB2312" w:eastAsia="楷体_GB2312"/>
                <w:kern w:val="0"/>
              </w:rPr>
            </w:pPr>
          </w:p>
        </w:tc>
        <w:tc>
          <w:tcPr>
            <w:tcW w:w="2726"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kern w:val="0"/>
              </w:rPr>
              <w:t>七大水系国控断面好于</w:t>
            </w:r>
            <w:r w:rsidRPr="00C32B55">
              <w:rPr>
                <w:rFonts w:ascii="楷体_GB2312" w:eastAsia="楷体_GB2312" w:hint="eastAsia"/>
                <w:kern w:val="0"/>
              </w:rPr>
              <w:t>Ⅲ</w:t>
            </w:r>
            <w:r w:rsidRPr="00C32B55">
              <w:rPr>
                <w:rFonts w:ascii="楷体_GB2312" w:eastAsia="楷体_GB2312"/>
                <w:kern w:val="0"/>
              </w:rPr>
              <w:t>类的比例（%）</w:t>
            </w:r>
          </w:p>
        </w:tc>
        <w:tc>
          <w:tcPr>
            <w:tcW w:w="601"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hint="eastAsia"/>
                <w:kern w:val="0"/>
              </w:rPr>
              <w:t>55</w:t>
            </w:r>
          </w:p>
        </w:tc>
        <w:tc>
          <w:tcPr>
            <w:tcW w:w="598"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kern w:val="0"/>
              </w:rPr>
              <w:t>＞</w:t>
            </w:r>
            <w:r w:rsidRPr="00C32B55">
              <w:rPr>
                <w:rFonts w:ascii="楷体_GB2312" w:eastAsia="楷体_GB2312" w:hint="eastAsia"/>
                <w:kern w:val="0"/>
              </w:rPr>
              <w:t>60</w:t>
            </w:r>
          </w:p>
        </w:tc>
        <w:tc>
          <w:tcPr>
            <w:tcW w:w="703"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hint="eastAsia"/>
                <w:kern w:val="0"/>
              </w:rPr>
              <w:t>5个百分点</w:t>
            </w:r>
          </w:p>
        </w:tc>
      </w:tr>
      <w:tr w:rsidR="00C32B55" w:rsidRPr="00C32B55" w:rsidTr="00B22D56">
        <w:trPr>
          <w:trHeight w:val="406"/>
        </w:trPr>
        <w:tc>
          <w:tcPr>
            <w:tcW w:w="372" w:type="pct"/>
            <w:shd w:val="clear" w:color="auto" w:fill="auto"/>
            <w:vAlign w:val="center"/>
          </w:tcPr>
          <w:p w:rsidR="00C32B55" w:rsidRPr="00C32B55" w:rsidRDefault="00C32B55" w:rsidP="00B22D56">
            <w:pPr>
              <w:spacing w:line="280" w:lineRule="exact"/>
              <w:ind w:left="57" w:right="57"/>
              <w:jc w:val="center"/>
              <w:rPr>
                <w:rFonts w:ascii="楷体_GB2312" w:eastAsia="楷体_GB2312"/>
                <w:kern w:val="0"/>
              </w:rPr>
            </w:pPr>
            <w:r w:rsidRPr="00C32B55">
              <w:rPr>
                <w:rFonts w:ascii="楷体_GB2312" w:eastAsia="楷体_GB2312" w:hint="eastAsia"/>
                <w:kern w:val="0"/>
              </w:rPr>
              <w:t>6</w:t>
            </w:r>
          </w:p>
        </w:tc>
        <w:tc>
          <w:tcPr>
            <w:tcW w:w="2726"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kern w:val="0"/>
              </w:rPr>
              <w:t>重点城市空气质量好于II级标准的天数超过</w:t>
            </w:r>
            <w:r w:rsidRPr="00C32B55">
              <w:rPr>
                <w:rFonts w:ascii="楷体_GB2312" w:eastAsia="楷体_GB2312"/>
                <w:kern w:val="0"/>
              </w:rPr>
              <w:lastRenderedPageBreak/>
              <w:t>292天的比例（%）</w:t>
            </w:r>
          </w:p>
        </w:tc>
        <w:tc>
          <w:tcPr>
            <w:tcW w:w="601"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hint="eastAsia"/>
                <w:kern w:val="0"/>
              </w:rPr>
              <w:lastRenderedPageBreak/>
              <w:t>72</w:t>
            </w:r>
          </w:p>
        </w:tc>
        <w:tc>
          <w:tcPr>
            <w:tcW w:w="598"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kern w:val="0"/>
              </w:rPr>
              <w:t>＞</w:t>
            </w:r>
            <w:r w:rsidRPr="00C32B55">
              <w:rPr>
                <w:rFonts w:ascii="楷体_GB2312" w:eastAsia="楷体_GB2312" w:hint="eastAsia"/>
                <w:kern w:val="0"/>
              </w:rPr>
              <w:t>=80</w:t>
            </w:r>
          </w:p>
        </w:tc>
        <w:tc>
          <w:tcPr>
            <w:tcW w:w="703" w:type="pct"/>
            <w:shd w:val="clear" w:color="auto" w:fill="auto"/>
            <w:vAlign w:val="center"/>
          </w:tcPr>
          <w:p w:rsidR="00C32B55" w:rsidRPr="00C32B55" w:rsidRDefault="00C32B55" w:rsidP="00B22D56">
            <w:pPr>
              <w:spacing w:line="280" w:lineRule="exact"/>
              <w:ind w:right="57"/>
              <w:jc w:val="center"/>
              <w:rPr>
                <w:rFonts w:ascii="楷体_GB2312" w:eastAsia="楷体_GB2312"/>
                <w:kern w:val="0"/>
              </w:rPr>
            </w:pPr>
            <w:r w:rsidRPr="00C32B55">
              <w:rPr>
                <w:rFonts w:ascii="楷体_GB2312" w:eastAsia="楷体_GB2312" w:hint="eastAsia"/>
                <w:kern w:val="0"/>
              </w:rPr>
              <w:t>8个百分点</w:t>
            </w:r>
          </w:p>
        </w:tc>
      </w:tr>
    </w:tbl>
    <w:p w:rsidR="00C32B55" w:rsidRPr="00C32B55" w:rsidRDefault="00C32B55" w:rsidP="00C32B55">
      <w:pPr>
        <w:autoSpaceDE w:val="0"/>
        <w:autoSpaceDN w:val="0"/>
        <w:adjustRightInd w:val="0"/>
        <w:snapToGrid w:val="0"/>
        <w:spacing w:before="100" w:beforeAutospacing="1" w:line="360" w:lineRule="auto"/>
        <w:ind w:firstLineChars="1100" w:firstLine="2310"/>
        <w:rPr>
          <w:rFonts w:ascii="楷体_GB2312" w:eastAsia="楷体_GB2312"/>
          <w:kern w:val="0"/>
        </w:rPr>
      </w:pPr>
      <w:r w:rsidRPr="00C32B55">
        <w:rPr>
          <w:rFonts w:ascii="楷体_GB2312" w:eastAsia="楷体_GB2312" w:hint="eastAsia"/>
          <w:kern w:val="0"/>
        </w:rPr>
        <w:lastRenderedPageBreak/>
        <w:t>资料来源：环境保护“十二五”规划、华商基金</w:t>
      </w:r>
    </w:p>
    <w:p w:rsidR="00C32B55" w:rsidRPr="00C32B55" w:rsidRDefault="00C32B55" w:rsidP="00C32B55">
      <w:pPr>
        <w:pStyle w:val="af6"/>
        <w:adjustRightInd w:val="0"/>
        <w:snapToGrid w:val="0"/>
        <w:spacing w:line="360" w:lineRule="auto"/>
        <w:ind w:firstLineChars="200" w:firstLine="420"/>
        <w:rPr>
          <w:rFonts w:ascii="楷体_GB2312" w:hAnsi="Times New Roman" w:cs="Times New Roman"/>
          <w:kern w:val="0"/>
          <w:sz w:val="21"/>
          <w:szCs w:val="21"/>
        </w:rPr>
      </w:pPr>
    </w:p>
    <w:p w:rsidR="00C32B55" w:rsidRDefault="00C32B55" w:rsidP="00C32B55">
      <w:pPr>
        <w:pStyle w:val="af6"/>
        <w:adjustRightInd w:val="0"/>
        <w:snapToGrid w:val="0"/>
        <w:spacing w:line="360" w:lineRule="auto"/>
        <w:ind w:leftChars="950" w:left="1995"/>
        <w:rPr>
          <w:rFonts w:ascii="楷体_GB2312" w:hAnsi="Times New Roman" w:cs="Times New Roman"/>
          <w:kern w:val="0"/>
          <w:sz w:val="21"/>
          <w:szCs w:val="21"/>
        </w:rPr>
      </w:pPr>
      <w:r w:rsidRPr="00C32B55">
        <w:rPr>
          <w:rFonts w:ascii="楷体_GB2312" w:hAnsi="Times New Roman" w:cs="Times New Roman" w:hint="eastAsia"/>
          <w:kern w:val="0"/>
          <w:sz w:val="21"/>
          <w:szCs w:val="21"/>
        </w:rPr>
        <w:t>6、投资策略：环保事关民生与维稳，在积极的财政政策背景下，环保行业的上市公司业绩增长较为确定，但由于市场预期普遍过高，导致环保类上市公司估值偏高，所以，2012年存在季报业绩低于市场预期的风险，建议在估值回落到合理水平后关注大气监测、固废处理及水处理等领域具有技术优势和异地扩张能力的龙头企业。</w:t>
      </w:r>
    </w:p>
    <w:p w:rsidR="00097DFD" w:rsidRDefault="00117F7A" w:rsidP="008B0962">
      <w:pPr>
        <w:pStyle w:val="1"/>
        <w:numPr>
          <w:ilvl w:val="0"/>
          <w:numId w:val="4"/>
        </w:numPr>
        <w:spacing w:beforeLines="50" w:afterLines="50" w:line="480" w:lineRule="auto"/>
        <w:ind w:left="2847"/>
        <w:rPr>
          <w:rFonts w:ascii="楷体_GB2312" w:eastAsia="楷体_GB2312" w:hAnsi="宋体"/>
          <w:sz w:val="21"/>
          <w:szCs w:val="21"/>
        </w:rPr>
      </w:pPr>
      <w:bookmarkStart w:id="73" w:name="_Toc282178553"/>
      <w:bookmarkStart w:id="74" w:name="_Toc313737769"/>
      <w:r>
        <w:rPr>
          <w:rFonts w:ascii="楷体_GB2312" w:eastAsia="楷体_GB2312" w:hAnsi="宋体" w:cs="楷体_GB2312" w:hint="eastAsia"/>
          <w:sz w:val="21"/>
          <w:szCs w:val="21"/>
        </w:rPr>
        <w:t>电气设备行业：</w:t>
      </w:r>
      <w:bookmarkEnd w:id="73"/>
      <w:bookmarkEnd w:id="74"/>
      <w:r w:rsidRPr="00FD2E35">
        <w:rPr>
          <w:rFonts w:ascii="楷体_GB2312" w:eastAsia="楷体_GB2312" w:hAnsi="宋体"/>
          <w:sz w:val="21"/>
          <w:szCs w:val="21"/>
        </w:rPr>
        <w:t xml:space="preserve"> </w:t>
      </w: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“十一五” 期间，电网投资侧重输电网建设。在此期间，电网公司多数投资用于电网扩容，变电站数量和线路长度增速很快，输变电一次设备需求规模空前，输配电设备行业也因此在“十一五”期间电力设备行业中最有前途的子行业之一。进入“十二五”之后，电网投资结构将会发生变化，电网升级将不再是以扩容为主，重</w:t>
      </w:r>
      <w:r w:rsidRPr="00FD2E35">
        <w:rPr>
          <w:rFonts w:ascii="楷体_GB2312" w:eastAsia="楷体_GB2312" w:hAnsi="宋体" w:hint="eastAsia"/>
          <w:b/>
        </w:rPr>
        <w:t>点集中在电网的智能化升级，电网二次设备需求将成为电力设备需求的重要增长点</w:t>
      </w:r>
      <w:r w:rsidRPr="00FD2E35">
        <w:rPr>
          <w:rFonts w:ascii="楷体_GB2312" w:eastAsia="楷体_GB2312" w:hAnsi="宋体" w:hint="eastAsia"/>
        </w:rPr>
        <w:t>。</w:t>
      </w:r>
    </w:p>
    <w:p w:rsidR="00097DFD" w:rsidRDefault="00097DFD" w:rsidP="008B0962">
      <w:pPr>
        <w:autoSpaceDE w:val="0"/>
        <w:autoSpaceDN w:val="0"/>
        <w:adjustRightInd w:val="0"/>
        <w:spacing w:afterLines="50"/>
        <w:ind w:left="2155"/>
        <w:jc w:val="left"/>
        <w:rPr>
          <w:rFonts w:ascii="楷体_GB2312" w:eastAsia="楷体_GB2312" w:hAnsi="宋体"/>
        </w:rPr>
      </w:pPr>
    </w:p>
    <w:p w:rsidR="00097DFD" w:rsidRDefault="00117F7A" w:rsidP="008B0962">
      <w:pPr>
        <w:pStyle w:val="ac"/>
        <w:numPr>
          <w:ilvl w:val="0"/>
          <w:numId w:val="16"/>
        </w:numPr>
        <w:autoSpaceDE w:val="0"/>
        <w:autoSpaceDN w:val="0"/>
        <w:adjustRightInd w:val="0"/>
        <w:spacing w:afterLines="50"/>
        <w:ind w:firstLineChars="0"/>
        <w:jc w:val="left"/>
        <w:rPr>
          <w:rFonts w:ascii="楷体_GB2312" w:eastAsia="楷体_GB2312" w:hAnsi="宋体"/>
          <w:b/>
        </w:rPr>
      </w:pPr>
      <w:r w:rsidRPr="00FD2E35">
        <w:rPr>
          <w:rFonts w:ascii="楷体_GB2312" w:eastAsia="楷体_GB2312" w:hAnsi="宋体" w:hint="eastAsia"/>
          <w:b/>
        </w:rPr>
        <w:t>智能电网可以解决新能源接入、电网安全稳定问题</w:t>
      </w:r>
    </w:p>
    <w:p w:rsidR="00097DFD" w:rsidRDefault="00097DFD" w:rsidP="008B0962">
      <w:pPr>
        <w:pStyle w:val="ac"/>
        <w:autoSpaceDE w:val="0"/>
        <w:autoSpaceDN w:val="0"/>
        <w:adjustRightInd w:val="0"/>
        <w:spacing w:afterLines="50"/>
        <w:ind w:left="2575" w:firstLineChars="0" w:firstLine="0"/>
        <w:jc w:val="left"/>
        <w:rPr>
          <w:rFonts w:ascii="楷体_GB2312" w:eastAsia="楷体_GB2312" w:hAnsi="宋体"/>
          <w:b/>
        </w:rPr>
      </w:pP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十二五”我国经济将面临由传统经济模式向新经济模式转型的过程，在此背景下，发电电源将发生结构性变化，国家将逐渐加大水电、核电、风电、光伏等清洁能源在能源结构中的占比，对电网提出全面升级的要求，风电光伏等新能源上网问题已经成为制约我国新能源发展的重要问题，智能电网将成为解决新能源集中电源和分布式电源上网的利器。随着我国经济的高速发展，电网的安全稳定越来越重要，停电事故对国民经济带来的损失将越来越巨大，智能电网升级本质上是增强电网的保护和控制能力，保证电网运行的安全性和可靠性。</w:t>
      </w:r>
    </w:p>
    <w:p w:rsidR="00097DFD" w:rsidRDefault="00097DFD" w:rsidP="008B0962">
      <w:pPr>
        <w:autoSpaceDE w:val="0"/>
        <w:autoSpaceDN w:val="0"/>
        <w:adjustRightInd w:val="0"/>
        <w:spacing w:afterLines="50"/>
        <w:ind w:left="2155"/>
        <w:jc w:val="left"/>
        <w:rPr>
          <w:rFonts w:ascii="楷体_GB2312" w:eastAsia="楷体_GB2312" w:hAnsi="宋体"/>
        </w:rPr>
      </w:pPr>
    </w:p>
    <w:p w:rsidR="00097DFD" w:rsidRDefault="00117F7A" w:rsidP="008B0962">
      <w:pPr>
        <w:pStyle w:val="ac"/>
        <w:numPr>
          <w:ilvl w:val="0"/>
          <w:numId w:val="16"/>
        </w:numPr>
        <w:autoSpaceDE w:val="0"/>
        <w:autoSpaceDN w:val="0"/>
        <w:adjustRightInd w:val="0"/>
        <w:spacing w:afterLines="50"/>
        <w:ind w:firstLineChars="0"/>
        <w:jc w:val="left"/>
        <w:rPr>
          <w:rFonts w:ascii="楷体_GB2312" w:eastAsia="楷体_GB2312" w:hAnsi="宋体"/>
          <w:b/>
        </w:rPr>
      </w:pPr>
      <w:r w:rsidRPr="00FD2E35">
        <w:rPr>
          <w:rFonts w:ascii="楷体_GB2312" w:eastAsia="楷体_GB2312" w:hAnsi="宋体" w:hint="eastAsia"/>
          <w:b/>
        </w:rPr>
        <w:t>智能电网涉及电网各个环节的智能化升级</w:t>
      </w:r>
    </w:p>
    <w:p w:rsidR="00097DFD" w:rsidRDefault="00097DFD" w:rsidP="008B0962">
      <w:pPr>
        <w:pStyle w:val="ac"/>
        <w:autoSpaceDE w:val="0"/>
        <w:autoSpaceDN w:val="0"/>
        <w:adjustRightInd w:val="0"/>
        <w:spacing w:afterLines="50"/>
        <w:ind w:left="2575" w:firstLineChars="0" w:firstLine="0"/>
        <w:jc w:val="left"/>
        <w:rPr>
          <w:rFonts w:ascii="楷体_GB2312" w:eastAsia="楷体_GB2312" w:hAnsi="宋体"/>
          <w:b/>
        </w:rPr>
      </w:pP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电网智能化升级涉及发电、输电、变电、配电、用电、调度、通信等环节，发电环节重点在新能源接入并网和大容量储能，输电环节重点在柔性输电和线路设备状态在线监测，变电站环节重点在智能变电站，配电环节重点在配电自动化和配网调控一体化系统，用电环节重点在用电信息采集系统和电动汽车充换电站，调度环节重点在智能调度系统，通信环节重点在通信网络光纤化。中国的智能电网是在原有电网基础上一次全面的装备升级，我们认为在此过程中将涌现出巨大的投资机会。</w:t>
      </w:r>
    </w:p>
    <w:p w:rsidR="00097DFD" w:rsidRDefault="00097DFD" w:rsidP="008B0962">
      <w:pPr>
        <w:autoSpaceDE w:val="0"/>
        <w:autoSpaceDN w:val="0"/>
        <w:adjustRightInd w:val="0"/>
        <w:spacing w:afterLines="50"/>
        <w:ind w:left="2155"/>
        <w:jc w:val="left"/>
        <w:rPr>
          <w:rFonts w:ascii="楷体_GB2312" w:eastAsia="楷体_GB2312" w:hAnsi="宋体"/>
        </w:rPr>
      </w:pPr>
    </w:p>
    <w:p w:rsidR="00097DFD" w:rsidRDefault="00117F7A" w:rsidP="008B0962">
      <w:pPr>
        <w:pStyle w:val="ac"/>
        <w:numPr>
          <w:ilvl w:val="0"/>
          <w:numId w:val="16"/>
        </w:numPr>
        <w:autoSpaceDE w:val="0"/>
        <w:autoSpaceDN w:val="0"/>
        <w:adjustRightInd w:val="0"/>
        <w:spacing w:afterLines="50"/>
        <w:ind w:firstLineChars="0"/>
        <w:jc w:val="left"/>
        <w:rPr>
          <w:rFonts w:ascii="楷体_GB2312" w:eastAsia="楷体_GB2312" w:hAnsi="宋体"/>
          <w:b/>
        </w:rPr>
      </w:pPr>
      <w:r w:rsidRPr="00FD2E35">
        <w:rPr>
          <w:rFonts w:ascii="楷体_GB2312" w:eastAsia="楷体_GB2312" w:hAnsi="宋体" w:hint="eastAsia"/>
          <w:b/>
        </w:rPr>
        <w:t>智能电网在“十二五”期间将全面铺开</w:t>
      </w:r>
    </w:p>
    <w:p w:rsidR="00097DFD" w:rsidRDefault="00097DFD" w:rsidP="008B0962">
      <w:pPr>
        <w:pStyle w:val="ac"/>
        <w:autoSpaceDE w:val="0"/>
        <w:autoSpaceDN w:val="0"/>
        <w:adjustRightInd w:val="0"/>
        <w:spacing w:afterLines="50"/>
        <w:ind w:left="2575" w:firstLineChars="0" w:firstLine="0"/>
        <w:jc w:val="left"/>
        <w:rPr>
          <w:rFonts w:ascii="楷体_GB2312" w:eastAsia="楷体_GB2312" w:hAnsi="宋体"/>
          <w:b/>
        </w:rPr>
      </w:pP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2009年和2010年，国家电网公司在其所辖范围内在智能调度、智能变电站、智能配电、用电信息采集系统、电动汽车充电站等方面都进行了试点。2011年智能电网扩大试点，我们看到的情况是智能电网相关设备的需求量增加很快，我们预计2012年智能电网推广进度进一步加快，预计2013年及以后，智能电网投资达到高峰期。根据国家电网公司规划，“十二五”期间，电网建设投资平均每年约3000亿，其中智能电网方向投资平均每年580亿元。二次设备的投资占比由“十一五”期间的5%提高到10%，设备需求符合增长率达到20%。</w:t>
      </w: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图：2011年国网公司电网各环节智能化投资占比</w:t>
      </w:r>
    </w:p>
    <w:tbl>
      <w:tblPr>
        <w:tblW w:w="6234" w:type="dxa"/>
        <w:jc w:val="right"/>
        <w:tblLayout w:type="fixed"/>
        <w:tblCellMar>
          <w:left w:w="0" w:type="dxa"/>
          <w:right w:w="0" w:type="dxa"/>
        </w:tblCellMar>
        <w:tblLook w:val="0000"/>
      </w:tblPr>
      <w:tblGrid>
        <w:gridCol w:w="6234"/>
      </w:tblGrid>
      <w:tr w:rsidR="00117F7A" w:rsidRPr="004974AE" w:rsidTr="00B22D56">
        <w:trPr>
          <w:cantSplit/>
          <w:trHeight w:val="204"/>
          <w:jc w:val="right"/>
        </w:trPr>
        <w:tc>
          <w:tcPr>
            <w:tcW w:w="6234" w:type="dxa"/>
          </w:tcPr>
          <w:p w:rsidR="00117F7A" w:rsidRPr="004974AE" w:rsidRDefault="00117F7A" w:rsidP="00B22D56">
            <w:pPr>
              <w:pStyle w:val="TitleLargeTable"/>
              <w:spacing w:after="0"/>
            </w:pPr>
            <w:r w:rsidRPr="00FD2E35">
              <w:rPr>
                <w:rFonts w:ascii="楷体_GB2312" w:eastAsia="楷体_GB2312" w:hAnsi="宋体"/>
              </w:rPr>
              <w:t xml:space="preserve"> </w:t>
            </w:r>
          </w:p>
        </w:tc>
      </w:tr>
      <w:tr w:rsidR="00117F7A" w:rsidRPr="004974AE" w:rsidTr="00B22D56">
        <w:trPr>
          <w:cantSplit/>
          <w:trHeight w:val="204"/>
          <w:jc w:val="right"/>
        </w:trPr>
        <w:tc>
          <w:tcPr>
            <w:tcW w:w="6234" w:type="dxa"/>
            <w:tcBorders>
              <w:bottom w:val="single" w:sz="6" w:space="0" w:color="C0C0C0"/>
            </w:tcBorders>
            <w:shd w:val="pct5" w:color="auto" w:fill="FFFFFF"/>
          </w:tcPr>
          <w:p w:rsidR="00117F7A" w:rsidRPr="004974AE" w:rsidRDefault="00117F7A" w:rsidP="00B22D56">
            <w:pPr>
              <w:pStyle w:val="SubTitleLargeTable"/>
              <w:spacing w:after="0" w:line="200" w:lineRule="atLeast"/>
            </w:pPr>
            <w:r>
              <w:rPr>
                <w:rFonts w:hint="eastAsia"/>
              </w:rPr>
              <w:t>图：</w:t>
            </w:r>
            <w:r>
              <w:rPr>
                <w:rFonts w:hint="eastAsia"/>
              </w:rPr>
              <w:t>2011</w:t>
            </w:r>
            <w:r>
              <w:rPr>
                <w:rFonts w:hint="eastAsia"/>
              </w:rPr>
              <w:t>年国网公司电网各环节智能化投资占比</w:t>
            </w:r>
          </w:p>
        </w:tc>
      </w:tr>
      <w:tr w:rsidR="00117F7A" w:rsidRPr="004974AE" w:rsidTr="00B22D56">
        <w:trPr>
          <w:cantSplit/>
          <w:trHeight w:val="1946"/>
          <w:jc w:val="right"/>
        </w:trPr>
        <w:tc>
          <w:tcPr>
            <w:tcW w:w="6234" w:type="dxa"/>
            <w:tcBorders>
              <w:top w:val="single" w:sz="6" w:space="0" w:color="C0C0C0"/>
              <w:bottom w:val="single" w:sz="6" w:space="0" w:color="808080"/>
            </w:tcBorders>
          </w:tcPr>
          <w:p w:rsidR="00117F7A" w:rsidRPr="004974AE" w:rsidRDefault="00117F7A" w:rsidP="00B22D56">
            <w:pPr>
              <w:pStyle w:val="SourceLarge"/>
              <w:rPr>
                <w:lang w:val="en-US"/>
              </w:rPr>
            </w:pPr>
            <w:r w:rsidRPr="00C620C8">
              <w:rPr>
                <w:noProof/>
                <w:lang w:val="en-US"/>
              </w:rPr>
              <w:drawing>
                <wp:inline distT="0" distB="0" distL="0" distR="0">
                  <wp:extent cx="3845584" cy="2182483"/>
                  <wp:effectExtent l="19050" t="0" r="21566" b="8267"/>
                  <wp:docPr id="6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rsidR="00117F7A" w:rsidRPr="00FD2E35"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数据来源：华商基金</w:t>
      </w: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2011年智能电网投资进展顺利，尤其是在智能配电、智能用电环节投资出现较大幅度的增长，我们判断2012年智能电网投资力度将进一步加大，智能调度、智能配电、智能用电投资预计维持在较高的水平，智能变电站、新能源并网、分布式能源接入等投资预计会有较高的增长。智能电网2012年从试点期进入全面推广期，我们看好智能电网全面升级所带来的投资机会。</w:t>
      </w:r>
    </w:p>
    <w:p w:rsidR="00097DFD" w:rsidRDefault="00097DFD" w:rsidP="008B0962">
      <w:pPr>
        <w:autoSpaceDE w:val="0"/>
        <w:autoSpaceDN w:val="0"/>
        <w:adjustRightInd w:val="0"/>
        <w:spacing w:afterLines="50"/>
        <w:ind w:left="2155"/>
        <w:jc w:val="left"/>
        <w:rPr>
          <w:rFonts w:ascii="楷体_GB2312" w:eastAsia="楷体_GB2312" w:hAnsi="宋体"/>
        </w:rPr>
      </w:pPr>
    </w:p>
    <w:p w:rsidR="00097DFD" w:rsidRDefault="00117F7A" w:rsidP="008B0962">
      <w:pPr>
        <w:pStyle w:val="ac"/>
        <w:numPr>
          <w:ilvl w:val="0"/>
          <w:numId w:val="16"/>
        </w:numPr>
        <w:autoSpaceDE w:val="0"/>
        <w:autoSpaceDN w:val="0"/>
        <w:adjustRightInd w:val="0"/>
        <w:spacing w:afterLines="50"/>
        <w:ind w:firstLineChars="0"/>
        <w:jc w:val="left"/>
        <w:rPr>
          <w:rFonts w:ascii="楷体_GB2312" w:eastAsia="楷体_GB2312" w:hAnsi="宋体"/>
          <w:b/>
        </w:rPr>
      </w:pPr>
      <w:r>
        <w:rPr>
          <w:rFonts w:ascii="楷体_GB2312" w:eastAsia="楷体_GB2312" w:hAnsi="宋体" w:hint="eastAsia"/>
          <w:b/>
        </w:rPr>
        <w:t>看好电力电子在电力行业中广阔的应用前景</w:t>
      </w:r>
    </w:p>
    <w:p w:rsidR="00097DFD" w:rsidRDefault="00097DFD" w:rsidP="008B0962">
      <w:pPr>
        <w:pStyle w:val="ac"/>
        <w:autoSpaceDE w:val="0"/>
        <w:autoSpaceDN w:val="0"/>
        <w:adjustRightInd w:val="0"/>
        <w:spacing w:afterLines="50"/>
        <w:ind w:left="2575" w:firstLineChars="0" w:firstLine="0"/>
        <w:jc w:val="left"/>
        <w:rPr>
          <w:rFonts w:ascii="楷体_GB2312" w:eastAsia="楷体_GB2312" w:hAnsi="宋体"/>
          <w:b/>
        </w:rPr>
      </w:pP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在能源结构转型过程中电力电子节能有望大面积推广：电力电子使用电力电子器件对电能变换和控制，通过电力电子控制，可以实现节能目的，我国在使用电力电子节能方面与国外还有很大差距。我国能源结构转型，必然重视能源效率的提高，目前我国与发达国家总体能源利用效率差10%，在工业电耗占能源效率总量的45%，远超发达国家平均水平的23%，“十二五”末预计节能将成为国家支柱型战略新兴产业。</w:t>
      </w: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电力电子在电力行业应用前景广阔：未来电力电子无论在发电侧、在电网侧还是在用户侧都将得到更为广泛的应用。在新能源发电领域，风电变流器和光伏逆变器的需求随着新能源装机的不断增加而增加，尤其是并网问题对风电变流器和光伏逆变器提出更高要求。在电网领域，柔性输配电技术、无功补偿继续未来将得到逐渐推广。在用电端，无功补偿，电力电子</w:t>
      </w:r>
      <w:r w:rsidRPr="00FD2E35">
        <w:rPr>
          <w:rFonts w:ascii="楷体_GB2312" w:eastAsia="楷体_GB2312" w:hAnsi="宋体" w:hint="eastAsia"/>
        </w:rPr>
        <w:lastRenderedPageBreak/>
        <w:t>滤波技术将得到广泛应用。</w:t>
      </w: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我们认为在能源结构转型过程中，电力行业中，电力电子装备的应用会进一步加快，在工业行业，无论是从节能角度、还是制造业装备升级角度、还是从进口替代角度考量，国内工控企业都面临着前所未有的机会。我们看好电力电子行业的发展前景，也将致力于在这个行业掘到金子。</w:t>
      </w:r>
    </w:p>
    <w:p w:rsidR="00097DFD" w:rsidRDefault="00097DFD" w:rsidP="008B0962">
      <w:pPr>
        <w:autoSpaceDE w:val="0"/>
        <w:autoSpaceDN w:val="0"/>
        <w:adjustRightInd w:val="0"/>
        <w:spacing w:afterLines="50"/>
        <w:ind w:left="2155"/>
        <w:jc w:val="left"/>
        <w:rPr>
          <w:rFonts w:ascii="楷体_GB2312" w:eastAsia="楷体_GB2312" w:hAnsi="宋体"/>
        </w:rPr>
      </w:pPr>
    </w:p>
    <w:p w:rsidR="00097DFD" w:rsidRDefault="00117F7A" w:rsidP="008B0962">
      <w:pPr>
        <w:pStyle w:val="ac"/>
        <w:numPr>
          <w:ilvl w:val="0"/>
          <w:numId w:val="16"/>
        </w:numPr>
        <w:autoSpaceDE w:val="0"/>
        <w:autoSpaceDN w:val="0"/>
        <w:adjustRightInd w:val="0"/>
        <w:spacing w:afterLines="50"/>
        <w:ind w:firstLineChars="0"/>
        <w:jc w:val="left"/>
        <w:rPr>
          <w:rFonts w:ascii="楷体_GB2312" w:eastAsia="楷体_GB2312" w:hAnsi="宋体"/>
          <w:b/>
        </w:rPr>
      </w:pPr>
      <w:r w:rsidRPr="005B1509">
        <w:rPr>
          <w:rFonts w:ascii="楷体_GB2312" w:eastAsia="楷体_GB2312" w:hAnsi="宋体" w:hint="eastAsia"/>
          <w:b/>
        </w:rPr>
        <w:t>中国电力设备企业在海外的业务拓展</w:t>
      </w:r>
      <w:r>
        <w:rPr>
          <w:rFonts w:ascii="楷体_GB2312" w:eastAsia="楷体_GB2312" w:hAnsi="宋体" w:hint="eastAsia"/>
          <w:b/>
        </w:rPr>
        <w:t>值得关注</w:t>
      </w:r>
    </w:p>
    <w:p w:rsidR="00097DFD" w:rsidRDefault="00097DFD" w:rsidP="008B0962">
      <w:pPr>
        <w:pStyle w:val="ac"/>
        <w:autoSpaceDE w:val="0"/>
        <w:autoSpaceDN w:val="0"/>
        <w:adjustRightInd w:val="0"/>
        <w:spacing w:afterLines="50"/>
        <w:ind w:left="2575" w:firstLineChars="0" w:firstLine="0"/>
        <w:jc w:val="left"/>
        <w:rPr>
          <w:rFonts w:ascii="楷体_GB2312" w:eastAsia="楷体_GB2312" w:hAnsi="宋体"/>
          <w:b/>
        </w:rPr>
      </w:pP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从“十五”开始，我国就非常重视电力建设，电力投资一直处于高位，不管是发电端还是电网端，我们的设备制造水平都已经达到了国际领先水平。在电力设备的很多技术领域，国内的电力设备制造企业已经可以与ABB、西门子、阿海珐等国际巨头相抗衡。我们判断国际市场将是国内电力设备企业的蓝海，我们将密切关注这一动向。</w:t>
      </w:r>
    </w:p>
    <w:p w:rsidR="00097DFD" w:rsidRDefault="00117F7A" w:rsidP="008B0962">
      <w:pPr>
        <w:pStyle w:val="1"/>
        <w:numPr>
          <w:ilvl w:val="0"/>
          <w:numId w:val="4"/>
        </w:numPr>
        <w:spacing w:beforeLines="50" w:afterLines="50" w:line="480" w:lineRule="auto"/>
        <w:ind w:left="2847"/>
        <w:rPr>
          <w:rFonts w:ascii="楷体_GB2312" w:eastAsia="楷体_GB2312" w:hAnsi="宋体" w:cs="楷体_GB2312"/>
          <w:sz w:val="21"/>
          <w:szCs w:val="21"/>
        </w:rPr>
      </w:pPr>
      <w:bookmarkStart w:id="75" w:name="_Toc313737770"/>
      <w:r w:rsidRPr="00131D17">
        <w:rPr>
          <w:rFonts w:ascii="楷体_GB2312" w:eastAsia="楷体_GB2312" w:hAnsi="宋体" w:cs="楷体_GB2312" w:hint="eastAsia"/>
          <w:sz w:val="21"/>
          <w:szCs w:val="21"/>
        </w:rPr>
        <w:t>新能源行业</w:t>
      </w:r>
      <w:bookmarkEnd w:id="75"/>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在我国的中长期发展规划中，将电力发展新能源、改善能源结构纳入社会发展重点发展目标，以长远的角度考量，新能源发展前景广阔。</w:t>
      </w:r>
    </w:p>
    <w:p w:rsidR="00097DFD" w:rsidRDefault="00097DFD" w:rsidP="008B0962">
      <w:pPr>
        <w:autoSpaceDE w:val="0"/>
        <w:autoSpaceDN w:val="0"/>
        <w:adjustRightInd w:val="0"/>
        <w:spacing w:afterLines="50"/>
        <w:ind w:left="2155"/>
        <w:jc w:val="left"/>
        <w:rPr>
          <w:rFonts w:ascii="楷体_GB2312" w:eastAsia="楷体_GB2312" w:hAnsi="宋体"/>
        </w:rPr>
      </w:pPr>
    </w:p>
    <w:p w:rsidR="00097DFD" w:rsidRDefault="00117F7A" w:rsidP="008B0962">
      <w:pPr>
        <w:pStyle w:val="ac"/>
        <w:numPr>
          <w:ilvl w:val="0"/>
          <w:numId w:val="16"/>
        </w:numPr>
        <w:autoSpaceDE w:val="0"/>
        <w:autoSpaceDN w:val="0"/>
        <w:adjustRightInd w:val="0"/>
        <w:spacing w:afterLines="50"/>
        <w:ind w:firstLineChars="0"/>
        <w:jc w:val="left"/>
        <w:rPr>
          <w:rFonts w:ascii="楷体_GB2312" w:eastAsia="楷体_GB2312" w:hAnsi="宋体"/>
          <w:b/>
        </w:rPr>
      </w:pPr>
      <w:r w:rsidRPr="00131D17">
        <w:rPr>
          <w:rFonts w:ascii="楷体_GB2312" w:eastAsia="楷体_GB2312" w:hAnsi="宋体" w:hint="eastAsia"/>
          <w:b/>
        </w:rPr>
        <w:t>受困于欧洲危机和全球经济不景气</w:t>
      </w:r>
      <w:r>
        <w:rPr>
          <w:rFonts w:ascii="楷体_GB2312" w:eastAsia="楷体_GB2312" w:hAnsi="宋体" w:hint="eastAsia"/>
          <w:b/>
        </w:rPr>
        <w:t>的光伏期待烈火重生</w:t>
      </w:r>
    </w:p>
    <w:p w:rsidR="00097DFD" w:rsidRDefault="00097DFD" w:rsidP="008B0962">
      <w:pPr>
        <w:pStyle w:val="ac"/>
        <w:autoSpaceDE w:val="0"/>
        <w:autoSpaceDN w:val="0"/>
        <w:adjustRightInd w:val="0"/>
        <w:spacing w:afterLines="50"/>
        <w:ind w:left="2575" w:firstLineChars="0" w:firstLine="0"/>
        <w:jc w:val="left"/>
        <w:rPr>
          <w:rFonts w:ascii="楷体_GB2312" w:eastAsia="楷体_GB2312" w:hAnsi="宋体"/>
          <w:b/>
        </w:rPr>
      </w:pP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光伏产品企业面临越来越激烈的竞争：光伏产业的发展经历是光伏产品产能上升、价格下降、电站投资回报率提高、补贴下降、装机量提高、需求量上升的持续循环，在此循环中，光伏行业总体向上，但是下游需求会随着欧洲各国政策的变化而</w:t>
      </w:r>
      <w:r>
        <w:rPr>
          <w:rFonts w:ascii="楷体_GB2312" w:eastAsia="楷体_GB2312" w:hAnsi="宋体" w:hint="eastAsia"/>
        </w:rPr>
        <w:t>波动，同时，产能在逐渐扩张。光伏产业会经历从“供不应求”到“供过于</w:t>
      </w:r>
      <w:r w:rsidRPr="00FD2E35">
        <w:rPr>
          <w:rFonts w:ascii="楷体_GB2312" w:eastAsia="楷体_GB2312" w:hAnsi="宋体" w:hint="eastAsia"/>
        </w:rPr>
        <w:t>求”的短时转换。光伏制造产业由于技术壁垒将对较低，会面临更加激烈的竞争，在此过程中，有望出现“优胜劣汰”行业整合的局面，在这个过程中，</w:t>
      </w:r>
      <w:r>
        <w:rPr>
          <w:rFonts w:ascii="楷体_GB2312" w:eastAsia="楷体_GB2312" w:hAnsi="宋体" w:hint="eastAsia"/>
        </w:rPr>
        <w:t>真正能活下来的企业有望重新获得投资机会</w:t>
      </w:r>
      <w:r w:rsidRPr="00FD2E35">
        <w:rPr>
          <w:rFonts w:ascii="楷体_GB2312" w:eastAsia="楷体_GB2312" w:hAnsi="宋体" w:hint="eastAsia"/>
        </w:rPr>
        <w:t xml:space="preserve"> </w:t>
      </w: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光伏电站开发有望成为热点：随着光伏产业链的各种产品的价格下降，光伏电站的投资回报率开始升高，国内政策支持光伏行业发展，光伏电站建设有望迎来一轮春天，我们会积极关注这个行业所带来的投资机会。</w:t>
      </w: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纵观2012年，我们对光伏行业需求并不乐观，欧洲债务危机直接影响欧洲各国政府会光伏的补贴政策，同时债务危机导致银行信贷收紧，而影响下游光伏项目投资者的投资热情。但是，我们判断光伏行业长期向上的趋势不会改变。</w:t>
      </w:r>
    </w:p>
    <w:p w:rsidR="00097DFD" w:rsidRDefault="00097DFD" w:rsidP="008B0962">
      <w:pPr>
        <w:autoSpaceDE w:val="0"/>
        <w:autoSpaceDN w:val="0"/>
        <w:adjustRightInd w:val="0"/>
        <w:spacing w:afterLines="50"/>
        <w:ind w:left="2155"/>
        <w:jc w:val="left"/>
        <w:rPr>
          <w:rFonts w:ascii="楷体_GB2312" w:eastAsia="楷体_GB2312" w:hAnsi="宋体"/>
        </w:rPr>
      </w:pPr>
    </w:p>
    <w:p w:rsidR="00097DFD" w:rsidRDefault="00117F7A" w:rsidP="008B0962">
      <w:pPr>
        <w:pStyle w:val="ac"/>
        <w:numPr>
          <w:ilvl w:val="0"/>
          <w:numId w:val="16"/>
        </w:numPr>
        <w:autoSpaceDE w:val="0"/>
        <w:autoSpaceDN w:val="0"/>
        <w:adjustRightInd w:val="0"/>
        <w:spacing w:afterLines="50"/>
        <w:ind w:firstLineChars="0"/>
        <w:jc w:val="left"/>
        <w:rPr>
          <w:rFonts w:ascii="楷体_GB2312" w:eastAsia="楷体_GB2312" w:hAnsi="宋体"/>
          <w:b/>
        </w:rPr>
      </w:pPr>
      <w:r w:rsidRPr="00131D17">
        <w:rPr>
          <w:rFonts w:ascii="楷体_GB2312" w:eastAsia="楷体_GB2312" w:hAnsi="宋体" w:hint="eastAsia"/>
          <w:b/>
        </w:rPr>
        <w:t>水电：看好水电的长期发展</w:t>
      </w:r>
      <w:r>
        <w:rPr>
          <w:rFonts w:ascii="楷体_GB2312" w:eastAsia="楷体_GB2312" w:hAnsi="宋体" w:hint="eastAsia"/>
          <w:b/>
        </w:rPr>
        <w:t>前景</w:t>
      </w:r>
    </w:p>
    <w:p w:rsidR="00097DFD" w:rsidRDefault="00097DFD" w:rsidP="008B0962">
      <w:pPr>
        <w:autoSpaceDE w:val="0"/>
        <w:autoSpaceDN w:val="0"/>
        <w:adjustRightInd w:val="0"/>
        <w:spacing w:afterLines="50"/>
        <w:ind w:left="2155"/>
        <w:jc w:val="left"/>
        <w:rPr>
          <w:rFonts w:ascii="楷体_GB2312" w:eastAsia="楷体_GB2312" w:hAnsi="宋体"/>
        </w:rPr>
      </w:pP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“十二五”国内水电发展速度加快：“十一五”国内水电开发进度较慢，主要原因是因为政</w:t>
      </w:r>
      <w:r w:rsidRPr="00FD2E35">
        <w:rPr>
          <w:rFonts w:ascii="楷体_GB2312" w:eastAsia="楷体_GB2312" w:hAnsi="宋体" w:hint="eastAsia"/>
        </w:rPr>
        <w:lastRenderedPageBreak/>
        <w:t>府更多考虑水电开发所带来的环境问题和移民安置问题，另外一个原因也是因为政府重点放在核电上，日本核泄漏事件有望使水电建设加快，尤其是中小水电所带来的环境问题和移民安置问题比较小，更是政府支持的重点。</w:t>
      </w: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我国水电“十二五”规划初步确定了到2015 年新增6300 万千瓦的常规水电装机，新增1200 万千瓦的抽水蓄能装机。预计到2015 年，我国常规水电装机将从2010 年的2.07 亿千瓦提升到2.7 亿千瓦，新增装机7000 万KW，平均每年1400 万KW，按照1500 元/KW 的单价计算，预计每年的市场容量为210亿元。抽水蓄能装机将从1800 万千瓦提升到3000 万千瓦，新增装机1200 万KW，平均每年240 万KW，预计市场容量为36 亿元。</w:t>
      </w: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国际市场水电加速趋势：受到日本核泄漏事件的影响，水电资源丰富的国家开始积极考虑本国水电站的开发，尤其是东南亚国家的水电站建设速度加快。</w:t>
      </w: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水电站建设周期一般3-4年，因此要完成“十二五”水电装机目标，必须在前两年进行招标，我们预计2012年水电站招标进度将加快。</w:t>
      </w:r>
    </w:p>
    <w:tbl>
      <w:tblPr>
        <w:tblW w:w="7314" w:type="dxa"/>
        <w:tblInd w:w="2037" w:type="dxa"/>
        <w:tblLayout w:type="fixed"/>
        <w:tblCellMar>
          <w:left w:w="0" w:type="dxa"/>
          <w:right w:w="0" w:type="dxa"/>
        </w:tblCellMar>
        <w:tblLook w:val="0000"/>
      </w:tblPr>
      <w:tblGrid>
        <w:gridCol w:w="1334"/>
        <w:gridCol w:w="1811"/>
        <w:gridCol w:w="2510"/>
        <w:gridCol w:w="1334"/>
        <w:gridCol w:w="325"/>
      </w:tblGrid>
      <w:tr w:rsidR="00117F7A" w:rsidRPr="004974AE" w:rsidTr="00B22D56">
        <w:trPr>
          <w:cantSplit/>
          <w:trHeight w:val="189"/>
        </w:trPr>
        <w:tc>
          <w:tcPr>
            <w:tcW w:w="7314" w:type="dxa"/>
            <w:gridSpan w:val="5"/>
          </w:tcPr>
          <w:p w:rsidR="00117F7A" w:rsidRPr="006D4A5F" w:rsidRDefault="00117F7A" w:rsidP="00B22D56">
            <w:pPr>
              <w:pStyle w:val="TitleLargeTable"/>
              <w:spacing w:after="0"/>
              <w:rPr>
                <w:sz w:val="21"/>
                <w:szCs w:val="21"/>
              </w:rPr>
            </w:pPr>
            <w:r w:rsidRPr="006D4A5F">
              <w:rPr>
                <w:rFonts w:ascii="楷体_GB2312" w:eastAsia="楷体_GB2312" w:hAnsi="宋体" w:hint="eastAsia"/>
                <w:sz w:val="21"/>
                <w:szCs w:val="21"/>
              </w:rPr>
              <w:t>表：“十二五”水电规划装机</w:t>
            </w:r>
          </w:p>
        </w:tc>
      </w:tr>
      <w:tr w:rsidR="00117F7A" w:rsidRPr="004974AE" w:rsidTr="00B22D56">
        <w:trPr>
          <w:cantSplit/>
          <w:trHeight w:val="189"/>
        </w:trPr>
        <w:tc>
          <w:tcPr>
            <w:tcW w:w="7314" w:type="dxa"/>
            <w:gridSpan w:val="5"/>
            <w:tcBorders>
              <w:bottom w:val="single" w:sz="6" w:space="0" w:color="C0C0C0"/>
            </w:tcBorders>
            <w:shd w:val="pct5" w:color="auto" w:fill="FFFFFF"/>
          </w:tcPr>
          <w:p w:rsidR="00117F7A" w:rsidRPr="004974AE" w:rsidRDefault="00117F7A" w:rsidP="00B22D56">
            <w:pPr>
              <w:pStyle w:val="SubTitleLargeTable"/>
              <w:spacing w:after="0" w:line="200" w:lineRule="atLeast"/>
            </w:pPr>
            <w:r>
              <w:rPr>
                <w:rFonts w:hint="eastAsia"/>
              </w:rPr>
              <w:t>表：“十二五”水电规划装机</w:t>
            </w:r>
          </w:p>
        </w:tc>
      </w:tr>
      <w:tr w:rsidR="00117F7A" w:rsidRPr="00A20815" w:rsidTr="00B22D56">
        <w:tblPrEx>
          <w:tblBorders>
            <w:top w:val="single" w:sz="8" w:space="0" w:color="000000"/>
            <w:bottom w:val="single" w:sz="8" w:space="0" w:color="000000"/>
            <w:insideH w:val="single" w:sz="8" w:space="0" w:color="000000"/>
            <w:insideV w:val="single" w:sz="8" w:space="0" w:color="000000"/>
          </w:tblBorders>
          <w:tblLook w:val="04A0"/>
        </w:tblPrEx>
        <w:trPr>
          <w:gridAfter w:val="1"/>
          <w:wAfter w:w="325" w:type="dxa"/>
          <w:trHeight w:val="17"/>
        </w:trPr>
        <w:tc>
          <w:tcPr>
            <w:tcW w:w="1334" w:type="dxa"/>
            <w:shd w:val="clear" w:color="auto" w:fill="auto"/>
            <w:tcMar>
              <w:top w:w="72" w:type="dxa"/>
              <w:left w:w="144" w:type="dxa"/>
              <w:bottom w:w="72" w:type="dxa"/>
              <w:right w:w="144" w:type="dxa"/>
            </w:tcMar>
            <w:vAlign w:val="bottom"/>
            <w:hideMark/>
          </w:tcPr>
          <w:p w:rsidR="00117F7A" w:rsidRPr="006D4A5F" w:rsidRDefault="00117F7A" w:rsidP="00B22D56">
            <w:pPr>
              <w:widowControl/>
              <w:kinsoku w:val="0"/>
              <w:overflowPunct w:val="0"/>
              <w:jc w:val="left"/>
              <w:textAlignment w:val="bottom"/>
              <w:rPr>
                <w:rFonts w:asciiTheme="minorEastAsia" w:hAnsiTheme="minorEastAsia" w:cs="Arial"/>
                <w:kern w:val="0"/>
                <w:sz w:val="18"/>
                <w:szCs w:val="18"/>
              </w:rPr>
            </w:pPr>
            <w:r w:rsidRPr="006D4A5F">
              <w:rPr>
                <w:rFonts w:asciiTheme="minorEastAsia" w:hAnsiTheme="minorEastAsia" w:cs="Arial" w:hint="eastAsia"/>
                <w:color w:val="000000"/>
                <w:kern w:val="24"/>
                <w:sz w:val="18"/>
                <w:szCs w:val="18"/>
              </w:rPr>
              <w:t xml:space="preserve">　</w:t>
            </w:r>
            <w:r w:rsidRPr="006D4A5F">
              <w:rPr>
                <w:rFonts w:asciiTheme="minorEastAsia" w:hAnsiTheme="minorEastAsia" w:cs="Arial"/>
                <w:color w:val="000000"/>
                <w:kern w:val="24"/>
                <w:sz w:val="18"/>
                <w:szCs w:val="18"/>
              </w:rPr>
              <w:t xml:space="preserve"> </w:t>
            </w:r>
          </w:p>
        </w:tc>
        <w:tc>
          <w:tcPr>
            <w:tcW w:w="1811" w:type="dxa"/>
            <w:shd w:val="clear" w:color="auto" w:fill="auto"/>
            <w:tcMar>
              <w:top w:w="72" w:type="dxa"/>
              <w:left w:w="144" w:type="dxa"/>
              <w:bottom w:w="72" w:type="dxa"/>
              <w:right w:w="144" w:type="dxa"/>
            </w:tcMar>
            <w:vAlign w:val="bottom"/>
            <w:hideMark/>
          </w:tcPr>
          <w:p w:rsidR="00117F7A" w:rsidRPr="006D4A5F" w:rsidRDefault="00117F7A" w:rsidP="00B22D56">
            <w:pPr>
              <w:widowControl/>
              <w:kinsoku w:val="0"/>
              <w:overflowPunct w:val="0"/>
              <w:jc w:val="left"/>
              <w:textAlignment w:val="bottom"/>
              <w:rPr>
                <w:rFonts w:asciiTheme="minorEastAsia" w:hAnsiTheme="minorEastAsia" w:cs="Arial"/>
                <w:kern w:val="0"/>
                <w:sz w:val="18"/>
                <w:szCs w:val="18"/>
              </w:rPr>
            </w:pPr>
            <w:r w:rsidRPr="006D4A5F">
              <w:rPr>
                <w:rFonts w:asciiTheme="minorEastAsia" w:hAnsiTheme="minorEastAsia" w:cs="Arial" w:hint="eastAsia"/>
                <w:color w:val="000000"/>
                <w:kern w:val="24"/>
                <w:sz w:val="18"/>
                <w:szCs w:val="18"/>
              </w:rPr>
              <w:t>2010年装机</w:t>
            </w:r>
            <w:r w:rsidRPr="006D4A5F">
              <w:rPr>
                <w:rFonts w:asciiTheme="minorEastAsia" w:hAnsiTheme="minorEastAsia" w:cs="Arial"/>
                <w:color w:val="000000"/>
                <w:kern w:val="24"/>
                <w:sz w:val="18"/>
                <w:szCs w:val="18"/>
              </w:rPr>
              <w:t xml:space="preserve"> </w:t>
            </w:r>
          </w:p>
        </w:tc>
        <w:tc>
          <w:tcPr>
            <w:tcW w:w="2510" w:type="dxa"/>
            <w:shd w:val="clear" w:color="auto" w:fill="auto"/>
            <w:tcMar>
              <w:top w:w="72" w:type="dxa"/>
              <w:left w:w="144" w:type="dxa"/>
              <w:bottom w:w="72" w:type="dxa"/>
              <w:right w:w="144" w:type="dxa"/>
            </w:tcMar>
            <w:vAlign w:val="bottom"/>
            <w:hideMark/>
          </w:tcPr>
          <w:p w:rsidR="00117F7A" w:rsidRPr="006D4A5F" w:rsidRDefault="00117F7A" w:rsidP="00B22D56">
            <w:pPr>
              <w:widowControl/>
              <w:kinsoku w:val="0"/>
              <w:overflowPunct w:val="0"/>
              <w:jc w:val="left"/>
              <w:textAlignment w:val="bottom"/>
              <w:rPr>
                <w:rFonts w:asciiTheme="minorEastAsia" w:hAnsiTheme="minorEastAsia" w:cs="Arial"/>
                <w:kern w:val="0"/>
                <w:sz w:val="18"/>
                <w:szCs w:val="18"/>
              </w:rPr>
            </w:pPr>
            <w:r w:rsidRPr="006D4A5F">
              <w:rPr>
                <w:rFonts w:asciiTheme="minorEastAsia" w:hAnsiTheme="minorEastAsia" w:cs="Arial"/>
                <w:color w:val="000000"/>
                <w:kern w:val="24"/>
                <w:sz w:val="18"/>
                <w:szCs w:val="18"/>
              </w:rPr>
              <w:t>“</w:t>
            </w:r>
            <w:r w:rsidRPr="006D4A5F">
              <w:rPr>
                <w:rFonts w:asciiTheme="minorEastAsia" w:hAnsiTheme="minorEastAsia" w:cs="Arial" w:hint="eastAsia"/>
                <w:color w:val="000000"/>
                <w:kern w:val="24"/>
                <w:sz w:val="18"/>
                <w:szCs w:val="18"/>
              </w:rPr>
              <w:t>十二五</w:t>
            </w:r>
            <w:r w:rsidRPr="006D4A5F">
              <w:rPr>
                <w:rFonts w:asciiTheme="minorEastAsia" w:hAnsiTheme="minorEastAsia" w:cs="Arial"/>
                <w:color w:val="000000"/>
                <w:kern w:val="24"/>
                <w:sz w:val="18"/>
                <w:szCs w:val="18"/>
              </w:rPr>
              <w:t>”</w:t>
            </w:r>
            <w:r w:rsidRPr="006D4A5F">
              <w:rPr>
                <w:rFonts w:asciiTheme="minorEastAsia" w:hAnsiTheme="minorEastAsia" w:cs="Arial" w:hint="eastAsia"/>
                <w:color w:val="000000"/>
                <w:kern w:val="24"/>
                <w:sz w:val="18"/>
                <w:szCs w:val="18"/>
              </w:rPr>
              <w:t>新增</w:t>
            </w:r>
            <w:r w:rsidRPr="006D4A5F">
              <w:rPr>
                <w:rFonts w:asciiTheme="minorEastAsia" w:hAnsiTheme="minorEastAsia" w:cs="Arial"/>
                <w:color w:val="000000"/>
                <w:kern w:val="24"/>
                <w:sz w:val="18"/>
                <w:szCs w:val="18"/>
              </w:rPr>
              <w:t xml:space="preserve"> </w:t>
            </w:r>
          </w:p>
        </w:tc>
        <w:tc>
          <w:tcPr>
            <w:tcW w:w="1334" w:type="dxa"/>
            <w:shd w:val="clear" w:color="auto" w:fill="auto"/>
            <w:tcMar>
              <w:top w:w="72" w:type="dxa"/>
              <w:left w:w="144" w:type="dxa"/>
              <w:bottom w:w="72" w:type="dxa"/>
              <w:right w:w="144" w:type="dxa"/>
            </w:tcMar>
            <w:vAlign w:val="bottom"/>
            <w:hideMark/>
          </w:tcPr>
          <w:p w:rsidR="00117F7A" w:rsidRPr="006D4A5F" w:rsidRDefault="00117F7A" w:rsidP="00B22D56">
            <w:pPr>
              <w:widowControl/>
              <w:kinsoku w:val="0"/>
              <w:overflowPunct w:val="0"/>
              <w:jc w:val="left"/>
              <w:textAlignment w:val="bottom"/>
              <w:rPr>
                <w:rFonts w:asciiTheme="minorEastAsia" w:hAnsiTheme="minorEastAsia" w:cs="Arial"/>
                <w:kern w:val="0"/>
                <w:sz w:val="18"/>
                <w:szCs w:val="18"/>
              </w:rPr>
            </w:pPr>
            <w:r w:rsidRPr="006D4A5F">
              <w:rPr>
                <w:rFonts w:asciiTheme="minorEastAsia" w:hAnsiTheme="minorEastAsia" w:cs="Arial" w:hint="eastAsia"/>
                <w:color w:val="000000"/>
                <w:kern w:val="24"/>
                <w:sz w:val="18"/>
                <w:szCs w:val="18"/>
              </w:rPr>
              <w:t>2015年装机</w:t>
            </w:r>
            <w:r w:rsidRPr="006D4A5F">
              <w:rPr>
                <w:rFonts w:asciiTheme="minorEastAsia" w:hAnsiTheme="minorEastAsia" w:cs="Arial"/>
                <w:color w:val="000000"/>
                <w:kern w:val="24"/>
                <w:sz w:val="18"/>
                <w:szCs w:val="18"/>
              </w:rPr>
              <w:t xml:space="preserve"> </w:t>
            </w:r>
          </w:p>
        </w:tc>
      </w:tr>
      <w:tr w:rsidR="00117F7A" w:rsidRPr="00A20815" w:rsidTr="00B22D56">
        <w:tblPrEx>
          <w:tblBorders>
            <w:top w:val="single" w:sz="8" w:space="0" w:color="000000"/>
            <w:bottom w:val="single" w:sz="8" w:space="0" w:color="000000"/>
            <w:insideH w:val="single" w:sz="8" w:space="0" w:color="000000"/>
            <w:insideV w:val="single" w:sz="8" w:space="0" w:color="000000"/>
          </w:tblBorders>
          <w:tblLook w:val="04A0"/>
        </w:tblPrEx>
        <w:trPr>
          <w:gridAfter w:val="1"/>
          <w:wAfter w:w="325" w:type="dxa"/>
          <w:trHeight w:val="17"/>
        </w:trPr>
        <w:tc>
          <w:tcPr>
            <w:tcW w:w="1334" w:type="dxa"/>
            <w:shd w:val="clear" w:color="auto" w:fill="auto"/>
            <w:tcMar>
              <w:top w:w="72" w:type="dxa"/>
              <w:left w:w="144" w:type="dxa"/>
              <w:bottom w:w="72" w:type="dxa"/>
              <w:right w:w="144" w:type="dxa"/>
            </w:tcMar>
            <w:vAlign w:val="bottom"/>
            <w:hideMark/>
          </w:tcPr>
          <w:p w:rsidR="00117F7A" w:rsidRPr="006D4A5F" w:rsidRDefault="00117F7A" w:rsidP="00B22D56">
            <w:pPr>
              <w:widowControl/>
              <w:kinsoku w:val="0"/>
              <w:overflowPunct w:val="0"/>
              <w:jc w:val="left"/>
              <w:textAlignment w:val="bottom"/>
              <w:rPr>
                <w:rFonts w:asciiTheme="minorEastAsia" w:hAnsiTheme="minorEastAsia" w:cs="Arial"/>
                <w:kern w:val="0"/>
                <w:sz w:val="18"/>
                <w:szCs w:val="18"/>
              </w:rPr>
            </w:pPr>
            <w:r w:rsidRPr="006D4A5F">
              <w:rPr>
                <w:rFonts w:asciiTheme="minorEastAsia" w:hAnsiTheme="minorEastAsia" w:cs="Arial" w:hint="eastAsia"/>
                <w:color w:val="000000"/>
                <w:kern w:val="24"/>
                <w:sz w:val="18"/>
                <w:szCs w:val="18"/>
              </w:rPr>
              <w:t>常规水电</w:t>
            </w:r>
            <w:r w:rsidRPr="006D4A5F">
              <w:rPr>
                <w:rFonts w:asciiTheme="minorEastAsia" w:hAnsiTheme="minorEastAsia" w:cs="Arial"/>
                <w:color w:val="000000"/>
                <w:kern w:val="24"/>
                <w:sz w:val="18"/>
                <w:szCs w:val="18"/>
              </w:rPr>
              <w:t xml:space="preserve"> </w:t>
            </w:r>
          </w:p>
        </w:tc>
        <w:tc>
          <w:tcPr>
            <w:tcW w:w="1811" w:type="dxa"/>
            <w:shd w:val="clear" w:color="auto" w:fill="auto"/>
            <w:tcMar>
              <w:top w:w="72" w:type="dxa"/>
              <w:left w:w="144" w:type="dxa"/>
              <w:bottom w:w="72" w:type="dxa"/>
              <w:right w:w="144" w:type="dxa"/>
            </w:tcMar>
            <w:vAlign w:val="bottom"/>
            <w:hideMark/>
          </w:tcPr>
          <w:p w:rsidR="00117F7A" w:rsidRPr="006D4A5F" w:rsidRDefault="00117F7A" w:rsidP="00B22D56">
            <w:pPr>
              <w:widowControl/>
              <w:kinsoku w:val="0"/>
              <w:overflowPunct w:val="0"/>
              <w:jc w:val="left"/>
              <w:textAlignment w:val="bottom"/>
              <w:rPr>
                <w:rFonts w:asciiTheme="minorEastAsia" w:hAnsiTheme="minorEastAsia" w:cs="Arial"/>
                <w:kern w:val="0"/>
                <w:sz w:val="18"/>
                <w:szCs w:val="18"/>
              </w:rPr>
            </w:pPr>
            <w:r w:rsidRPr="006D4A5F">
              <w:rPr>
                <w:rFonts w:asciiTheme="minorEastAsia" w:hAnsiTheme="minorEastAsia" w:cs="Arial" w:hint="eastAsia"/>
                <w:color w:val="000000"/>
                <w:kern w:val="24"/>
                <w:sz w:val="18"/>
                <w:szCs w:val="18"/>
              </w:rPr>
              <w:t>2.07亿千瓦</w:t>
            </w:r>
            <w:r w:rsidRPr="006D4A5F">
              <w:rPr>
                <w:rFonts w:asciiTheme="minorEastAsia" w:hAnsiTheme="minorEastAsia" w:cs="Arial"/>
                <w:color w:val="000000"/>
                <w:kern w:val="24"/>
                <w:sz w:val="18"/>
                <w:szCs w:val="18"/>
              </w:rPr>
              <w:t xml:space="preserve"> </w:t>
            </w:r>
          </w:p>
        </w:tc>
        <w:tc>
          <w:tcPr>
            <w:tcW w:w="2510" w:type="dxa"/>
            <w:shd w:val="clear" w:color="auto" w:fill="auto"/>
            <w:tcMar>
              <w:top w:w="72" w:type="dxa"/>
              <w:left w:w="144" w:type="dxa"/>
              <w:bottom w:w="72" w:type="dxa"/>
              <w:right w:w="144" w:type="dxa"/>
            </w:tcMar>
            <w:vAlign w:val="bottom"/>
            <w:hideMark/>
          </w:tcPr>
          <w:p w:rsidR="00117F7A" w:rsidRPr="006D4A5F" w:rsidRDefault="00117F7A" w:rsidP="00B22D56">
            <w:pPr>
              <w:widowControl/>
              <w:kinsoku w:val="0"/>
              <w:overflowPunct w:val="0"/>
              <w:jc w:val="left"/>
              <w:textAlignment w:val="bottom"/>
              <w:rPr>
                <w:rFonts w:asciiTheme="minorEastAsia" w:hAnsiTheme="minorEastAsia" w:cs="Arial"/>
                <w:kern w:val="0"/>
                <w:sz w:val="18"/>
                <w:szCs w:val="18"/>
              </w:rPr>
            </w:pPr>
            <w:r w:rsidRPr="006D4A5F">
              <w:rPr>
                <w:rFonts w:asciiTheme="minorEastAsia" w:hAnsiTheme="minorEastAsia" w:cs="Arial" w:hint="eastAsia"/>
                <w:color w:val="000000"/>
                <w:kern w:val="24"/>
                <w:sz w:val="18"/>
                <w:szCs w:val="18"/>
              </w:rPr>
              <w:t>6300万千瓦</w:t>
            </w:r>
            <w:r w:rsidRPr="006D4A5F">
              <w:rPr>
                <w:rFonts w:asciiTheme="minorEastAsia" w:hAnsiTheme="minorEastAsia" w:cs="Arial"/>
                <w:color w:val="000000"/>
                <w:kern w:val="24"/>
                <w:sz w:val="18"/>
                <w:szCs w:val="18"/>
              </w:rPr>
              <w:t xml:space="preserve"> </w:t>
            </w:r>
          </w:p>
        </w:tc>
        <w:tc>
          <w:tcPr>
            <w:tcW w:w="1334" w:type="dxa"/>
            <w:shd w:val="clear" w:color="auto" w:fill="auto"/>
            <w:tcMar>
              <w:top w:w="72" w:type="dxa"/>
              <w:left w:w="144" w:type="dxa"/>
              <w:bottom w:w="72" w:type="dxa"/>
              <w:right w:w="144" w:type="dxa"/>
            </w:tcMar>
            <w:vAlign w:val="bottom"/>
            <w:hideMark/>
          </w:tcPr>
          <w:p w:rsidR="00117F7A" w:rsidRPr="006D4A5F" w:rsidRDefault="00117F7A" w:rsidP="00B22D56">
            <w:pPr>
              <w:widowControl/>
              <w:kinsoku w:val="0"/>
              <w:overflowPunct w:val="0"/>
              <w:jc w:val="left"/>
              <w:textAlignment w:val="bottom"/>
              <w:rPr>
                <w:rFonts w:asciiTheme="minorEastAsia" w:hAnsiTheme="minorEastAsia" w:cs="Arial"/>
                <w:kern w:val="0"/>
                <w:sz w:val="18"/>
                <w:szCs w:val="18"/>
              </w:rPr>
            </w:pPr>
            <w:r w:rsidRPr="006D4A5F">
              <w:rPr>
                <w:rFonts w:asciiTheme="minorEastAsia" w:hAnsiTheme="minorEastAsia" w:cs="Arial" w:hint="eastAsia"/>
                <w:color w:val="000000"/>
                <w:kern w:val="24"/>
                <w:sz w:val="18"/>
                <w:szCs w:val="18"/>
              </w:rPr>
              <w:t>2.7亿千瓦</w:t>
            </w:r>
            <w:r w:rsidRPr="006D4A5F">
              <w:rPr>
                <w:rFonts w:asciiTheme="minorEastAsia" w:hAnsiTheme="minorEastAsia" w:cs="Arial"/>
                <w:color w:val="000000"/>
                <w:kern w:val="24"/>
                <w:sz w:val="18"/>
                <w:szCs w:val="18"/>
              </w:rPr>
              <w:t xml:space="preserve"> </w:t>
            </w:r>
          </w:p>
        </w:tc>
      </w:tr>
      <w:tr w:rsidR="00117F7A" w:rsidRPr="00A20815" w:rsidTr="00B22D56">
        <w:tblPrEx>
          <w:tblBorders>
            <w:top w:val="single" w:sz="8" w:space="0" w:color="000000"/>
            <w:bottom w:val="single" w:sz="8" w:space="0" w:color="000000"/>
            <w:insideH w:val="single" w:sz="8" w:space="0" w:color="000000"/>
            <w:insideV w:val="single" w:sz="8" w:space="0" w:color="000000"/>
          </w:tblBorders>
          <w:tblLook w:val="04A0"/>
        </w:tblPrEx>
        <w:trPr>
          <w:gridAfter w:val="1"/>
          <w:wAfter w:w="325" w:type="dxa"/>
          <w:trHeight w:val="17"/>
        </w:trPr>
        <w:tc>
          <w:tcPr>
            <w:tcW w:w="1334" w:type="dxa"/>
            <w:shd w:val="clear" w:color="auto" w:fill="auto"/>
            <w:tcMar>
              <w:top w:w="72" w:type="dxa"/>
              <w:left w:w="144" w:type="dxa"/>
              <w:bottom w:w="72" w:type="dxa"/>
              <w:right w:w="144" w:type="dxa"/>
            </w:tcMar>
            <w:vAlign w:val="bottom"/>
            <w:hideMark/>
          </w:tcPr>
          <w:p w:rsidR="00117F7A" w:rsidRPr="006D4A5F" w:rsidRDefault="00117F7A" w:rsidP="00B22D56">
            <w:pPr>
              <w:widowControl/>
              <w:kinsoku w:val="0"/>
              <w:overflowPunct w:val="0"/>
              <w:jc w:val="left"/>
              <w:textAlignment w:val="bottom"/>
              <w:rPr>
                <w:rFonts w:asciiTheme="minorEastAsia" w:hAnsiTheme="minorEastAsia" w:cs="Arial"/>
                <w:kern w:val="0"/>
                <w:sz w:val="18"/>
                <w:szCs w:val="18"/>
              </w:rPr>
            </w:pPr>
            <w:r w:rsidRPr="006D4A5F">
              <w:rPr>
                <w:rFonts w:asciiTheme="minorEastAsia" w:hAnsiTheme="minorEastAsia" w:cs="Arial" w:hint="eastAsia"/>
                <w:color w:val="000000"/>
                <w:kern w:val="24"/>
                <w:sz w:val="18"/>
                <w:szCs w:val="18"/>
              </w:rPr>
              <w:t>抽水蓄能</w:t>
            </w:r>
            <w:r w:rsidRPr="006D4A5F">
              <w:rPr>
                <w:rFonts w:asciiTheme="minorEastAsia" w:hAnsiTheme="minorEastAsia" w:cs="Arial"/>
                <w:color w:val="000000"/>
                <w:kern w:val="24"/>
                <w:sz w:val="18"/>
                <w:szCs w:val="18"/>
              </w:rPr>
              <w:t xml:space="preserve"> </w:t>
            </w:r>
          </w:p>
        </w:tc>
        <w:tc>
          <w:tcPr>
            <w:tcW w:w="1811" w:type="dxa"/>
            <w:shd w:val="clear" w:color="auto" w:fill="auto"/>
            <w:tcMar>
              <w:top w:w="72" w:type="dxa"/>
              <w:left w:w="144" w:type="dxa"/>
              <w:bottom w:w="72" w:type="dxa"/>
              <w:right w:w="144" w:type="dxa"/>
            </w:tcMar>
            <w:vAlign w:val="bottom"/>
            <w:hideMark/>
          </w:tcPr>
          <w:p w:rsidR="00117F7A" w:rsidRPr="006D4A5F" w:rsidRDefault="00117F7A" w:rsidP="00B22D56">
            <w:pPr>
              <w:widowControl/>
              <w:kinsoku w:val="0"/>
              <w:overflowPunct w:val="0"/>
              <w:jc w:val="left"/>
              <w:textAlignment w:val="bottom"/>
              <w:rPr>
                <w:rFonts w:asciiTheme="minorEastAsia" w:hAnsiTheme="minorEastAsia" w:cs="Arial"/>
                <w:kern w:val="0"/>
                <w:sz w:val="18"/>
                <w:szCs w:val="18"/>
              </w:rPr>
            </w:pPr>
            <w:r w:rsidRPr="006D4A5F">
              <w:rPr>
                <w:rFonts w:asciiTheme="minorEastAsia" w:hAnsiTheme="minorEastAsia" w:cs="Arial" w:hint="eastAsia"/>
                <w:color w:val="000000"/>
                <w:kern w:val="24"/>
                <w:sz w:val="18"/>
                <w:szCs w:val="18"/>
              </w:rPr>
              <w:t>1800万千瓦</w:t>
            </w:r>
            <w:r w:rsidRPr="006D4A5F">
              <w:rPr>
                <w:rFonts w:asciiTheme="minorEastAsia" w:hAnsiTheme="minorEastAsia" w:cs="Arial"/>
                <w:color w:val="000000"/>
                <w:kern w:val="24"/>
                <w:sz w:val="18"/>
                <w:szCs w:val="18"/>
              </w:rPr>
              <w:t xml:space="preserve"> </w:t>
            </w:r>
          </w:p>
        </w:tc>
        <w:tc>
          <w:tcPr>
            <w:tcW w:w="2510" w:type="dxa"/>
            <w:shd w:val="clear" w:color="auto" w:fill="auto"/>
            <w:tcMar>
              <w:top w:w="72" w:type="dxa"/>
              <w:left w:w="144" w:type="dxa"/>
              <w:bottom w:w="72" w:type="dxa"/>
              <w:right w:w="144" w:type="dxa"/>
            </w:tcMar>
            <w:vAlign w:val="bottom"/>
            <w:hideMark/>
          </w:tcPr>
          <w:p w:rsidR="00117F7A" w:rsidRPr="006D4A5F" w:rsidRDefault="00117F7A" w:rsidP="00B22D56">
            <w:pPr>
              <w:widowControl/>
              <w:kinsoku w:val="0"/>
              <w:overflowPunct w:val="0"/>
              <w:jc w:val="left"/>
              <w:textAlignment w:val="bottom"/>
              <w:rPr>
                <w:rFonts w:asciiTheme="minorEastAsia" w:hAnsiTheme="minorEastAsia" w:cs="Arial"/>
                <w:kern w:val="0"/>
                <w:sz w:val="18"/>
                <w:szCs w:val="18"/>
              </w:rPr>
            </w:pPr>
            <w:r w:rsidRPr="006D4A5F">
              <w:rPr>
                <w:rFonts w:asciiTheme="minorEastAsia" w:hAnsiTheme="minorEastAsia" w:cs="Arial" w:hint="eastAsia"/>
                <w:color w:val="000000"/>
                <w:kern w:val="24"/>
                <w:sz w:val="18"/>
                <w:szCs w:val="18"/>
              </w:rPr>
              <w:t>1200万千瓦</w:t>
            </w:r>
            <w:r w:rsidRPr="006D4A5F">
              <w:rPr>
                <w:rFonts w:asciiTheme="minorEastAsia" w:hAnsiTheme="minorEastAsia" w:cs="Arial"/>
                <w:color w:val="000000"/>
                <w:kern w:val="24"/>
                <w:sz w:val="18"/>
                <w:szCs w:val="18"/>
              </w:rPr>
              <w:t xml:space="preserve"> </w:t>
            </w:r>
          </w:p>
        </w:tc>
        <w:tc>
          <w:tcPr>
            <w:tcW w:w="1334" w:type="dxa"/>
            <w:shd w:val="clear" w:color="auto" w:fill="auto"/>
            <w:tcMar>
              <w:top w:w="72" w:type="dxa"/>
              <w:left w:w="144" w:type="dxa"/>
              <w:bottom w:w="72" w:type="dxa"/>
              <w:right w:w="144" w:type="dxa"/>
            </w:tcMar>
            <w:vAlign w:val="bottom"/>
            <w:hideMark/>
          </w:tcPr>
          <w:p w:rsidR="00117F7A" w:rsidRPr="006D4A5F" w:rsidRDefault="00117F7A" w:rsidP="00B22D56">
            <w:pPr>
              <w:widowControl/>
              <w:kinsoku w:val="0"/>
              <w:overflowPunct w:val="0"/>
              <w:jc w:val="left"/>
              <w:textAlignment w:val="bottom"/>
              <w:rPr>
                <w:rFonts w:asciiTheme="minorEastAsia" w:hAnsiTheme="minorEastAsia" w:cs="Arial"/>
                <w:kern w:val="0"/>
                <w:sz w:val="18"/>
                <w:szCs w:val="18"/>
              </w:rPr>
            </w:pPr>
            <w:r w:rsidRPr="006D4A5F">
              <w:rPr>
                <w:rFonts w:asciiTheme="minorEastAsia" w:hAnsiTheme="minorEastAsia" w:cs="Arial" w:hint="eastAsia"/>
                <w:color w:val="000000"/>
                <w:kern w:val="24"/>
                <w:sz w:val="18"/>
                <w:szCs w:val="18"/>
              </w:rPr>
              <w:t>3000万千瓦</w:t>
            </w:r>
            <w:r w:rsidRPr="006D4A5F">
              <w:rPr>
                <w:rFonts w:asciiTheme="minorEastAsia" w:hAnsiTheme="minorEastAsia" w:cs="Arial"/>
                <w:color w:val="000000"/>
                <w:kern w:val="24"/>
                <w:sz w:val="18"/>
                <w:szCs w:val="18"/>
              </w:rPr>
              <w:t xml:space="preserve"> </w:t>
            </w:r>
          </w:p>
        </w:tc>
      </w:tr>
      <w:tr w:rsidR="00117F7A" w:rsidRPr="004974AE" w:rsidTr="00B22D56">
        <w:trPr>
          <w:cantSplit/>
          <w:trHeight w:val="57"/>
        </w:trPr>
        <w:tc>
          <w:tcPr>
            <w:tcW w:w="7314" w:type="dxa"/>
            <w:gridSpan w:val="5"/>
            <w:tcBorders>
              <w:top w:val="single" w:sz="6" w:space="0" w:color="C0C0C0"/>
              <w:bottom w:val="single" w:sz="6" w:space="0" w:color="808080"/>
            </w:tcBorders>
          </w:tcPr>
          <w:p w:rsidR="00117F7A" w:rsidRPr="004974AE" w:rsidRDefault="00117F7A" w:rsidP="00B22D56">
            <w:pPr>
              <w:pStyle w:val="SourceLarge"/>
              <w:rPr>
                <w:lang w:val="en-US"/>
              </w:rPr>
            </w:pPr>
          </w:p>
        </w:tc>
      </w:tr>
    </w:tbl>
    <w:p w:rsidR="00117F7A" w:rsidRPr="00FD2E35"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数据来源：华商基金</w:t>
      </w:r>
    </w:p>
    <w:p w:rsidR="00097DFD" w:rsidRDefault="00097DFD" w:rsidP="008B0962">
      <w:pPr>
        <w:autoSpaceDE w:val="0"/>
        <w:autoSpaceDN w:val="0"/>
        <w:adjustRightInd w:val="0"/>
        <w:spacing w:afterLines="50"/>
        <w:ind w:left="2155"/>
        <w:jc w:val="left"/>
        <w:rPr>
          <w:rFonts w:ascii="楷体_GB2312" w:eastAsia="楷体_GB2312" w:hAnsi="宋体"/>
        </w:rPr>
      </w:pPr>
    </w:p>
    <w:p w:rsidR="00097DFD" w:rsidRDefault="00117F7A" w:rsidP="008B0962">
      <w:pPr>
        <w:pStyle w:val="ac"/>
        <w:numPr>
          <w:ilvl w:val="0"/>
          <w:numId w:val="16"/>
        </w:numPr>
        <w:autoSpaceDE w:val="0"/>
        <w:autoSpaceDN w:val="0"/>
        <w:adjustRightInd w:val="0"/>
        <w:spacing w:afterLines="50"/>
        <w:ind w:firstLineChars="0"/>
        <w:jc w:val="left"/>
        <w:rPr>
          <w:rFonts w:ascii="楷体_GB2312" w:eastAsia="楷体_GB2312" w:hAnsi="宋体"/>
          <w:b/>
        </w:rPr>
      </w:pPr>
      <w:r w:rsidRPr="006D4A5F">
        <w:rPr>
          <w:rFonts w:ascii="楷体_GB2312" w:eastAsia="楷体_GB2312" w:hAnsi="宋体" w:hint="eastAsia"/>
          <w:b/>
        </w:rPr>
        <w:t>核电：短期利空，长期发展趋势不会改变</w:t>
      </w:r>
    </w:p>
    <w:p w:rsidR="00097DFD" w:rsidRDefault="00097DFD" w:rsidP="008B0962">
      <w:pPr>
        <w:autoSpaceDE w:val="0"/>
        <w:autoSpaceDN w:val="0"/>
        <w:adjustRightInd w:val="0"/>
        <w:spacing w:afterLines="50"/>
        <w:ind w:left="2155"/>
        <w:jc w:val="left"/>
        <w:rPr>
          <w:rFonts w:ascii="楷体_GB2312" w:eastAsia="楷体_GB2312" w:hAnsi="宋体"/>
        </w:rPr>
      </w:pP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2011年年初日本大地震核电站泄漏事件给予全球核电发展以沉重打击，欧洲各国对核电长期发展进行思考，有的国家甚至决定退出核电发展。国内对核电的态度是暂不批准新的核电项目，原有项目重新进行审查，重点在于对核电安全性的核查。</w:t>
      </w: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核电在我国的长期发展趋势不改变：核电是改变我们能源结构的重要一环，其他可再生能源中，水电资源的开发毕竟有限，风电和光伏是天生的不稳定电源，在能源结构调整中难以发挥主导作用，核电是最为稳定的电源，可以建在负荷中心，免除长距离输电的麻烦。当前的主要问题是最为安全的三代核电AP1000技术尚未完全成熟，因为日本核泄漏突发事件导致政府对核电安全性进行更深层次的思考。我们认为核电的长期发展无虞。</w:t>
      </w: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核电设备经历国产化的过程：未来推广核电的过程中，核电设备国产化是降低核电发电成本的重要因素，另外，核电设备国产化程度提高，国内企业对核电设备的认识程度提高，才能保证核电建设和核电运行的高安全性。在核电设备国产化的过程中，有可能会带来一定的投资机会。</w:t>
      </w: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我国在能源结构调整过程中，由于风电、水电、光伏有着各自先天的缺陷，核电是首选，因为我们判断核电在我国得到长期发展的趋势不会改变，我们判断2012年核电项目有望重新开</w:t>
      </w:r>
      <w:r w:rsidRPr="00FD2E35">
        <w:rPr>
          <w:rFonts w:ascii="楷体_GB2312" w:eastAsia="楷体_GB2312" w:hAnsi="宋体" w:hint="eastAsia"/>
        </w:rPr>
        <w:lastRenderedPageBreak/>
        <w:t>始审批，有望为核电板块带来估值修复的投资机会。</w:t>
      </w:r>
    </w:p>
    <w:p w:rsidR="00097DFD" w:rsidRDefault="00097DFD" w:rsidP="008B0962">
      <w:pPr>
        <w:autoSpaceDE w:val="0"/>
        <w:autoSpaceDN w:val="0"/>
        <w:adjustRightInd w:val="0"/>
        <w:spacing w:afterLines="50"/>
        <w:ind w:left="2155"/>
        <w:jc w:val="left"/>
        <w:rPr>
          <w:rFonts w:ascii="楷体_GB2312" w:eastAsia="楷体_GB2312" w:hAnsi="宋体"/>
        </w:rPr>
      </w:pPr>
    </w:p>
    <w:p w:rsidR="00097DFD" w:rsidRDefault="00117F7A" w:rsidP="008B0962">
      <w:pPr>
        <w:pStyle w:val="ac"/>
        <w:numPr>
          <w:ilvl w:val="0"/>
          <w:numId w:val="16"/>
        </w:numPr>
        <w:autoSpaceDE w:val="0"/>
        <w:autoSpaceDN w:val="0"/>
        <w:adjustRightInd w:val="0"/>
        <w:spacing w:afterLines="50"/>
        <w:ind w:firstLineChars="0"/>
        <w:jc w:val="left"/>
        <w:rPr>
          <w:rFonts w:ascii="楷体_GB2312" w:eastAsia="楷体_GB2312" w:hAnsi="宋体"/>
          <w:b/>
        </w:rPr>
      </w:pPr>
      <w:r w:rsidRPr="006D4A5F">
        <w:rPr>
          <w:rFonts w:ascii="楷体_GB2312" w:eastAsia="楷体_GB2312" w:hAnsi="宋体" w:hint="eastAsia"/>
          <w:b/>
        </w:rPr>
        <w:t>风电：短期内难有投资机会</w:t>
      </w:r>
    </w:p>
    <w:p w:rsidR="00097DFD" w:rsidRDefault="00097DFD" w:rsidP="008B0962">
      <w:pPr>
        <w:autoSpaceDE w:val="0"/>
        <w:autoSpaceDN w:val="0"/>
        <w:adjustRightInd w:val="0"/>
        <w:spacing w:afterLines="50"/>
        <w:ind w:left="2155"/>
        <w:jc w:val="left"/>
        <w:rPr>
          <w:rFonts w:ascii="楷体_GB2312" w:eastAsia="楷体_GB2312" w:hAnsi="宋体"/>
        </w:rPr>
      </w:pP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中国风电在“十一五”期间经历行业高增长，2010年我国风电新增装机容量1893万kW，累计装机容量4473万kW，两者均位居全球第一。根据我们的风电规划，到2015年累计装机目标1.5亿kW，平均每年2000万kW的装机。风电行业已经从成长期迈入成熟期。</w:t>
      </w: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风电并网困难成为制约风电发展的重要因素：风电行业经过高速成长期，期间是“粗放型”的建设，并未充分考虑资源的利用效率，很多地方的风电场都存在并网困难的问题，很多风电机组长期是空转，造成了资源的极大浪费。2011年国家能源局提出风电建设要“有序进行”，我们认为风电行业未来的发展将从单纯考虑装机增速转向重视资源利用效率。</w:t>
      </w: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风电设备企业格局已定，将更加重视风机质量问题：风电整机行业基本上竞争格局已定，企业发展依靠行业的发展，而预计风电行业发展放缓，导致企业发展前景堪忧。2011年风机出现多起事故，风机质量引起注意，主要原因是由于前几年风电行业增速太快，而在风机质量问题上没有充分重视。</w:t>
      </w:r>
    </w:p>
    <w:p w:rsidR="00097DFD" w:rsidRDefault="00117F7A" w:rsidP="008B0962">
      <w:pPr>
        <w:autoSpaceDE w:val="0"/>
        <w:autoSpaceDN w:val="0"/>
        <w:adjustRightInd w:val="0"/>
        <w:spacing w:afterLines="50"/>
        <w:ind w:left="2155"/>
        <w:jc w:val="left"/>
        <w:rPr>
          <w:rFonts w:ascii="楷体_GB2312" w:eastAsia="楷体_GB2312" w:hAnsi="宋体"/>
        </w:rPr>
      </w:pPr>
      <w:r w:rsidRPr="00FD2E35">
        <w:rPr>
          <w:rFonts w:ascii="楷体_GB2312" w:eastAsia="楷体_GB2312" w:hAnsi="宋体" w:hint="eastAsia"/>
        </w:rPr>
        <w:t>我们认为2012年风电行业不会有太多投资机会，风电行业发展放缓，导致风电企业收入增速下降，在行业不景气的情况下，竞争无疑将会加剧，导致风电整机毛利率受到压缩，进而传导至上游，导致整个风电产业链的毛利率被压缩。</w:t>
      </w:r>
    </w:p>
    <w:p w:rsidR="00C32B55" w:rsidRPr="00117F7A" w:rsidRDefault="00C32B55" w:rsidP="00C32B55">
      <w:pPr>
        <w:pStyle w:val="af6"/>
        <w:adjustRightInd w:val="0"/>
        <w:snapToGrid w:val="0"/>
        <w:spacing w:line="360" w:lineRule="auto"/>
        <w:ind w:leftChars="950" w:left="1995"/>
        <w:rPr>
          <w:rFonts w:ascii="楷体_GB2312" w:hAnsi="Times New Roman" w:cs="Times New Roman"/>
          <w:kern w:val="0"/>
          <w:sz w:val="21"/>
          <w:szCs w:val="21"/>
        </w:rPr>
      </w:pPr>
    </w:p>
    <w:p w:rsidR="009F1B79" w:rsidRPr="003B4E72" w:rsidRDefault="009F1B79" w:rsidP="008B0962">
      <w:pPr>
        <w:pStyle w:val="1"/>
        <w:spacing w:beforeLines="50" w:afterLines="50" w:line="480" w:lineRule="auto"/>
        <w:ind w:left="2160"/>
        <w:rPr>
          <w:rFonts w:ascii="楷体_GB2312" w:eastAsia="楷体_GB2312"/>
          <w:b w:val="0"/>
        </w:rPr>
      </w:pPr>
      <w:bookmarkStart w:id="76" w:name="_Toc313737771"/>
      <w:r>
        <w:rPr>
          <w:rFonts w:ascii="楷体_GB2312" w:eastAsia="楷体_GB2312" w:hAnsi="宋体" w:cs="楷体_GB2312" w:hint="eastAsia"/>
          <w:sz w:val="21"/>
          <w:szCs w:val="21"/>
        </w:rPr>
        <w:t>五、</w:t>
      </w:r>
      <w:r w:rsidRPr="009F1B79">
        <w:rPr>
          <w:rFonts w:ascii="楷体_GB2312" w:eastAsia="楷体_GB2312" w:hAnsi="宋体" w:cs="楷体_GB2312" w:hint="eastAsia"/>
          <w:sz w:val="21"/>
          <w:szCs w:val="21"/>
        </w:rPr>
        <w:t>债券市场</w:t>
      </w:r>
      <w:r>
        <w:rPr>
          <w:rFonts w:ascii="楷体_GB2312" w:eastAsia="楷体_GB2312" w:hAnsi="宋体" w:cs="楷体_GB2312" w:hint="eastAsia"/>
          <w:sz w:val="21"/>
          <w:szCs w:val="21"/>
        </w:rPr>
        <w:t>投资策略</w:t>
      </w:r>
      <w:bookmarkEnd w:id="76"/>
    </w:p>
    <w:p w:rsidR="009F1B79" w:rsidRPr="009F1B79" w:rsidRDefault="009F1B79" w:rsidP="009F1B79">
      <w:pPr>
        <w:spacing w:line="360" w:lineRule="auto"/>
        <w:ind w:left="2160"/>
        <w:rPr>
          <w:rFonts w:ascii="楷体_GB2312" w:eastAsia="楷体_GB2312"/>
          <w:b/>
        </w:rPr>
      </w:pPr>
      <w:r w:rsidRPr="009F1B79">
        <w:rPr>
          <w:rFonts w:ascii="楷体_GB2312" w:eastAsia="楷体_GB2312" w:hint="eastAsia"/>
          <w:b/>
        </w:rPr>
        <w:t>2012年债券市场的投资主要有两条思路：3年期中等级公司债持有价值和高等级债券的交易机会。3年期中等级债券收益率和利差均处历史高位，目前收益率7%左右，通过在交易所回购一倍操作收益率有望达到10%，由于期限短利率风险很小。高等级债券利差较高，收益率下降空间40-50bp，具有较好的交易机会。</w:t>
      </w:r>
    </w:p>
    <w:p w:rsidR="00B22D56" w:rsidRDefault="00B22D56" w:rsidP="009F1B79">
      <w:pPr>
        <w:spacing w:line="360" w:lineRule="auto"/>
        <w:ind w:left="2160"/>
        <w:rPr>
          <w:rFonts w:ascii="楷体_GB2312" w:eastAsia="楷体_GB2312"/>
          <w:b/>
        </w:rPr>
      </w:pPr>
    </w:p>
    <w:p w:rsidR="009F1B79" w:rsidRPr="00B62BDE" w:rsidRDefault="009F1B79" w:rsidP="009F1B79">
      <w:pPr>
        <w:spacing w:line="360" w:lineRule="auto"/>
        <w:ind w:left="2160"/>
        <w:rPr>
          <w:rFonts w:ascii="楷体_GB2312" w:eastAsia="楷体_GB2312"/>
          <w:b/>
        </w:rPr>
      </w:pPr>
      <w:r w:rsidRPr="00B62BDE">
        <w:rPr>
          <w:rFonts w:ascii="楷体_GB2312" w:eastAsia="楷体_GB2312" w:hint="eastAsia"/>
          <w:b/>
        </w:rPr>
        <w:t>利率产品：高等级债券更优，国债空间有限</w:t>
      </w:r>
    </w:p>
    <w:p w:rsidR="009F1B79" w:rsidRDefault="009F1B79" w:rsidP="009F1B79">
      <w:pPr>
        <w:spacing w:line="360" w:lineRule="auto"/>
        <w:ind w:left="2160"/>
        <w:rPr>
          <w:rFonts w:ascii="楷体_GB2312" w:eastAsia="楷体_GB2312"/>
        </w:rPr>
      </w:pPr>
      <w:r w:rsidRPr="0027719F">
        <w:rPr>
          <w:rFonts w:ascii="楷体_GB2312" w:eastAsia="楷体_GB2312" w:hint="eastAsia"/>
        </w:rPr>
        <w:t>随着</w:t>
      </w:r>
      <w:r w:rsidRPr="0027719F">
        <w:rPr>
          <w:rFonts w:ascii="楷体_GB2312" w:eastAsia="楷体_GB2312"/>
        </w:rPr>
        <w:t>CPI</w:t>
      </w:r>
      <w:r w:rsidRPr="0027719F">
        <w:rPr>
          <w:rFonts w:ascii="楷体_GB2312" w:eastAsia="楷体_GB2312" w:hint="eastAsia"/>
        </w:rPr>
        <w:t>的逐步回落</w:t>
      </w:r>
      <w:r w:rsidRPr="007448FA">
        <w:rPr>
          <w:rFonts w:ascii="楷体_GB2312" w:eastAsia="楷体_GB2312" w:hint="eastAsia"/>
        </w:rPr>
        <w:t>，</w:t>
      </w:r>
      <w:r w:rsidRPr="0027719F">
        <w:rPr>
          <w:rFonts w:ascii="楷体_GB2312" w:eastAsia="楷体_GB2312" w:hint="eastAsia"/>
        </w:rPr>
        <w:t>资金面的逐步宽松</w:t>
      </w:r>
      <w:r w:rsidRPr="007448FA">
        <w:rPr>
          <w:rFonts w:ascii="楷体_GB2312" w:eastAsia="楷体_GB2312" w:hint="eastAsia"/>
        </w:rPr>
        <w:t>，</w:t>
      </w:r>
      <w:r w:rsidRPr="007448FA">
        <w:rPr>
          <w:rFonts w:ascii="楷体_GB2312" w:eastAsia="楷体_GB2312"/>
        </w:rPr>
        <w:t xml:space="preserve"> </w:t>
      </w:r>
      <w:r w:rsidRPr="0027719F">
        <w:rPr>
          <w:rFonts w:ascii="楷体_GB2312" w:eastAsia="楷体_GB2312"/>
        </w:rPr>
        <w:t>SHIBOR</w:t>
      </w:r>
      <w:r w:rsidRPr="0027719F">
        <w:rPr>
          <w:rFonts w:ascii="楷体_GB2312" w:eastAsia="楷体_GB2312" w:hint="eastAsia"/>
        </w:rPr>
        <w:t>等短期资金成本会同步回落。</w:t>
      </w:r>
      <w:r w:rsidRPr="007448FA">
        <w:rPr>
          <w:rFonts w:ascii="楷体_GB2312" w:eastAsia="楷体_GB2312" w:hint="eastAsia"/>
        </w:rPr>
        <w:t>考虑总量宽松政策背景下货币利率易下难上，综合考虑</w:t>
      </w:r>
      <w:r w:rsidRPr="007448FA">
        <w:rPr>
          <w:rFonts w:ascii="楷体_GB2312" w:eastAsia="楷体_GB2312"/>
        </w:rPr>
        <w:t xml:space="preserve">R007 </w:t>
      </w:r>
      <w:r w:rsidRPr="007448FA">
        <w:rPr>
          <w:rFonts w:ascii="楷体_GB2312" w:eastAsia="楷体_GB2312" w:hint="eastAsia"/>
        </w:rPr>
        <w:t>主体波动区间将位于</w:t>
      </w:r>
      <w:r w:rsidRPr="007448FA">
        <w:rPr>
          <w:rFonts w:ascii="楷体_GB2312" w:eastAsia="楷体_GB2312"/>
        </w:rPr>
        <w:t>3.0%</w:t>
      </w:r>
      <w:r w:rsidRPr="007448FA">
        <w:rPr>
          <w:rFonts w:ascii="楷体_GB2312" w:eastAsia="楷体_GB2312" w:hint="eastAsia"/>
        </w:rPr>
        <w:t>左右，较目前下降50bp左右。</w:t>
      </w:r>
    </w:p>
    <w:p w:rsidR="00540752" w:rsidRDefault="00540752" w:rsidP="009F1B79">
      <w:pPr>
        <w:spacing w:line="360" w:lineRule="auto"/>
        <w:ind w:left="2160"/>
        <w:rPr>
          <w:rFonts w:ascii="楷体_GB2312" w:eastAsia="楷体_GB2312"/>
        </w:rPr>
      </w:pPr>
    </w:p>
    <w:p w:rsidR="009F1B79" w:rsidRDefault="009F1B79" w:rsidP="009F1B79">
      <w:pPr>
        <w:spacing w:line="360" w:lineRule="auto"/>
        <w:ind w:left="2160"/>
        <w:rPr>
          <w:rFonts w:ascii="楷体_GB2312" w:eastAsia="楷体_GB2312"/>
        </w:rPr>
      </w:pPr>
      <w:r w:rsidRPr="003651C0">
        <w:rPr>
          <w:rFonts w:ascii="楷体_GB2312" w:eastAsia="楷体_GB2312" w:hint="eastAsia"/>
        </w:rPr>
        <w:t>在经济下滑和流动性宽裕的背景下，10年期国债收益率仍处在下降的态势中。</w:t>
      </w:r>
      <w:r w:rsidRPr="007448FA">
        <w:rPr>
          <w:rFonts w:ascii="楷体_GB2312" w:eastAsia="楷体_GB2312" w:hint="eastAsia"/>
        </w:rPr>
        <w:t>从</w:t>
      </w:r>
      <w:r w:rsidRPr="007448FA">
        <w:rPr>
          <w:rFonts w:ascii="楷体_GB2312" w:eastAsia="楷体_GB2312"/>
        </w:rPr>
        <w:t>10</w:t>
      </w:r>
      <w:r w:rsidRPr="007448FA">
        <w:rPr>
          <w:rFonts w:ascii="楷体_GB2312" w:eastAsia="楷体_GB2312" w:hint="eastAsia"/>
        </w:rPr>
        <w:t>年期国</w:t>
      </w:r>
      <w:r w:rsidRPr="007448FA">
        <w:rPr>
          <w:rFonts w:ascii="楷体_GB2312" w:eastAsia="楷体_GB2312" w:hint="eastAsia"/>
        </w:rPr>
        <w:lastRenderedPageBreak/>
        <w:t>债与</w:t>
      </w:r>
      <w:r w:rsidRPr="007448FA">
        <w:rPr>
          <w:rFonts w:ascii="楷体_GB2312" w:eastAsia="楷体_GB2312"/>
        </w:rPr>
        <w:t>CPI</w:t>
      </w:r>
      <w:r w:rsidRPr="007448FA">
        <w:rPr>
          <w:rFonts w:ascii="楷体_GB2312" w:eastAsia="楷体_GB2312" w:hint="eastAsia"/>
        </w:rPr>
        <w:t>的历史关系看，如果</w:t>
      </w:r>
      <w:r w:rsidRPr="007448FA">
        <w:rPr>
          <w:rFonts w:ascii="楷体_GB2312" w:eastAsia="楷体_GB2312"/>
        </w:rPr>
        <w:t>CPI</w:t>
      </w:r>
      <w:r w:rsidRPr="007448FA">
        <w:rPr>
          <w:rFonts w:ascii="楷体_GB2312" w:eastAsia="楷体_GB2312" w:hint="eastAsia"/>
        </w:rPr>
        <w:t>未来回落，</w:t>
      </w:r>
      <w:r w:rsidRPr="007448FA">
        <w:rPr>
          <w:rFonts w:ascii="楷体_GB2312" w:eastAsia="楷体_GB2312"/>
        </w:rPr>
        <w:t>10</w:t>
      </w:r>
      <w:r w:rsidRPr="007448FA">
        <w:rPr>
          <w:rFonts w:ascii="楷体_GB2312" w:eastAsia="楷体_GB2312" w:hint="eastAsia"/>
        </w:rPr>
        <w:t>年国债收益率也相应下行。至</w:t>
      </w:r>
      <w:r w:rsidRPr="007448FA">
        <w:rPr>
          <w:rFonts w:ascii="楷体_GB2312" w:eastAsia="楷体_GB2312"/>
        </w:rPr>
        <w:t>2012</w:t>
      </w:r>
      <w:r w:rsidRPr="007448FA">
        <w:rPr>
          <w:rFonts w:ascii="楷体_GB2312" w:eastAsia="楷体_GB2312" w:hint="eastAsia"/>
        </w:rPr>
        <w:t>年年中，</w:t>
      </w:r>
      <w:r w:rsidRPr="007448FA">
        <w:rPr>
          <w:rFonts w:ascii="楷体_GB2312" w:eastAsia="楷体_GB2312"/>
        </w:rPr>
        <w:t>CPI</w:t>
      </w:r>
      <w:r w:rsidRPr="007448FA">
        <w:rPr>
          <w:rFonts w:ascii="楷体_GB2312" w:eastAsia="楷体_GB2312" w:hint="eastAsia"/>
        </w:rPr>
        <w:t>总体上处于下降态势，</w:t>
      </w:r>
      <w:r w:rsidRPr="007448FA">
        <w:rPr>
          <w:rFonts w:ascii="楷体_GB2312" w:eastAsia="楷体_GB2312"/>
        </w:rPr>
        <w:t>10</w:t>
      </w:r>
      <w:r w:rsidRPr="007448FA">
        <w:rPr>
          <w:rFonts w:ascii="楷体_GB2312" w:eastAsia="楷体_GB2312" w:hint="eastAsia"/>
        </w:rPr>
        <w:t>年国债收益率</w:t>
      </w:r>
      <w:r>
        <w:rPr>
          <w:rFonts w:ascii="楷体_GB2312" w:eastAsia="楷体_GB2312" w:hint="eastAsia"/>
        </w:rPr>
        <w:t>也将继续下行。收益率下降幅度有限，考虑到二季度经济增速将企稳，CPI也将见底回升，市场对此会提前反应，利率产品收益率下降空间有限，10年期国债收益率低点可能至3.2%，下行空间20bp。</w:t>
      </w:r>
    </w:p>
    <w:p w:rsidR="009F1B79" w:rsidRPr="0027719F" w:rsidRDefault="009F1B79" w:rsidP="009F1B79">
      <w:pPr>
        <w:spacing w:line="360" w:lineRule="auto"/>
        <w:ind w:left="2160"/>
      </w:pPr>
      <w:r>
        <w:rPr>
          <w:rFonts w:ascii="楷体_GB2312" w:eastAsia="楷体_GB2312" w:hint="eastAsia"/>
        </w:rPr>
        <w:t>高等级债券利差较高，下降空间40-50bp。历史上超AAA和普通AAA与金融债的平均利差分别为85和100bp，目前其利差处于历史高位，分别为110和137bp。收益率下降空间40-50bp。</w:t>
      </w:r>
    </w:p>
    <w:tbl>
      <w:tblPr>
        <w:tblW w:w="7066" w:type="dxa"/>
        <w:jc w:val="right"/>
        <w:tblLayout w:type="fixed"/>
        <w:tblCellMar>
          <w:left w:w="0" w:type="dxa"/>
          <w:right w:w="0" w:type="dxa"/>
        </w:tblCellMar>
        <w:tblLook w:val="0000"/>
      </w:tblPr>
      <w:tblGrid>
        <w:gridCol w:w="7066"/>
      </w:tblGrid>
      <w:tr w:rsidR="009F1B79" w:rsidRPr="00C77711" w:rsidTr="00B22D56">
        <w:trPr>
          <w:cantSplit/>
          <w:trHeight w:val="199"/>
          <w:jc w:val="right"/>
        </w:trPr>
        <w:tc>
          <w:tcPr>
            <w:tcW w:w="7066" w:type="dxa"/>
            <w:tcBorders>
              <w:bottom w:val="single" w:sz="6" w:space="0" w:color="C0C0C0"/>
            </w:tcBorders>
            <w:shd w:val="pct5" w:color="auto" w:fill="FFFFFF"/>
          </w:tcPr>
          <w:p w:rsidR="009F1B79" w:rsidRPr="00C77711" w:rsidRDefault="009F1B79" w:rsidP="00B22D56">
            <w:pPr>
              <w:pStyle w:val="SubTitleLargeTable"/>
              <w:spacing w:after="0" w:line="200" w:lineRule="atLeast"/>
              <w:rPr>
                <w:rFonts w:cs="Times New Roman"/>
              </w:rPr>
            </w:pPr>
            <w:r>
              <w:rPr>
                <w:rFonts w:cs="宋体" w:hint="eastAsia"/>
              </w:rPr>
              <w:t>10</w:t>
            </w:r>
            <w:r>
              <w:rPr>
                <w:rFonts w:cs="宋体" w:hint="eastAsia"/>
              </w:rPr>
              <w:t>年期国债和</w:t>
            </w:r>
            <w:r>
              <w:rPr>
                <w:rFonts w:cs="宋体" w:hint="eastAsia"/>
              </w:rPr>
              <w:t>10</w:t>
            </w:r>
            <w:r>
              <w:rPr>
                <w:rFonts w:cs="宋体" w:hint="eastAsia"/>
              </w:rPr>
              <w:t>年期金融债到期收益率</w:t>
            </w:r>
          </w:p>
        </w:tc>
      </w:tr>
      <w:tr w:rsidR="009F1B79" w:rsidRPr="00255057" w:rsidTr="00B22D56">
        <w:trPr>
          <w:cantSplit/>
          <w:trHeight w:val="3964"/>
          <w:jc w:val="right"/>
        </w:trPr>
        <w:tc>
          <w:tcPr>
            <w:tcW w:w="7066" w:type="dxa"/>
            <w:tcBorders>
              <w:top w:val="single" w:sz="6" w:space="0" w:color="C0C0C0"/>
              <w:bottom w:val="single" w:sz="6" w:space="0" w:color="808080"/>
            </w:tcBorders>
          </w:tcPr>
          <w:p w:rsidR="009F1B79" w:rsidRPr="00255057" w:rsidRDefault="009F1B79" w:rsidP="00B22D56">
            <w:pPr>
              <w:pStyle w:val="SourceLarge"/>
              <w:jc w:val="center"/>
              <w:rPr>
                <w:rFonts w:cs="Times New Roman"/>
                <w:lang w:val="en-US"/>
              </w:rPr>
            </w:pPr>
            <w:r>
              <w:rPr>
                <w:rFonts w:cs="Times New Roman"/>
                <w:noProof/>
                <w:lang w:val="en-US"/>
              </w:rPr>
              <w:drawing>
                <wp:inline distT="0" distB="0" distL="0" distR="0">
                  <wp:extent cx="4327749" cy="2600325"/>
                  <wp:effectExtent l="19050" t="0" r="0" b="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cstate="print"/>
                          <a:srcRect/>
                          <a:stretch>
                            <a:fillRect/>
                          </a:stretch>
                        </pic:blipFill>
                        <pic:spPr bwMode="auto">
                          <a:xfrm>
                            <a:off x="0" y="0"/>
                            <a:ext cx="4327749" cy="2600325"/>
                          </a:xfrm>
                          <a:prstGeom prst="rect">
                            <a:avLst/>
                          </a:prstGeom>
                          <a:noFill/>
                          <a:ln w="9525">
                            <a:noFill/>
                            <a:miter lim="800000"/>
                            <a:headEnd/>
                            <a:tailEnd/>
                          </a:ln>
                        </pic:spPr>
                      </pic:pic>
                    </a:graphicData>
                  </a:graphic>
                </wp:inline>
              </w:drawing>
            </w:r>
          </w:p>
        </w:tc>
      </w:tr>
    </w:tbl>
    <w:p w:rsidR="009F1B79" w:rsidRDefault="009F1B79" w:rsidP="009F1B79">
      <w:pPr>
        <w:pStyle w:val="a5"/>
        <w:ind w:left="2160"/>
      </w:pPr>
    </w:p>
    <w:tbl>
      <w:tblPr>
        <w:tblW w:w="7195" w:type="dxa"/>
        <w:jc w:val="right"/>
        <w:tblInd w:w="-129" w:type="dxa"/>
        <w:tblLayout w:type="fixed"/>
        <w:tblCellMar>
          <w:left w:w="0" w:type="dxa"/>
          <w:right w:w="0" w:type="dxa"/>
        </w:tblCellMar>
        <w:tblLook w:val="0000"/>
      </w:tblPr>
      <w:tblGrid>
        <w:gridCol w:w="7195"/>
      </w:tblGrid>
      <w:tr w:rsidR="009F1B79" w:rsidRPr="00C77711" w:rsidTr="00B22D56">
        <w:trPr>
          <w:cantSplit/>
          <w:trHeight w:val="199"/>
          <w:jc w:val="right"/>
        </w:trPr>
        <w:tc>
          <w:tcPr>
            <w:tcW w:w="7195" w:type="dxa"/>
            <w:tcBorders>
              <w:bottom w:val="single" w:sz="6" w:space="0" w:color="C0C0C0"/>
            </w:tcBorders>
            <w:shd w:val="pct5" w:color="auto" w:fill="FFFFFF"/>
          </w:tcPr>
          <w:p w:rsidR="009F1B79" w:rsidRPr="00C77711" w:rsidRDefault="009F1B79" w:rsidP="00B22D56">
            <w:pPr>
              <w:pStyle w:val="SubTitleLargeTable"/>
              <w:spacing w:after="0" w:line="200" w:lineRule="atLeast"/>
              <w:rPr>
                <w:rFonts w:cs="Times New Roman"/>
              </w:rPr>
            </w:pPr>
            <w:r>
              <w:rPr>
                <w:rFonts w:cs="宋体" w:hint="eastAsia"/>
              </w:rPr>
              <w:t>5</w:t>
            </w:r>
            <w:r>
              <w:rPr>
                <w:rFonts w:cs="宋体" w:hint="eastAsia"/>
              </w:rPr>
              <w:t>年期超</w:t>
            </w:r>
            <w:r>
              <w:rPr>
                <w:rFonts w:cs="宋体" w:hint="eastAsia"/>
              </w:rPr>
              <w:t>AAA</w:t>
            </w:r>
            <w:r>
              <w:rPr>
                <w:rFonts w:cs="宋体" w:hint="eastAsia"/>
              </w:rPr>
              <w:t>和普通</w:t>
            </w:r>
            <w:r>
              <w:rPr>
                <w:rFonts w:cs="宋体" w:hint="eastAsia"/>
              </w:rPr>
              <w:t>AAA</w:t>
            </w:r>
            <w:r>
              <w:rPr>
                <w:rFonts w:cs="宋体" w:hint="eastAsia"/>
              </w:rPr>
              <w:t>中票与金融债利差（</w:t>
            </w:r>
            <w:r>
              <w:rPr>
                <w:rFonts w:cs="宋体" w:hint="eastAsia"/>
              </w:rPr>
              <w:t>bp</w:t>
            </w:r>
            <w:r>
              <w:rPr>
                <w:rFonts w:cs="宋体" w:hint="eastAsia"/>
              </w:rPr>
              <w:t>）</w:t>
            </w:r>
          </w:p>
        </w:tc>
      </w:tr>
      <w:tr w:rsidR="009F1B79" w:rsidRPr="00255057" w:rsidTr="00B22D56">
        <w:trPr>
          <w:cantSplit/>
          <w:trHeight w:val="3964"/>
          <w:jc w:val="right"/>
        </w:trPr>
        <w:tc>
          <w:tcPr>
            <w:tcW w:w="7195" w:type="dxa"/>
            <w:tcBorders>
              <w:top w:val="single" w:sz="6" w:space="0" w:color="C0C0C0"/>
              <w:bottom w:val="single" w:sz="6" w:space="0" w:color="808080"/>
            </w:tcBorders>
          </w:tcPr>
          <w:p w:rsidR="009F1B79" w:rsidRPr="00255057" w:rsidRDefault="009F1B79" w:rsidP="00B22D56">
            <w:pPr>
              <w:pStyle w:val="SourceLarge"/>
              <w:jc w:val="center"/>
              <w:rPr>
                <w:rFonts w:cs="Times New Roman"/>
                <w:lang w:val="en-US"/>
              </w:rPr>
            </w:pPr>
            <w:r>
              <w:rPr>
                <w:rFonts w:cs="Times New Roman"/>
                <w:noProof/>
                <w:lang w:val="en-US"/>
              </w:rPr>
              <w:drawing>
                <wp:inline distT="0" distB="0" distL="0" distR="0">
                  <wp:extent cx="4486275" cy="2695575"/>
                  <wp:effectExtent l="19050" t="0" r="9525" b="0"/>
                  <wp:docPr id="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srcRect/>
                          <a:stretch>
                            <a:fillRect/>
                          </a:stretch>
                        </pic:blipFill>
                        <pic:spPr bwMode="auto">
                          <a:xfrm>
                            <a:off x="0" y="0"/>
                            <a:ext cx="4486275" cy="2695575"/>
                          </a:xfrm>
                          <a:prstGeom prst="rect">
                            <a:avLst/>
                          </a:prstGeom>
                          <a:noFill/>
                          <a:ln w="9525">
                            <a:noFill/>
                            <a:miter lim="800000"/>
                            <a:headEnd/>
                            <a:tailEnd/>
                          </a:ln>
                        </pic:spPr>
                      </pic:pic>
                    </a:graphicData>
                  </a:graphic>
                </wp:inline>
              </w:drawing>
            </w:r>
          </w:p>
        </w:tc>
      </w:tr>
    </w:tbl>
    <w:p w:rsidR="009F1B79" w:rsidRDefault="009F1B79" w:rsidP="009F1B79">
      <w:pPr>
        <w:pStyle w:val="a5"/>
        <w:ind w:left="2160"/>
      </w:pPr>
    </w:p>
    <w:p w:rsidR="009F1B79" w:rsidRPr="00396AD5" w:rsidRDefault="009F1B79" w:rsidP="009F1B79">
      <w:pPr>
        <w:pStyle w:val="a5"/>
        <w:ind w:left="2160"/>
        <w:rPr>
          <w:rFonts w:ascii="楷体_GB2312" w:eastAsia="楷体_GB2312"/>
          <w:b/>
        </w:rPr>
      </w:pPr>
      <w:r w:rsidRPr="00396AD5">
        <w:rPr>
          <w:rFonts w:ascii="楷体_GB2312" w:eastAsia="楷体_GB2312" w:hint="eastAsia"/>
          <w:b/>
        </w:rPr>
        <w:t>信用产品：收益率和利差均处高位，推荐3年期品种</w:t>
      </w:r>
    </w:p>
    <w:p w:rsidR="009F1B79" w:rsidRPr="00396AD5" w:rsidRDefault="009F1B79" w:rsidP="009F1B79">
      <w:pPr>
        <w:spacing w:line="360" w:lineRule="auto"/>
        <w:ind w:left="2160"/>
        <w:rPr>
          <w:rFonts w:ascii="楷体_GB2312" w:eastAsia="楷体_GB2312"/>
        </w:rPr>
      </w:pPr>
      <w:r w:rsidRPr="00396AD5">
        <w:rPr>
          <w:rFonts w:ascii="楷体_GB2312" w:eastAsia="楷体_GB2312" w:hint="eastAsia"/>
        </w:rPr>
        <w:lastRenderedPageBreak/>
        <w:t>收益率和利差均处在历史高位。去年下半年利率产品和高等级债券收益率大幅下降，出于对信用风险的担忧，中低等级债券收益率并没有下降，导致其利差创出历史新高。目前3年期AA级中票收益率在6.5%</w:t>
      </w:r>
      <w:r>
        <w:rPr>
          <w:rFonts w:ascii="楷体_GB2312" w:eastAsia="楷体_GB2312" w:hint="eastAsia"/>
        </w:rPr>
        <w:t>-7.5%之间</w:t>
      </w:r>
      <w:r w:rsidRPr="00396AD5">
        <w:rPr>
          <w:rFonts w:ascii="楷体_GB2312" w:eastAsia="楷体_GB2312" w:hint="eastAsia"/>
        </w:rPr>
        <w:t>，城投债收益率在7%- 8%，利差在300bp，较历史均值高120bp，持有价值高。</w:t>
      </w:r>
    </w:p>
    <w:p w:rsidR="00EB0A35" w:rsidRDefault="00EB0A35" w:rsidP="009F1B79">
      <w:pPr>
        <w:spacing w:line="360" w:lineRule="auto"/>
        <w:ind w:left="2160"/>
        <w:rPr>
          <w:rFonts w:ascii="楷体_GB2312" w:eastAsia="楷体_GB2312"/>
        </w:rPr>
      </w:pPr>
    </w:p>
    <w:p w:rsidR="009F1B79" w:rsidRPr="00396AD5" w:rsidRDefault="009F1B79" w:rsidP="009F1B79">
      <w:pPr>
        <w:spacing w:line="360" w:lineRule="auto"/>
        <w:ind w:left="2160"/>
        <w:rPr>
          <w:rFonts w:ascii="楷体_GB2312" w:eastAsia="楷体_GB2312"/>
        </w:rPr>
      </w:pPr>
      <w:r>
        <w:rPr>
          <w:rFonts w:ascii="楷体_GB2312" w:eastAsia="楷体_GB2312" w:hint="eastAsia"/>
        </w:rPr>
        <w:t>综合持有期收益和风险，</w:t>
      </w:r>
      <w:r w:rsidRPr="00396AD5">
        <w:rPr>
          <w:rFonts w:ascii="楷体_GB2312" w:eastAsia="楷体_GB2312" w:hint="eastAsia"/>
        </w:rPr>
        <w:t>推荐3年左右资质较好的公司债。目前信用债期限利差很小，3年期和5年期信用债利差在10bp以内。持有期收益相当的情况下，3年期债券的利率风险更小，因此推荐3年期公司债。同时现在公司债审批速度较快，发行量较大，具有足够的投资标的可供选择。</w:t>
      </w:r>
    </w:p>
    <w:tbl>
      <w:tblPr>
        <w:tblW w:w="7195" w:type="dxa"/>
        <w:jc w:val="right"/>
        <w:tblInd w:w="-129" w:type="dxa"/>
        <w:tblLayout w:type="fixed"/>
        <w:tblCellMar>
          <w:left w:w="0" w:type="dxa"/>
          <w:right w:w="0" w:type="dxa"/>
        </w:tblCellMar>
        <w:tblLook w:val="0000"/>
      </w:tblPr>
      <w:tblGrid>
        <w:gridCol w:w="7195"/>
      </w:tblGrid>
      <w:tr w:rsidR="009F1B79" w:rsidRPr="00C77711" w:rsidTr="00B22D56">
        <w:trPr>
          <w:cantSplit/>
          <w:trHeight w:val="199"/>
          <w:jc w:val="right"/>
        </w:trPr>
        <w:tc>
          <w:tcPr>
            <w:tcW w:w="7195" w:type="dxa"/>
            <w:tcBorders>
              <w:bottom w:val="single" w:sz="6" w:space="0" w:color="C0C0C0"/>
            </w:tcBorders>
            <w:shd w:val="pct5" w:color="auto" w:fill="FFFFFF"/>
          </w:tcPr>
          <w:p w:rsidR="009F1B79" w:rsidRPr="00C77711" w:rsidRDefault="009F1B79" w:rsidP="00B22D56">
            <w:pPr>
              <w:pStyle w:val="SubTitleLargeTable"/>
              <w:spacing w:after="0" w:line="200" w:lineRule="atLeast"/>
              <w:rPr>
                <w:rFonts w:cs="Times New Roman"/>
              </w:rPr>
            </w:pPr>
            <w:r>
              <w:rPr>
                <w:rFonts w:cs="宋体" w:hint="eastAsia"/>
              </w:rPr>
              <w:t>3</w:t>
            </w:r>
            <w:r>
              <w:rPr>
                <w:rFonts w:cs="宋体" w:hint="eastAsia"/>
              </w:rPr>
              <w:t>年期和</w:t>
            </w:r>
            <w:r>
              <w:rPr>
                <w:rFonts w:cs="宋体" w:hint="eastAsia"/>
              </w:rPr>
              <w:t>5</w:t>
            </w:r>
            <w:r>
              <w:rPr>
                <w:rFonts w:cs="宋体" w:hint="eastAsia"/>
              </w:rPr>
              <w:t>年期</w:t>
            </w:r>
            <w:r>
              <w:rPr>
                <w:rFonts w:cs="宋体" w:hint="eastAsia"/>
              </w:rPr>
              <w:t>AA</w:t>
            </w:r>
            <w:r>
              <w:rPr>
                <w:rFonts w:cs="宋体" w:hint="eastAsia"/>
              </w:rPr>
              <w:t>中票收益率（</w:t>
            </w:r>
            <w:r>
              <w:rPr>
                <w:rFonts w:cs="宋体" w:hint="eastAsia"/>
              </w:rPr>
              <w:t>%</w:t>
            </w:r>
            <w:r>
              <w:rPr>
                <w:rFonts w:cs="宋体" w:hint="eastAsia"/>
              </w:rPr>
              <w:t>）</w:t>
            </w:r>
          </w:p>
        </w:tc>
      </w:tr>
      <w:tr w:rsidR="009F1B79" w:rsidRPr="00255057" w:rsidTr="00B22D56">
        <w:trPr>
          <w:cantSplit/>
          <w:trHeight w:val="3964"/>
          <w:jc w:val="right"/>
        </w:trPr>
        <w:tc>
          <w:tcPr>
            <w:tcW w:w="7195" w:type="dxa"/>
            <w:tcBorders>
              <w:top w:val="single" w:sz="6" w:space="0" w:color="C0C0C0"/>
              <w:bottom w:val="single" w:sz="6" w:space="0" w:color="808080"/>
            </w:tcBorders>
          </w:tcPr>
          <w:p w:rsidR="009F1B79" w:rsidRPr="009B69B4" w:rsidRDefault="009F1B79" w:rsidP="00B22D56">
            <w:pPr>
              <w:pStyle w:val="SourceLarge"/>
              <w:jc w:val="center"/>
              <w:rPr>
                <w:rFonts w:cs="Times New Roman"/>
                <w:lang w:val="en-US"/>
              </w:rPr>
            </w:pPr>
            <w:r>
              <w:rPr>
                <w:rFonts w:hint="eastAsia"/>
                <w:noProof/>
                <w:lang w:val="en-US"/>
              </w:rPr>
              <w:drawing>
                <wp:inline distT="0" distB="0" distL="0" distR="0">
                  <wp:extent cx="4581525" cy="2752725"/>
                  <wp:effectExtent l="19050" t="0" r="9525" b="0"/>
                  <wp:docPr id="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tc>
      </w:tr>
    </w:tbl>
    <w:p w:rsidR="009F1B79" w:rsidRDefault="009F1B79" w:rsidP="009F1B79">
      <w:pPr>
        <w:pStyle w:val="a5"/>
        <w:ind w:left="2160"/>
      </w:pPr>
    </w:p>
    <w:tbl>
      <w:tblPr>
        <w:tblW w:w="7195" w:type="dxa"/>
        <w:jc w:val="right"/>
        <w:tblInd w:w="-129" w:type="dxa"/>
        <w:tblLayout w:type="fixed"/>
        <w:tblCellMar>
          <w:left w:w="0" w:type="dxa"/>
          <w:right w:w="0" w:type="dxa"/>
        </w:tblCellMar>
        <w:tblLook w:val="0000"/>
      </w:tblPr>
      <w:tblGrid>
        <w:gridCol w:w="7195"/>
      </w:tblGrid>
      <w:tr w:rsidR="009F1B79" w:rsidRPr="00C77711" w:rsidTr="00B22D56">
        <w:trPr>
          <w:cantSplit/>
          <w:trHeight w:val="199"/>
          <w:jc w:val="right"/>
        </w:trPr>
        <w:tc>
          <w:tcPr>
            <w:tcW w:w="7195" w:type="dxa"/>
            <w:tcBorders>
              <w:bottom w:val="single" w:sz="6" w:space="0" w:color="C0C0C0"/>
            </w:tcBorders>
            <w:shd w:val="pct5" w:color="auto" w:fill="FFFFFF"/>
          </w:tcPr>
          <w:p w:rsidR="009F1B79" w:rsidRPr="00C77711" w:rsidRDefault="009F1B79" w:rsidP="00B22D56">
            <w:pPr>
              <w:pStyle w:val="SubTitleLargeTable"/>
              <w:spacing w:after="0" w:line="200" w:lineRule="atLeast"/>
              <w:rPr>
                <w:rFonts w:cs="Times New Roman"/>
              </w:rPr>
            </w:pPr>
            <w:r>
              <w:rPr>
                <w:rFonts w:cs="宋体" w:hint="eastAsia"/>
              </w:rPr>
              <w:lastRenderedPageBreak/>
              <w:t>3</w:t>
            </w:r>
            <w:r>
              <w:rPr>
                <w:rFonts w:cs="宋体" w:hint="eastAsia"/>
              </w:rPr>
              <w:t>年期、</w:t>
            </w:r>
            <w:r>
              <w:rPr>
                <w:rFonts w:cs="宋体" w:hint="eastAsia"/>
              </w:rPr>
              <w:t>5</w:t>
            </w:r>
            <w:r>
              <w:rPr>
                <w:rFonts w:cs="宋体" w:hint="eastAsia"/>
              </w:rPr>
              <w:t>年期</w:t>
            </w:r>
            <w:r>
              <w:rPr>
                <w:rFonts w:cs="宋体" w:hint="eastAsia"/>
              </w:rPr>
              <w:t>AA</w:t>
            </w:r>
            <w:r>
              <w:rPr>
                <w:rFonts w:cs="宋体" w:hint="eastAsia"/>
              </w:rPr>
              <w:t>中票利差（</w:t>
            </w:r>
            <w:r>
              <w:rPr>
                <w:rFonts w:cs="宋体" w:hint="eastAsia"/>
              </w:rPr>
              <w:t>bp</w:t>
            </w:r>
            <w:r>
              <w:rPr>
                <w:rFonts w:cs="宋体" w:hint="eastAsia"/>
              </w:rPr>
              <w:t>）</w:t>
            </w:r>
          </w:p>
        </w:tc>
      </w:tr>
      <w:tr w:rsidR="009F1B79" w:rsidRPr="009B69B4" w:rsidTr="00B22D56">
        <w:trPr>
          <w:cantSplit/>
          <w:trHeight w:val="3964"/>
          <w:jc w:val="right"/>
        </w:trPr>
        <w:tc>
          <w:tcPr>
            <w:tcW w:w="7195" w:type="dxa"/>
            <w:tcBorders>
              <w:top w:val="single" w:sz="6" w:space="0" w:color="C0C0C0"/>
              <w:bottom w:val="single" w:sz="6" w:space="0" w:color="808080"/>
            </w:tcBorders>
          </w:tcPr>
          <w:p w:rsidR="009F1B79" w:rsidRPr="009B69B4" w:rsidRDefault="009F1B79" w:rsidP="00B22D56">
            <w:pPr>
              <w:pStyle w:val="SourceLarge"/>
              <w:jc w:val="center"/>
              <w:rPr>
                <w:rFonts w:cs="Times New Roman"/>
                <w:lang w:val="en-US"/>
              </w:rPr>
            </w:pPr>
            <w:r>
              <w:rPr>
                <w:rFonts w:cs="Times New Roman"/>
                <w:noProof/>
                <w:lang w:val="en-US"/>
              </w:rPr>
              <w:drawing>
                <wp:inline distT="0" distB="0" distL="0" distR="0">
                  <wp:extent cx="4581525" cy="2752725"/>
                  <wp:effectExtent l="19050" t="0" r="9525" b="0"/>
                  <wp:docPr id="6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tc>
      </w:tr>
    </w:tbl>
    <w:p w:rsidR="00C32B55" w:rsidRPr="00C32B55" w:rsidRDefault="00C32B55" w:rsidP="00C32B55">
      <w:pPr>
        <w:pStyle w:val="af6"/>
        <w:adjustRightInd w:val="0"/>
        <w:snapToGrid w:val="0"/>
        <w:spacing w:line="360" w:lineRule="auto"/>
        <w:ind w:leftChars="950" w:left="1995"/>
        <w:rPr>
          <w:rFonts w:ascii="楷体_GB2312" w:hAnsi="Times New Roman" w:cs="Times New Roman"/>
          <w:kern w:val="0"/>
          <w:sz w:val="21"/>
          <w:szCs w:val="21"/>
        </w:rPr>
      </w:pPr>
    </w:p>
    <w:p w:rsidR="00C205F5" w:rsidRPr="00C32B55" w:rsidRDefault="00C205F5" w:rsidP="00C205F5">
      <w:pPr>
        <w:autoSpaceDE w:val="0"/>
        <w:autoSpaceDN w:val="0"/>
        <w:adjustRightInd w:val="0"/>
        <w:spacing w:line="320" w:lineRule="exact"/>
        <w:jc w:val="left"/>
        <w:rPr>
          <w:rFonts w:ascii="楷体_GB2312" w:eastAsia="楷体_GB2312"/>
          <w:kern w:val="0"/>
        </w:rPr>
      </w:pPr>
    </w:p>
    <w:sectPr w:rsidR="00C205F5" w:rsidRPr="00C32B55" w:rsidSect="00361846">
      <w:pgSz w:w="11906" w:h="16838"/>
      <w:pgMar w:top="720" w:right="720" w:bottom="720" w:left="720" w:header="851" w:footer="992" w:gutter="0"/>
      <w:cols w:space="425"/>
      <w:rtlGutter/>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850" w:rsidRDefault="00EC7850">
      <w:r>
        <w:separator/>
      </w:r>
    </w:p>
  </w:endnote>
  <w:endnote w:type="continuationSeparator" w:id="0">
    <w:p w:rsidR="00EC7850" w:rsidRDefault="00EC785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LucidaSans">
    <w:altName w:val="Times New Roman"/>
    <w:panose1 w:val="00000000000000000000"/>
    <w:charset w:val="00"/>
    <w:family w:val="auto"/>
    <w:notTrueType/>
    <w:pitch w:val="variable"/>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华文楷体">
    <w:panose1 w:val="02010600040101010101"/>
    <w:charset w:val="86"/>
    <w:family w:val="auto"/>
    <w:pitch w:val="variable"/>
    <w:sig w:usb0="00000287" w:usb1="080F0000" w:usb2="00000010" w:usb3="00000000" w:csb0="0004009F" w:csb1="00000000"/>
  </w:font>
  <w:font w:name="ˎ̥">
    <w:altName w:val="Times New Roman"/>
    <w:panose1 w:val="00000000000000000000"/>
    <w:charset w:val="00"/>
    <w:family w:val="roman"/>
    <w:notTrueType/>
    <w:pitch w:val="default"/>
    <w:sig w:usb0="00000000" w:usb1="00000000" w:usb2="00000000" w:usb3="00000000" w:csb0="00000000" w:csb1="00000000"/>
  </w:font>
  <w:font w:name="华文行楷">
    <w:panose1 w:val="02010800040101010101"/>
    <w:charset w:val="86"/>
    <w:family w:val="auto"/>
    <w:pitch w:val="variable"/>
    <w:sig w:usb0="00000001" w:usb1="080F0000" w:usb2="00000010" w:usb3="00000000" w:csb0="00040000" w:csb1="00000000"/>
  </w:font>
  <w:font w:name="Edwardian Script ITC">
    <w:panose1 w:val="030303020407070D0804"/>
    <w:charset w:val="00"/>
    <w:family w:val="script"/>
    <w:pitch w:val="variable"/>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文鼎CS中等线">
    <w:altName w:val="宋体"/>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21D" w:rsidRDefault="00F5321D" w:rsidP="00C00C10">
    <w:pPr>
      <w:pStyle w:val="aa"/>
      <w:jc w:val="center"/>
    </w:pPr>
    <w:r>
      <w:rPr>
        <w:lang w:val="zh-CN"/>
      </w:rPr>
      <w:t xml:space="preserve"> </w:t>
    </w:r>
    <w:r w:rsidR="00097DFD">
      <w:rPr>
        <w:b/>
        <w:bCs/>
      </w:rPr>
      <w:fldChar w:fldCharType="begin"/>
    </w:r>
    <w:r>
      <w:rPr>
        <w:b/>
        <w:bCs/>
      </w:rPr>
      <w:instrText>PAGE</w:instrText>
    </w:r>
    <w:r w:rsidR="00097DFD">
      <w:rPr>
        <w:b/>
        <w:bCs/>
      </w:rPr>
      <w:fldChar w:fldCharType="separate"/>
    </w:r>
    <w:r w:rsidR="008B0962">
      <w:rPr>
        <w:b/>
        <w:bCs/>
        <w:noProof/>
      </w:rPr>
      <w:t>1</w:t>
    </w:r>
    <w:r w:rsidR="00097DFD">
      <w:rPr>
        <w:b/>
        <w:bCs/>
      </w:rPr>
      <w:fldChar w:fldCharType="end"/>
    </w:r>
    <w:r>
      <w:rPr>
        <w:lang w:val="zh-CN"/>
      </w:rPr>
      <w:t xml:space="preserve"> / </w:t>
    </w:r>
    <w:r w:rsidR="00097DFD">
      <w:rPr>
        <w:b/>
        <w:bCs/>
      </w:rPr>
      <w:fldChar w:fldCharType="begin"/>
    </w:r>
    <w:r>
      <w:rPr>
        <w:b/>
        <w:bCs/>
      </w:rPr>
      <w:instrText>NUMPAGES</w:instrText>
    </w:r>
    <w:r w:rsidR="00097DFD">
      <w:rPr>
        <w:b/>
        <w:bCs/>
      </w:rPr>
      <w:fldChar w:fldCharType="separate"/>
    </w:r>
    <w:r w:rsidR="008B0962">
      <w:rPr>
        <w:b/>
        <w:bCs/>
        <w:noProof/>
      </w:rPr>
      <w:t>67</w:t>
    </w:r>
    <w:r w:rsidR="00097DFD">
      <w:rPr>
        <w:b/>
        <w:bCs/>
      </w:rPr>
      <w:fldChar w:fldCharType="end"/>
    </w:r>
  </w:p>
  <w:p w:rsidR="00F5321D" w:rsidRDefault="00F5321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850" w:rsidRDefault="00EC7850">
      <w:r>
        <w:separator/>
      </w:r>
    </w:p>
  </w:footnote>
  <w:footnote w:type="continuationSeparator" w:id="0">
    <w:p w:rsidR="00EC7850" w:rsidRDefault="00EC78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21D" w:rsidRDefault="00F5321D" w:rsidP="00CA3982">
    <w:pPr>
      <w:pStyle w:val="a3"/>
      <w:jc w:val="both"/>
    </w:pPr>
    <w:r>
      <w:rPr>
        <w:noProof/>
      </w:rPr>
      <w:drawing>
        <wp:inline distT="0" distB="0" distL="0" distR="0">
          <wp:extent cx="2709545" cy="4318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709545" cy="431800"/>
                  </a:xfrm>
                  <a:prstGeom prst="rect">
                    <a:avLst/>
                  </a:prstGeom>
                  <a:noFill/>
                  <a:ln w="9525">
                    <a:noFill/>
                    <a:miter lim="800000"/>
                    <a:headEnd/>
                    <a:tailEnd/>
                  </a:ln>
                </pic:spPr>
              </pic:pic>
            </a:graphicData>
          </a:graphic>
        </wp:inline>
      </w:drawing>
    </w:r>
  </w:p>
  <w:p w:rsidR="00F5321D" w:rsidRDefault="00F5321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75B2BD52"/>
    <w:lvl w:ilvl="0">
      <w:start w:val="1"/>
      <w:numFmt w:val="bullet"/>
      <w:lvlText w:val=""/>
      <w:lvlJc w:val="left"/>
      <w:pPr>
        <w:tabs>
          <w:tab w:val="num" w:pos="2040"/>
        </w:tabs>
        <w:ind w:left="2040" w:hanging="360"/>
      </w:pPr>
      <w:rPr>
        <w:rFonts w:ascii="Wingdings" w:hAnsi="Wingdings" w:hint="default"/>
      </w:rPr>
    </w:lvl>
  </w:abstractNum>
  <w:abstractNum w:abstractNumId="1">
    <w:nsid w:val="054F59AA"/>
    <w:multiLevelType w:val="hybridMultilevel"/>
    <w:tmpl w:val="33BAE0BC"/>
    <w:lvl w:ilvl="0" w:tplc="0409000B">
      <w:start w:val="1"/>
      <w:numFmt w:val="bullet"/>
      <w:lvlText w:val=""/>
      <w:lvlJc w:val="left"/>
      <w:pPr>
        <w:ind w:left="3465" w:hanging="420"/>
      </w:pPr>
      <w:rPr>
        <w:rFonts w:ascii="Wingdings" w:hAnsi="Wingdings" w:hint="default"/>
      </w:rPr>
    </w:lvl>
    <w:lvl w:ilvl="1" w:tplc="04090003" w:tentative="1">
      <w:start w:val="1"/>
      <w:numFmt w:val="bullet"/>
      <w:lvlText w:val=""/>
      <w:lvlJc w:val="left"/>
      <w:pPr>
        <w:ind w:left="3885" w:hanging="420"/>
      </w:pPr>
      <w:rPr>
        <w:rFonts w:ascii="Wingdings" w:hAnsi="Wingdings" w:hint="default"/>
      </w:rPr>
    </w:lvl>
    <w:lvl w:ilvl="2" w:tplc="04090005" w:tentative="1">
      <w:start w:val="1"/>
      <w:numFmt w:val="bullet"/>
      <w:lvlText w:val=""/>
      <w:lvlJc w:val="left"/>
      <w:pPr>
        <w:ind w:left="4305" w:hanging="420"/>
      </w:pPr>
      <w:rPr>
        <w:rFonts w:ascii="Wingdings" w:hAnsi="Wingdings" w:hint="default"/>
      </w:rPr>
    </w:lvl>
    <w:lvl w:ilvl="3" w:tplc="04090001" w:tentative="1">
      <w:start w:val="1"/>
      <w:numFmt w:val="bullet"/>
      <w:lvlText w:val=""/>
      <w:lvlJc w:val="left"/>
      <w:pPr>
        <w:ind w:left="4725" w:hanging="420"/>
      </w:pPr>
      <w:rPr>
        <w:rFonts w:ascii="Wingdings" w:hAnsi="Wingdings" w:hint="default"/>
      </w:rPr>
    </w:lvl>
    <w:lvl w:ilvl="4" w:tplc="04090003" w:tentative="1">
      <w:start w:val="1"/>
      <w:numFmt w:val="bullet"/>
      <w:lvlText w:val=""/>
      <w:lvlJc w:val="left"/>
      <w:pPr>
        <w:ind w:left="5145" w:hanging="420"/>
      </w:pPr>
      <w:rPr>
        <w:rFonts w:ascii="Wingdings" w:hAnsi="Wingdings" w:hint="default"/>
      </w:rPr>
    </w:lvl>
    <w:lvl w:ilvl="5" w:tplc="04090005" w:tentative="1">
      <w:start w:val="1"/>
      <w:numFmt w:val="bullet"/>
      <w:lvlText w:val=""/>
      <w:lvlJc w:val="left"/>
      <w:pPr>
        <w:ind w:left="5565" w:hanging="420"/>
      </w:pPr>
      <w:rPr>
        <w:rFonts w:ascii="Wingdings" w:hAnsi="Wingdings" w:hint="default"/>
      </w:rPr>
    </w:lvl>
    <w:lvl w:ilvl="6" w:tplc="04090001" w:tentative="1">
      <w:start w:val="1"/>
      <w:numFmt w:val="bullet"/>
      <w:lvlText w:val=""/>
      <w:lvlJc w:val="left"/>
      <w:pPr>
        <w:ind w:left="5985" w:hanging="420"/>
      </w:pPr>
      <w:rPr>
        <w:rFonts w:ascii="Wingdings" w:hAnsi="Wingdings" w:hint="default"/>
      </w:rPr>
    </w:lvl>
    <w:lvl w:ilvl="7" w:tplc="04090003" w:tentative="1">
      <w:start w:val="1"/>
      <w:numFmt w:val="bullet"/>
      <w:lvlText w:val=""/>
      <w:lvlJc w:val="left"/>
      <w:pPr>
        <w:ind w:left="6405" w:hanging="420"/>
      </w:pPr>
      <w:rPr>
        <w:rFonts w:ascii="Wingdings" w:hAnsi="Wingdings" w:hint="default"/>
      </w:rPr>
    </w:lvl>
    <w:lvl w:ilvl="8" w:tplc="04090005" w:tentative="1">
      <w:start w:val="1"/>
      <w:numFmt w:val="bullet"/>
      <w:lvlText w:val=""/>
      <w:lvlJc w:val="left"/>
      <w:pPr>
        <w:ind w:left="6825" w:hanging="420"/>
      </w:pPr>
      <w:rPr>
        <w:rFonts w:ascii="Wingdings" w:hAnsi="Wingdings" w:hint="default"/>
      </w:rPr>
    </w:lvl>
  </w:abstractNum>
  <w:abstractNum w:abstractNumId="2">
    <w:nsid w:val="0B6B3F9B"/>
    <w:multiLevelType w:val="hybridMultilevel"/>
    <w:tmpl w:val="F782E88E"/>
    <w:lvl w:ilvl="0" w:tplc="F96688BC">
      <w:start w:val="1"/>
      <w:numFmt w:val="japaneseCounting"/>
      <w:lvlText w:val="（%1）"/>
      <w:lvlJc w:val="left"/>
      <w:pPr>
        <w:ind w:left="2880" w:hanging="720"/>
      </w:pPr>
      <w:rPr>
        <w:rFonts w:hint="default"/>
      </w:rPr>
    </w:lvl>
    <w:lvl w:ilvl="1" w:tplc="04090019">
      <w:start w:val="1"/>
      <w:numFmt w:val="lowerLetter"/>
      <w:lvlText w:val="%2)"/>
      <w:lvlJc w:val="left"/>
      <w:pPr>
        <w:ind w:left="3000" w:hanging="420"/>
      </w:pPr>
    </w:lvl>
    <w:lvl w:ilvl="2" w:tplc="0409001B">
      <w:start w:val="1"/>
      <w:numFmt w:val="lowerRoman"/>
      <w:lvlText w:val="%3."/>
      <w:lvlJc w:val="right"/>
      <w:pPr>
        <w:ind w:left="3420" w:hanging="420"/>
      </w:pPr>
    </w:lvl>
    <w:lvl w:ilvl="3" w:tplc="0409000F">
      <w:start w:val="1"/>
      <w:numFmt w:val="decimal"/>
      <w:lvlText w:val="%4."/>
      <w:lvlJc w:val="left"/>
      <w:pPr>
        <w:ind w:left="3840" w:hanging="420"/>
      </w:pPr>
    </w:lvl>
    <w:lvl w:ilvl="4" w:tplc="04090019">
      <w:start w:val="1"/>
      <w:numFmt w:val="lowerLetter"/>
      <w:lvlText w:val="%5)"/>
      <w:lvlJc w:val="left"/>
      <w:pPr>
        <w:ind w:left="4260" w:hanging="420"/>
      </w:pPr>
    </w:lvl>
    <w:lvl w:ilvl="5" w:tplc="0409001B">
      <w:start w:val="1"/>
      <w:numFmt w:val="lowerRoman"/>
      <w:lvlText w:val="%6."/>
      <w:lvlJc w:val="right"/>
      <w:pPr>
        <w:ind w:left="4680" w:hanging="420"/>
      </w:pPr>
    </w:lvl>
    <w:lvl w:ilvl="6" w:tplc="0409000F">
      <w:start w:val="1"/>
      <w:numFmt w:val="decimal"/>
      <w:lvlText w:val="%7."/>
      <w:lvlJc w:val="left"/>
      <w:pPr>
        <w:ind w:left="5100" w:hanging="420"/>
      </w:pPr>
    </w:lvl>
    <w:lvl w:ilvl="7" w:tplc="04090019">
      <w:start w:val="1"/>
      <w:numFmt w:val="lowerLetter"/>
      <w:lvlText w:val="%8)"/>
      <w:lvlJc w:val="left"/>
      <w:pPr>
        <w:ind w:left="5520" w:hanging="420"/>
      </w:pPr>
    </w:lvl>
    <w:lvl w:ilvl="8" w:tplc="0409001B">
      <w:start w:val="1"/>
      <w:numFmt w:val="lowerRoman"/>
      <w:lvlText w:val="%9."/>
      <w:lvlJc w:val="right"/>
      <w:pPr>
        <w:ind w:left="5940" w:hanging="420"/>
      </w:pPr>
    </w:lvl>
  </w:abstractNum>
  <w:abstractNum w:abstractNumId="3">
    <w:nsid w:val="0CD32EC9"/>
    <w:multiLevelType w:val="hybridMultilevel"/>
    <w:tmpl w:val="0BCAA1FE"/>
    <w:lvl w:ilvl="0" w:tplc="0409000B">
      <w:start w:val="1"/>
      <w:numFmt w:val="bullet"/>
      <w:lvlText w:val=""/>
      <w:lvlJc w:val="left"/>
      <w:pPr>
        <w:ind w:left="3465" w:hanging="420"/>
      </w:pPr>
      <w:rPr>
        <w:rFonts w:ascii="Wingdings" w:hAnsi="Wingdings" w:hint="default"/>
      </w:rPr>
    </w:lvl>
    <w:lvl w:ilvl="1" w:tplc="04090003" w:tentative="1">
      <w:start w:val="1"/>
      <w:numFmt w:val="bullet"/>
      <w:lvlText w:val=""/>
      <w:lvlJc w:val="left"/>
      <w:pPr>
        <w:ind w:left="3885" w:hanging="420"/>
      </w:pPr>
      <w:rPr>
        <w:rFonts w:ascii="Wingdings" w:hAnsi="Wingdings" w:hint="default"/>
      </w:rPr>
    </w:lvl>
    <w:lvl w:ilvl="2" w:tplc="04090005" w:tentative="1">
      <w:start w:val="1"/>
      <w:numFmt w:val="bullet"/>
      <w:lvlText w:val=""/>
      <w:lvlJc w:val="left"/>
      <w:pPr>
        <w:ind w:left="4305" w:hanging="420"/>
      </w:pPr>
      <w:rPr>
        <w:rFonts w:ascii="Wingdings" w:hAnsi="Wingdings" w:hint="default"/>
      </w:rPr>
    </w:lvl>
    <w:lvl w:ilvl="3" w:tplc="04090001" w:tentative="1">
      <w:start w:val="1"/>
      <w:numFmt w:val="bullet"/>
      <w:lvlText w:val=""/>
      <w:lvlJc w:val="left"/>
      <w:pPr>
        <w:ind w:left="4725" w:hanging="420"/>
      </w:pPr>
      <w:rPr>
        <w:rFonts w:ascii="Wingdings" w:hAnsi="Wingdings" w:hint="default"/>
      </w:rPr>
    </w:lvl>
    <w:lvl w:ilvl="4" w:tplc="04090003" w:tentative="1">
      <w:start w:val="1"/>
      <w:numFmt w:val="bullet"/>
      <w:lvlText w:val=""/>
      <w:lvlJc w:val="left"/>
      <w:pPr>
        <w:ind w:left="5145" w:hanging="420"/>
      </w:pPr>
      <w:rPr>
        <w:rFonts w:ascii="Wingdings" w:hAnsi="Wingdings" w:hint="default"/>
      </w:rPr>
    </w:lvl>
    <w:lvl w:ilvl="5" w:tplc="04090005" w:tentative="1">
      <w:start w:val="1"/>
      <w:numFmt w:val="bullet"/>
      <w:lvlText w:val=""/>
      <w:lvlJc w:val="left"/>
      <w:pPr>
        <w:ind w:left="5565" w:hanging="420"/>
      </w:pPr>
      <w:rPr>
        <w:rFonts w:ascii="Wingdings" w:hAnsi="Wingdings" w:hint="default"/>
      </w:rPr>
    </w:lvl>
    <w:lvl w:ilvl="6" w:tplc="04090001" w:tentative="1">
      <w:start w:val="1"/>
      <w:numFmt w:val="bullet"/>
      <w:lvlText w:val=""/>
      <w:lvlJc w:val="left"/>
      <w:pPr>
        <w:ind w:left="5985" w:hanging="420"/>
      </w:pPr>
      <w:rPr>
        <w:rFonts w:ascii="Wingdings" w:hAnsi="Wingdings" w:hint="default"/>
      </w:rPr>
    </w:lvl>
    <w:lvl w:ilvl="7" w:tplc="04090003" w:tentative="1">
      <w:start w:val="1"/>
      <w:numFmt w:val="bullet"/>
      <w:lvlText w:val=""/>
      <w:lvlJc w:val="left"/>
      <w:pPr>
        <w:ind w:left="6405" w:hanging="420"/>
      </w:pPr>
      <w:rPr>
        <w:rFonts w:ascii="Wingdings" w:hAnsi="Wingdings" w:hint="default"/>
      </w:rPr>
    </w:lvl>
    <w:lvl w:ilvl="8" w:tplc="04090005" w:tentative="1">
      <w:start w:val="1"/>
      <w:numFmt w:val="bullet"/>
      <w:lvlText w:val=""/>
      <w:lvlJc w:val="left"/>
      <w:pPr>
        <w:ind w:left="6825" w:hanging="420"/>
      </w:pPr>
      <w:rPr>
        <w:rFonts w:ascii="Wingdings" w:hAnsi="Wingdings" w:hint="default"/>
      </w:rPr>
    </w:lvl>
  </w:abstractNum>
  <w:abstractNum w:abstractNumId="4">
    <w:nsid w:val="2A8A32D0"/>
    <w:multiLevelType w:val="hybridMultilevel"/>
    <w:tmpl w:val="3DA2EDCC"/>
    <w:lvl w:ilvl="0" w:tplc="04090009">
      <w:start w:val="1"/>
      <w:numFmt w:val="bullet"/>
      <w:lvlText w:val=""/>
      <w:lvlJc w:val="left"/>
      <w:pPr>
        <w:ind w:left="2575" w:hanging="420"/>
      </w:pPr>
      <w:rPr>
        <w:rFonts w:ascii="Wingdings" w:hAnsi="Wingdings" w:cs="Wingdings" w:hint="default"/>
      </w:rPr>
    </w:lvl>
    <w:lvl w:ilvl="1" w:tplc="04090003" w:tentative="1">
      <w:start w:val="1"/>
      <w:numFmt w:val="bullet"/>
      <w:lvlText w:val=""/>
      <w:lvlJc w:val="left"/>
      <w:pPr>
        <w:ind w:left="2995" w:hanging="420"/>
      </w:pPr>
      <w:rPr>
        <w:rFonts w:ascii="Wingdings" w:hAnsi="Wingdings" w:hint="default"/>
      </w:rPr>
    </w:lvl>
    <w:lvl w:ilvl="2" w:tplc="04090005" w:tentative="1">
      <w:start w:val="1"/>
      <w:numFmt w:val="bullet"/>
      <w:lvlText w:val=""/>
      <w:lvlJc w:val="left"/>
      <w:pPr>
        <w:ind w:left="3415" w:hanging="420"/>
      </w:pPr>
      <w:rPr>
        <w:rFonts w:ascii="Wingdings" w:hAnsi="Wingdings" w:hint="default"/>
      </w:rPr>
    </w:lvl>
    <w:lvl w:ilvl="3" w:tplc="04090001" w:tentative="1">
      <w:start w:val="1"/>
      <w:numFmt w:val="bullet"/>
      <w:lvlText w:val=""/>
      <w:lvlJc w:val="left"/>
      <w:pPr>
        <w:ind w:left="3835" w:hanging="420"/>
      </w:pPr>
      <w:rPr>
        <w:rFonts w:ascii="Wingdings" w:hAnsi="Wingdings" w:hint="default"/>
      </w:rPr>
    </w:lvl>
    <w:lvl w:ilvl="4" w:tplc="04090003" w:tentative="1">
      <w:start w:val="1"/>
      <w:numFmt w:val="bullet"/>
      <w:lvlText w:val=""/>
      <w:lvlJc w:val="left"/>
      <w:pPr>
        <w:ind w:left="4255" w:hanging="420"/>
      </w:pPr>
      <w:rPr>
        <w:rFonts w:ascii="Wingdings" w:hAnsi="Wingdings" w:hint="default"/>
      </w:rPr>
    </w:lvl>
    <w:lvl w:ilvl="5" w:tplc="04090005" w:tentative="1">
      <w:start w:val="1"/>
      <w:numFmt w:val="bullet"/>
      <w:lvlText w:val=""/>
      <w:lvlJc w:val="left"/>
      <w:pPr>
        <w:ind w:left="4675" w:hanging="420"/>
      </w:pPr>
      <w:rPr>
        <w:rFonts w:ascii="Wingdings" w:hAnsi="Wingdings" w:hint="default"/>
      </w:rPr>
    </w:lvl>
    <w:lvl w:ilvl="6" w:tplc="04090001" w:tentative="1">
      <w:start w:val="1"/>
      <w:numFmt w:val="bullet"/>
      <w:lvlText w:val=""/>
      <w:lvlJc w:val="left"/>
      <w:pPr>
        <w:ind w:left="5095" w:hanging="420"/>
      </w:pPr>
      <w:rPr>
        <w:rFonts w:ascii="Wingdings" w:hAnsi="Wingdings" w:hint="default"/>
      </w:rPr>
    </w:lvl>
    <w:lvl w:ilvl="7" w:tplc="04090003" w:tentative="1">
      <w:start w:val="1"/>
      <w:numFmt w:val="bullet"/>
      <w:lvlText w:val=""/>
      <w:lvlJc w:val="left"/>
      <w:pPr>
        <w:ind w:left="5515" w:hanging="420"/>
      </w:pPr>
      <w:rPr>
        <w:rFonts w:ascii="Wingdings" w:hAnsi="Wingdings" w:hint="default"/>
      </w:rPr>
    </w:lvl>
    <w:lvl w:ilvl="8" w:tplc="04090005" w:tentative="1">
      <w:start w:val="1"/>
      <w:numFmt w:val="bullet"/>
      <w:lvlText w:val=""/>
      <w:lvlJc w:val="left"/>
      <w:pPr>
        <w:ind w:left="5935" w:hanging="420"/>
      </w:pPr>
      <w:rPr>
        <w:rFonts w:ascii="Wingdings" w:hAnsi="Wingdings" w:hint="default"/>
      </w:rPr>
    </w:lvl>
  </w:abstractNum>
  <w:abstractNum w:abstractNumId="5">
    <w:nsid w:val="2E995E70"/>
    <w:multiLevelType w:val="hybridMultilevel"/>
    <w:tmpl w:val="8FEAA454"/>
    <w:lvl w:ilvl="0" w:tplc="0409000B">
      <w:start w:val="1"/>
      <w:numFmt w:val="bullet"/>
      <w:lvlText w:val=""/>
      <w:lvlJc w:val="left"/>
      <w:pPr>
        <w:ind w:left="2580" w:hanging="420"/>
      </w:pPr>
      <w:rPr>
        <w:rFonts w:ascii="Wingdings" w:hAnsi="Wingdings" w:cs="Wingdings" w:hint="default"/>
      </w:rPr>
    </w:lvl>
    <w:lvl w:ilvl="1" w:tplc="04090003">
      <w:start w:val="1"/>
      <w:numFmt w:val="bullet"/>
      <w:lvlText w:val=""/>
      <w:lvlJc w:val="left"/>
      <w:pPr>
        <w:ind w:left="3000" w:hanging="420"/>
      </w:pPr>
      <w:rPr>
        <w:rFonts w:ascii="Wingdings" w:hAnsi="Wingdings" w:cs="Wingdings" w:hint="default"/>
      </w:rPr>
    </w:lvl>
    <w:lvl w:ilvl="2" w:tplc="04090005">
      <w:start w:val="1"/>
      <w:numFmt w:val="bullet"/>
      <w:lvlText w:val=""/>
      <w:lvlJc w:val="left"/>
      <w:pPr>
        <w:ind w:left="3420" w:hanging="420"/>
      </w:pPr>
      <w:rPr>
        <w:rFonts w:ascii="Wingdings" w:hAnsi="Wingdings" w:cs="Wingdings" w:hint="default"/>
      </w:rPr>
    </w:lvl>
    <w:lvl w:ilvl="3" w:tplc="04090001">
      <w:start w:val="1"/>
      <w:numFmt w:val="bullet"/>
      <w:lvlText w:val=""/>
      <w:lvlJc w:val="left"/>
      <w:pPr>
        <w:ind w:left="3840" w:hanging="420"/>
      </w:pPr>
      <w:rPr>
        <w:rFonts w:ascii="Wingdings" w:hAnsi="Wingdings" w:cs="Wingdings" w:hint="default"/>
      </w:rPr>
    </w:lvl>
    <w:lvl w:ilvl="4" w:tplc="04090003">
      <w:start w:val="1"/>
      <w:numFmt w:val="bullet"/>
      <w:lvlText w:val=""/>
      <w:lvlJc w:val="left"/>
      <w:pPr>
        <w:ind w:left="4260" w:hanging="420"/>
      </w:pPr>
      <w:rPr>
        <w:rFonts w:ascii="Wingdings" w:hAnsi="Wingdings" w:cs="Wingdings" w:hint="default"/>
      </w:rPr>
    </w:lvl>
    <w:lvl w:ilvl="5" w:tplc="04090005">
      <w:start w:val="1"/>
      <w:numFmt w:val="bullet"/>
      <w:lvlText w:val=""/>
      <w:lvlJc w:val="left"/>
      <w:pPr>
        <w:ind w:left="4680" w:hanging="420"/>
      </w:pPr>
      <w:rPr>
        <w:rFonts w:ascii="Wingdings" w:hAnsi="Wingdings" w:cs="Wingdings" w:hint="default"/>
      </w:rPr>
    </w:lvl>
    <w:lvl w:ilvl="6" w:tplc="04090001">
      <w:start w:val="1"/>
      <w:numFmt w:val="bullet"/>
      <w:lvlText w:val=""/>
      <w:lvlJc w:val="left"/>
      <w:pPr>
        <w:ind w:left="5100" w:hanging="420"/>
      </w:pPr>
      <w:rPr>
        <w:rFonts w:ascii="Wingdings" w:hAnsi="Wingdings" w:cs="Wingdings" w:hint="default"/>
      </w:rPr>
    </w:lvl>
    <w:lvl w:ilvl="7" w:tplc="04090003">
      <w:start w:val="1"/>
      <w:numFmt w:val="bullet"/>
      <w:lvlText w:val=""/>
      <w:lvlJc w:val="left"/>
      <w:pPr>
        <w:ind w:left="5520" w:hanging="420"/>
      </w:pPr>
      <w:rPr>
        <w:rFonts w:ascii="Wingdings" w:hAnsi="Wingdings" w:cs="Wingdings" w:hint="default"/>
      </w:rPr>
    </w:lvl>
    <w:lvl w:ilvl="8" w:tplc="04090005">
      <w:start w:val="1"/>
      <w:numFmt w:val="bullet"/>
      <w:lvlText w:val=""/>
      <w:lvlJc w:val="left"/>
      <w:pPr>
        <w:ind w:left="5940" w:hanging="420"/>
      </w:pPr>
      <w:rPr>
        <w:rFonts w:ascii="Wingdings" w:hAnsi="Wingdings" w:cs="Wingdings" w:hint="default"/>
      </w:rPr>
    </w:lvl>
  </w:abstractNum>
  <w:abstractNum w:abstractNumId="6">
    <w:nsid w:val="3B8E03F2"/>
    <w:multiLevelType w:val="hybridMultilevel"/>
    <w:tmpl w:val="73A28CF4"/>
    <w:lvl w:ilvl="0" w:tplc="45B2138E">
      <w:start w:val="1"/>
      <w:numFmt w:val="bullet"/>
      <w:pStyle w:val="00"/>
      <w:lvlText w:val=""/>
      <w:lvlJc w:val="left"/>
      <w:pPr>
        <w:tabs>
          <w:tab w:val="num" w:pos="340"/>
        </w:tabs>
        <w:ind w:left="340" w:hanging="340"/>
      </w:pPr>
      <w:rPr>
        <w:rFonts w:ascii="Wingdings" w:hAnsi="Wingdings" w:cs="Wingdings" w:hint="default"/>
        <w:color w:val="003366"/>
        <w:sz w:val="22"/>
        <w:szCs w:val="22"/>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7">
    <w:nsid w:val="3BC36177"/>
    <w:multiLevelType w:val="hybridMultilevel"/>
    <w:tmpl w:val="D68E986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A266422"/>
    <w:multiLevelType w:val="hybridMultilevel"/>
    <w:tmpl w:val="6AACAB28"/>
    <w:lvl w:ilvl="0" w:tplc="04090009">
      <w:start w:val="1"/>
      <w:numFmt w:val="bullet"/>
      <w:lvlText w:val=""/>
      <w:lvlJc w:val="left"/>
      <w:pPr>
        <w:ind w:left="2577" w:hanging="420"/>
      </w:pPr>
      <w:rPr>
        <w:rFonts w:ascii="Wingdings" w:hAnsi="Wingdings" w:hint="default"/>
      </w:rPr>
    </w:lvl>
    <w:lvl w:ilvl="1" w:tplc="04090003" w:tentative="1">
      <w:start w:val="1"/>
      <w:numFmt w:val="bullet"/>
      <w:lvlText w:val=""/>
      <w:lvlJc w:val="left"/>
      <w:pPr>
        <w:ind w:left="2997" w:hanging="420"/>
      </w:pPr>
      <w:rPr>
        <w:rFonts w:ascii="Wingdings" w:hAnsi="Wingdings" w:hint="default"/>
      </w:rPr>
    </w:lvl>
    <w:lvl w:ilvl="2" w:tplc="04090005" w:tentative="1">
      <w:start w:val="1"/>
      <w:numFmt w:val="bullet"/>
      <w:lvlText w:val=""/>
      <w:lvlJc w:val="left"/>
      <w:pPr>
        <w:ind w:left="3417" w:hanging="420"/>
      </w:pPr>
      <w:rPr>
        <w:rFonts w:ascii="Wingdings" w:hAnsi="Wingdings" w:hint="default"/>
      </w:rPr>
    </w:lvl>
    <w:lvl w:ilvl="3" w:tplc="04090001" w:tentative="1">
      <w:start w:val="1"/>
      <w:numFmt w:val="bullet"/>
      <w:lvlText w:val=""/>
      <w:lvlJc w:val="left"/>
      <w:pPr>
        <w:ind w:left="3837" w:hanging="420"/>
      </w:pPr>
      <w:rPr>
        <w:rFonts w:ascii="Wingdings" w:hAnsi="Wingdings" w:hint="default"/>
      </w:rPr>
    </w:lvl>
    <w:lvl w:ilvl="4" w:tplc="04090003" w:tentative="1">
      <w:start w:val="1"/>
      <w:numFmt w:val="bullet"/>
      <w:lvlText w:val=""/>
      <w:lvlJc w:val="left"/>
      <w:pPr>
        <w:ind w:left="4257" w:hanging="420"/>
      </w:pPr>
      <w:rPr>
        <w:rFonts w:ascii="Wingdings" w:hAnsi="Wingdings" w:hint="default"/>
      </w:rPr>
    </w:lvl>
    <w:lvl w:ilvl="5" w:tplc="04090005" w:tentative="1">
      <w:start w:val="1"/>
      <w:numFmt w:val="bullet"/>
      <w:lvlText w:val=""/>
      <w:lvlJc w:val="left"/>
      <w:pPr>
        <w:ind w:left="4677" w:hanging="420"/>
      </w:pPr>
      <w:rPr>
        <w:rFonts w:ascii="Wingdings" w:hAnsi="Wingdings" w:hint="default"/>
      </w:rPr>
    </w:lvl>
    <w:lvl w:ilvl="6" w:tplc="04090001" w:tentative="1">
      <w:start w:val="1"/>
      <w:numFmt w:val="bullet"/>
      <w:lvlText w:val=""/>
      <w:lvlJc w:val="left"/>
      <w:pPr>
        <w:ind w:left="5097" w:hanging="420"/>
      </w:pPr>
      <w:rPr>
        <w:rFonts w:ascii="Wingdings" w:hAnsi="Wingdings" w:hint="default"/>
      </w:rPr>
    </w:lvl>
    <w:lvl w:ilvl="7" w:tplc="04090003" w:tentative="1">
      <w:start w:val="1"/>
      <w:numFmt w:val="bullet"/>
      <w:lvlText w:val=""/>
      <w:lvlJc w:val="left"/>
      <w:pPr>
        <w:ind w:left="5517" w:hanging="420"/>
      </w:pPr>
      <w:rPr>
        <w:rFonts w:ascii="Wingdings" w:hAnsi="Wingdings" w:hint="default"/>
      </w:rPr>
    </w:lvl>
    <w:lvl w:ilvl="8" w:tplc="04090005" w:tentative="1">
      <w:start w:val="1"/>
      <w:numFmt w:val="bullet"/>
      <w:lvlText w:val=""/>
      <w:lvlJc w:val="left"/>
      <w:pPr>
        <w:ind w:left="5937" w:hanging="420"/>
      </w:pPr>
      <w:rPr>
        <w:rFonts w:ascii="Wingdings" w:hAnsi="Wingdings" w:hint="default"/>
      </w:rPr>
    </w:lvl>
  </w:abstractNum>
  <w:abstractNum w:abstractNumId="9">
    <w:nsid w:val="50E651D7"/>
    <w:multiLevelType w:val="hybridMultilevel"/>
    <w:tmpl w:val="E1564FF8"/>
    <w:lvl w:ilvl="0" w:tplc="04090001">
      <w:start w:val="1"/>
      <w:numFmt w:val="bullet"/>
      <w:lvlText w:val=""/>
      <w:lvlJc w:val="left"/>
      <w:pPr>
        <w:ind w:left="2607" w:hanging="420"/>
      </w:pPr>
      <w:rPr>
        <w:rFonts w:ascii="Wingdings" w:hAnsi="Wingdings" w:hint="default"/>
      </w:rPr>
    </w:lvl>
    <w:lvl w:ilvl="1" w:tplc="04090003" w:tentative="1">
      <w:start w:val="1"/>
      <w:numFmt w:val="bullet"/>
      <w:lvlText w:val=""/>
      <w:lvlJc w:val="left"/>
      <w:pPr>
        <w:ind w:left="3027" w:hanging="420"/>
      </w:pPr>
      <w:rPr>
        <w:rFonts w:ascii="Wingdings" w:hAnsi="Wingdings" w:hint="default"/>
      </w:rPr>
    </w:lvl>
    <w:lvl w:ilvl="2" w:tplc="04090005" w:tentative="1">
      <w:start w:val="1"/>
      <w:numFmt w:val="bullet"/>
      <w:lvlText w:val=""/>
      <w:lvlJc w:val="left"/>
      <w:pPr>
        <w:ind w:left="3447" w:hanging="420"/>
      </w:pPr>
      <w:rPr>
        <w:rFonts w:ascii="Wingdings" w:hAnsi="Wingdings" w:hint="default"/>
      </w:rPr>
    </w:lvl>
    <w:lvl w:ilvl="3" w:tplc="04090001" w:tentative="1">
      <w:start w:val="1"/>
      <w:numFmt w:val="bullet"/>
      <w:lvlText w:val=""/>
      <w:lvlJc w:val="left"/>
      <w:pPr>
        <w:ind w:left="3867" w:hanging="420"/>
      </w:pPr>
      <w:rPr>
        <w:rFonts w:ascii="Wingdings" w:hAnsi="Wingdings" w:hint="default"/>
      </w:rPr>
    </w:lvl>
    <w:lvl w:ilvl="4" w:tplc="04090003" w:tentative="1">
      <w:start w:val="1"/>
      <w:numFmt w:val="bullet"/>
      <w:lvlText w:val=""/>
      <w:lvlJc w:val="left"/>
      <w:pPr>
        <w:ind w:left="4287" w:hanging="420"/>
      </w:pPr>
      <w:rPr>
        <w:rFonts w:ascii="Wingdings" w:hAnsi="Wingdings" w:hint="default"/>
      </w:rPr>
    </w:lvl>
    <w:lvl w:ilvl="5" w:tplc="04090005" w:tentative="1">
      <w:start w:val="1"/>
      <w:numFmt w:val="bullet"/>
      <w:lvlText w:val=""/>
      <w:lvlJc w:val="left"/>
      <w:pPr>
        <w:ind w:left="4707" w:hanging="420"/>
      </w:pPr>
      <w:rPr>
        <w:rFonts w:ascii="Wingdings" w:hAnsi="Wingdings" w:hint="default"/>
      </w:rPr>
    </w:lvl>
    <w:lvl w:ilvl="6" w:tplc="04090001" w:tentative="1">
      <w:start w:val="1"/>
      <w:numFmt w:val="bullet"/>
      <w:lvlText w:val=""/>
      <w:lvlJc w:val="left"/>
      <w:pPr>
        <w:ind w:left="5127" w:hanging="420"/>
      </w:pPr>
      <w:rPr>
        <w:rFonts w:ascii="Wingdings" w:hAnsi="Wingdings" w:hint="default"/>
      </w:rPr>
    </w:lvl>
    <w:lvl w:ilvl="7" w:tplc="04090003" w:tentative="1">
      <w:start w:val="1"/>
      <w:numFmt w:val="bullet"/>
      <w:lvlText w:val=""/>
      <w:lvlJc w:val="left"/>
      <w:pPr>
        <w:ind w:left="5547" w:hanging="420"/>
      </w:pPr>
      <w:rPr>
        <w:rFonts w:ascii="Wingdings" w:hAnsi="Wingdings" w:hint="default"/>
      </w:rPr>
    </w:lvl>
    <w:lvl w:ilvl="8" w:tplc="04090005" w:tentative="1">
      <w:start w:val="1"/>
      <w:numFmt w:val="bullet"/>
      <w:lvlText w:val=""/>
      <w:lvlJc w:val="left"/>
      <w:pPr>
        <w:ind w:left="5967" w:hanging="420"/>
      </w:pPr>
      <w:rPr>
        <w:rFonts w:ascii="Wingdings" w:hAnsi="Wingdings" w:hint="default"/>
      </w:rPr>
    </w:lvl>
  </w:abstractNum>
  <w:abstractNum w:abstractNumId="10">
    <w:nsid w:val="5DC638F9"/>
    <w:multiLevelType w:val="hybridMultilevel"/>
    <w:tmpl w:val="ED883D6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61AB28B4"/>
    <w:multiLevelType w:val="hybridMultilevel"/>
    <w:tmpl w:val="C4DE2BA6"/>
    <w:lvl w:ilvl="0" w:tplc="59A69ABC">
      <w:start w:val="1"/>
      <w:numFmt w:val="decimal"/>
      <w:lvlText w:val="%1）"/>
      <w:lvlJc w:val="left"/>
      <w:pPr>
        <w:ind w:left="2912" w:hanging="360"/>
      </w:pPr>
      <w:rPr>
        <w:rFonts w:hint="default"/>
      </w:rPr>
    </w:lvl>
    <w:lvl w:ilvl="1" w:tplc="04090019">
      <w:start w:val="1"/>
      <w:numFmt w:val="lowerLetter"/>
      <w:lvlText w:val="%2)"/>
      <w:lvlJc w:val="left"/>
      <w:pPr>
        <w:ind w:left="3392" w:hanging="420"/>
      </w:pPr>
    </w:lvl>
    <w:lvl w:ilvl="2" w:tplc="0409001B" w:tentative="1">
      <w:start w:val="1"/>
      <w:numFmt w:val="lowerRoman"/>
      <w:lvlText w:val="%3."/>
      <w:lvlJc w:val="right"/>
      <w:pPr>
        <w:ind w:left="3812" w:hanging="420"/>
      </w:pPr>
    </w:lvl>
    <w:lvl w:ilvl="3" w:tplc="0409000F" w:tentative="1">
      <w:start w:val="1"/>
      <w:numFmt w:val="decimal"/>
      <w:lvlText w:val="%4."/>
      <w:lvlJc w:val="left"/>
      <w:pPr>
        <w:ind w:left="4232" w:hanging="420"/>
      </w:pPr>
    </w:lvl>
    <w:lvl w:ilvl="4" w:tplc="04090019" w:tentative="1">
      <w:start w:val="1"/>
      <w:numFmt w:val="lowerLetter"/>
      <w:lvlText w:val="%5)"/>
      <w:lvlJc w:val="left"/>
      <w:pPr>
        <w:ind w:left="4652" w:hanging="420"/>
      </w:pPr>
    </w:lvl>
    <w:lvl w:ilvl="5" w:tplc="0409001B" w:tentative="1">
      <w:start w:val="1"/>
      <w:numFmt w:val="lowerRoman"/>
      <w:lvlText w:val="%6."/>
      <w:lvlJc w:val="right"/>
      <w:pPr>
        <w:ind w:left="5072" w:hanging="420"/>
      </w:pPr>
    </w:lvl>
    <w:lvl w:ilvl="6" w:tplc="0409000F" w:tentative="1">
      <w:start w:val="1"/>
      <w:numFmt w:val="decimal"/>
      <w:lvlText w:val="%7."/>
      <w:lvlJc w:val="left"/>
      <w:pPr>
        <w:ind w:left="5492" w:hanging="420"/>
      </w:pPr>
    </w:lvl>
    <w:lvl w:ilvl="7" w:tplc="04090019" w:tentative="1">
      <w:start w:val="1"/>
      <w:numFmt w:val="lowerLetter"/>
      <w:lvlText w:val="%8)"/>
      <w:lvlJc w:val="left"/>
      <w:pPr>
        <w:ind w:left="5912" w:hanging="420"/>
      </w:pPr>
    </w:lvl>
    <w:lvl w:ilvl="8" w:tplc="0409001B" w:tentative="1">
      <w:start w:val="1"/>
      <w:numFmt w:val="lowerRoman"/>
      <w:lvlText w:val="%9."/>
      <w:lvlJc w:val="right"/>
      <w:pPr>
        <w:ind w:left="6332" w:hanging="420"/>
      </w:pPr>
    </w:lvl>
  </w:abstractNum>
  <w:abstractNum w:abstractNumId="12">
    <w:nsid w:val="623013DA"/>
    <w:multiLevelType w:val="hybridMultilevel"/>
    <w:tmpl w:val="9D6CD7B4"/>
    <w:lvl w:ilvl="0" w:tplc="04090009">
      <w:start w:val="1"/>
      <w:numFmt w:val="bullet"/>
      <w:lvlText w:val=""/>
      <w:lvlJc w:val="left"/>
      <w:pPr>
        <w:ind w:left="2577" w:hanging="420"/>
      </w:pPr>
      <w:rPr>
        <w:rFonts w:ascii="Wingdings" w:hAnsi="Wingdings" w:cs="Wingdings" w:hint="default"/>
      </w:rPr>
    </w:lvl>
    <w:lvl w:ilvl="1" w:tplc="04090003">
      <w:start w:val="1"/>
      <w:numFmt w:val="bullet"/>
      <w:lvlText w:val=""/>
      <w:lvlJc w:val="left"/>
      <w:pPr>
        <w:ind w:left="2997" w:hanging="420"/>
      </w:pPr>
      <w:rPr>
        <w:rFonts w:ascii="Wingdings" w:hAnsi="Wingdings" w:cs="Wingdings" w:hint="default"/>
      </w:rPr>
    </w:lvl>
    <w:lvl w:ilvl="2" w:tplc="04090005">
      <w:start w:val="1"/>
      <w:numFmt w:val="bullet"/>
      <w:lvlText w:val=""/>
      <w:lvlJc w:val="left"/>
      <w:pPr>
        <w:ind w:left="3417" w:hanging="420"/>
      </w:pPr>
      <w:rPr>
        <w:rFonts w:ascii="Wingdings" w:hAnsi="Wingdings" w:cs="Wingdings" w:hint="default"/>
      </w:rPr>
    </w:lvl>
    <w:lvl w:ilvl="3" w:tplc="04090001">
      <w:start w:val="1"/>
      <w:numFmt w:val="bullet"/>
      <w:lvlText w:val=""/>
      <w:lvlJc w:val="left"/>
      <w:pPr>
        <w:ind w:left="3837" w:hanging="420"/>
      </w:pPr>
      <w:rPr>
        <w:rFonts w:ascii="Wingdings" w:hAnsi="Wingdings" w:cs="Wingdings" w:hint="default"/>
      </w:rPr>
    </w:lvl>
    <w:lvl w:ilvl="4" w:tplc="04090003">
      <w:start w:val="1"/>
      <w:numFmt w:val="bullet"/>
      <w:lvlText w:val=""/>
      <w:lvlJc w:val="left"/>
      <w:pPr>
        <w:ind w:left="4257" w:hanging="420"/>
      </w:pPr>
      <w:rPr>
        <w:rFonts w:ascii="Wingdings" w:hAnsi="Wingdings" w:cs="Wingdings" w:hint="default"/>
      </w:rPr>
    </w:lvl>
    <w:lvl w:ilvl="5" w:tplc="04090005">
      <w:start w:val="1"/>
      <w:numFmt w:val="bullet"/>
      <w:lvlText w:val=""/>
      <w:lvlJc w:val="left"/>
      <w:pPr>
        <w:ind w:left="4677" w:hanging="420"/>
      </w:pPr>
      <w:rPr>
        <w:rFonts w:ascii="Wingdings" w:hAnsi="Wingdings" w:cs="Wingdings" w:hint="default"/>
      </w:rPr>
    </w:lvl>
    <w:lvl w:ilvl="6" w:tplc="04090001">
      <w:start w:val="1"/>
      <w:numFmt w:val="bullet"/>
      <w:lvlText w:val=""/>
      <w:lvlJc w:val="left"/>
      <w:pPr>
        <w:ind w:left="5097" w:hanging="420"/>
      </w:pPr>
      <w:rPr>
        <w:rFonts w:ascii="Wingdings" w:hAnsi="Wingdings" w:cs="Wingdings" w:hint="default"/>
      </w:rPr>
    </w:lvl>
    <w:lvl w:ilvl="7" w:tplc="04090003">
      <w:start w:val="1"/>
      <w:numFmt w:val="bullet"/>
      <w:lvlText w:val=""/>
      <w:lvlJc w:val="left"/>
      <w:pPr>
        <w:ind w:left="5517" w:hanging="420"/>
      </w:pPr>
      <w:rPr>
        <w:rFonts w:ascii="Wingdings" w:hAnsi="Wingdings" w:cs="Wingdings" w:hint="default"/>
      </w:rPr>
    </w:lvl>
    <w:lvl w:ilvl="8" w:tplc="04090005">
      <w:start w:val="1"/>
      <w:numFmt w:val="bullet"/>
      <w:lvlText w:val=""/>
      <w:lvlJc w:val="left"/>
      <w:pPr>
        <w:ind w:left="5937" w:hanging="420"/>
      </w:pPr>
      <w:rPr>
        <w:rFonts w:ascii="Wingdings" w:hAnsi="Wingdings" w:cs="Wingdings" w:hint="default"/>
      </w:rPr>
    </w:lvl>
  </w:abstractNum>
  <w:abstractNum w:abstractNumId="13">
    <w:nsid w:val="6FA83CDC"/>
    <w:multiLevelType w:val="hybridMultilevel"/>
    <w:tmpl w:val="8396748A"/>
    <w:lvl w:ilvl="0" w:tplc="0409000B">
      <w:start w:val="1"/>
      <w:numFmt w:val="bullet"/>
      <w:lvlText w:val=""/>
      <w:lvlJc w:val="left"/>
      <w:pPr>
        <w:ind w:left="2580" w:hanging="420"/>
      </w:pPr>
      <w:rPr>
        <w:rFonts w:ascii="Wingdings" w:hAnsi="Wingdings" w:cs="Wingdings" w:hint="default"/>
      </w:rPr>
    </w:lvl>
    <w:lvl w:ilvl="1" w:tplc="04090003">
      <w:start w:val="1"/>
      <w:numFmt w:val="bullet"/>
      <w:lvlText w:val=""/>
      <w:lvlJc w:val="left"/>
      <w:pPr>
        <w:ind w:left="3000" w:hanging="420"/>
      </w:pPr>
      <w:rPr>
        <w:rFonts w:ascii="Wingdings" w:hAnsi="Wingdings" w:cs="Wingdings" w:hint="default"/>
      </w:rPr>
    </w:lvl>
    <w:lvl w:ilvl="2" w:tplc="04090005">
      <w:start w:val="1"/>
      <w:numFmt w:val="bullet"/>
      <w:lvlText w:val=""/>
      <w:lvlJc w:val="left"/>
      <w:pPr>
        <w:ind w:left="3420" w:hanging="420"/>
      </w:pPr>
      <w:rPr>
        <w:rFonts w:ascii="Wingdings" w:hAnsi="Wingdings" w:cs="Wingdings" w:hint="default"/>
      </w:rPr>
    </w:lvl>
    <w:lvl w:ilvl="3" w:tplc="04090001">
      <w:start w:val="1"/>
      <w:numFmt w:val="bullet"/>
      <w:lvlText w:val=""/>
      <w:lvlJc w:val="left"/>
      <w:pPr>
        <w:ind w:left="3840" w:hanging="420"/>
      </w:pPr>
      <w:rPr>
        <w:rFonts w:ascii="Wingdings" w:hAnsi="Wingdings" w:cs="Wingdings" w:hint="default"/>
      </w:rPr>
    </w:lvl>
    <w:lvl w:ilvl="4" w:tplc="04090003">
      <w:start w:val="1"/>
      <w:numFmt w:val="bullet"/>
      <w:lvlText w:val=""/>
      <w:lvlJc w:val="left"/>
      <w:pPr>
        <w:ind w:left="4260" w:hanging="420"/>
      </w:pPr>
      <w:rPr>
        <w:rFonts w:ascii="Wingdings" w:hAnsi="Wingdings" w:cs="Wingdings" w:hint="default"/>
      </w:rPr>
    </w:lvl>
    <w:lvl w:ilvl="5" w:tplc="04090005">
      <w:start w:val="1"/>
      <w:numFmt w:val="bullet"/>
      <w:lvlText w:val=""/>
      <w:lvlJc w:val="left"/>
      <w:pPr>
        <w:ind w:left="4680" w:hanging="420"/>
      </w:pPr>
      <w:rPr>
        <w:rFonts w:ascii="Wingdings" w:hAnsi="Wingdings" w:cs="Wingdings" w:hint="default"/>
      </w:rPr>
    </w:lvl>
    <w:lvl w:ilvl="6" w:tplc="04090001">
      <w:start w:val="1"/>
      <w:numFmt w:val="bullet"/>
      <w:lvlText w:val=""/>
      <w:lvlJc w:val="left"/>
      <w:pPr>
        <w:ind w:left="5100" w:hanging="420"/>
      </w:pPr>
      <w:rPr>
        <w:rFonts w:ascii="Wingdings" w:hAnsi="Wingdings" w:cs="Wingdings" w:hint="default"/>
      </w:rPr>
    </w:lvl>
    <w:lvl w:ilvl="7" w:tplc="04090003">
      <w:start w:val="1"/>
      <w:numFmt w:val="bullet"/>
      <w:lvlText w:val=""/>
      <w:lvlJc w:val="left"/>
      <w:pPr>
        <w:ind w:left="5520" w:hanging="420"/>
      </w:pPr>
      <w:rPr>
        <w:rFonts w:ascii="Wingdings" w:hAnsi="Wingdings" w:cs="Wingdings" w:hint="default"/>
      </w:rPr>
    </w:lvl>
    <w:lvl w:ilvl="8" w:tplc="04090005">
      <w:start w:val="1"/>
      <w:numFmt w:val="bullet"/>
      <w:lvlText w:val=""/>
      <w:lvlJc w:val="left"/>
      <w:pPr>
        <w:ind w:left="5940" w:hanging="420"/>
      </w:pPr>
      <w:rPr>
        <w:rFonts w:ascii="Wingdings" w:hAnsi="Wingdings" w:cs="Wingdings" w:hint="default"/>
      </w:rPr>
    </w:lvl>
  </w:abstractNum>
  <w:abstractNum w:abstractNumId="14">
    <w:nsid w:val="7550434D"/>
    <w:multiLevelType w:val="hybridMultilevel"/>
    <w:tmpl w:val="1168328A"/>
    <w:lvl w:ilvl="0" w:tplc="29445B40">
      <w:start w:val="1"/>
      <w:numFmt w:val="japaneseCounting"/>
      <w:lvlText w:val="%1、"/>
      <w:lvlJc w:val="left"/>
      <w:pPr>
        <w:ind w:left="2980" w:hanging="450"/>
      </w:pPr>
      <w:rPr>
        <w:rFonts w:hint="default"/>
      </w:rPr>
    </w:lvl>
    <w:lvl w:ilvl="1" w:tplc="04090019" w:tentative="1">
      <w:start w:val="1"/>
      <w:numFmt w:val="lowerLetter"/>
      <w:lvlText w:val="%2)"/>
      <w:lvlJc w:val="left"/>
      <w:pPr>
        <w:ind w:left="3370" w:hanging="420"/>
      </w:pPr>
    </w:lvl>
    <w:lvl w:ilvl="2" w:tplc="0409001B" w:tentative="1">
      <w:start w:val="1"/>
      <w:numFmt w:val="lowerRoman"/>
      <w:lvlText w:val="%3."/>
      <w:lvlJc w:val="right"/>
      <w:pPr>
        <w:ind w:left="3790" w:hanging="420"/>
      </w:pPr>
    </w:lvl>
    <w:lvl w:ilvl="3" w:tplc="0409000F" w:tentative="1">
      <w:start w:val="1"/>
      <w:numFmt w:val="decimal"/>
      <w:lvlText w:val="%4."/>
      <w:lvlJc w:val="left"/>
      <w:pPr>
        <w:ind w:left="4210" w:hanging="420"/>
      </w:pPr>
    </w:lvl>
    <w:lvl w:ilvl="4" w:tplc="04090019" w:tentative="1">
      <w:start w:val="1"/>
      <w:numFmt w:val="lowerLetter"/>
      <w:lvlText w:val="%5)"/>
      <w:lvlJc w:val="left"/>
      <w:pPr>
        <w:ind w:left="4630" w:hanging="420"/>
      </w:pPr>
    </w:lvl>
    <w:lvl w:ilvl="5" w:tplc="0409001B" w:tentative="1">
      <w:start w:val="1"/>
      <w:numFmt w:val="lowerRoman"/>
      <w:lvlText w:val="%6."/>
      <w:lvlJc w:val="right"/>
      <w:pPr>
        <w:ind w:left="5050" w:hanging="420"/>
      </w:pPr>
    </w:lvl>
    <w:lvl w:ilvl="6" w:tplc="0409000F" w:tentative="1">
      <w:start w:val="1"/>
      <w:numFmt w:val="decimal"/>
      <w:lvlText w:val="%7."/>
      <w:lvlJc w:val="left"/>
      <w:pPr>
        <w:ind w:left="5470" w:hanging="420"/>
      </w:pPr>
    </w:lvl>
    <w:lvl w:ilvl="7" w:tplc="04090019" w:tentative="1">
      <w:start w:val="1"/>
      <w:numFmt w:val="lowerLetter"/>
      <w:lvlText w:val="%8)"/>
      <w:lvlJc w:val="left"/>
      <w:pPr>
        <w:ind w:left="5890" w:hanging="420"/>
      </w:pPr>
    </w:lvl>
    <w:lvl w:ilvl="8" w:tplc="0409001B" w:tentative="1">
      <w:start w:val="1"/>
      <w:numFmt w:val="lowerRoman"/>
      <w:lvlText w:val="%9."/>
      <w:lvlJc w:val="right"/>
      <w:pPr>
        <w:ind w:left="6310" w:hanging="420"/>
      </w:pPr>
    </w:lvl>
  </w:abstractNum>
  <w:abstractNum w:abstractNumId="15">
    <w:nsid w:val="762C5359"/>
    <w:multiLevelType w:val="hybridMultilevel"/>
    <w:tmpl w:val="1D70C8E2"/>
    <w:lvl w:ilvl="0" w:tplc="04090009">
      <w:start w:val="1"/>
      <w:numFmt w:val="bullet"/>
      <w:lvlText w:val=""/>
      <w:lvlJc w:val="left"/>
      <w:pPr>
        <w:ind w:left="2575" w:hanging="420"/>
      </w:pPr>
      <w:rPr>
        <w:rFonts w:ascii="Wingdings" w:hAnsi="Wingdings" w:cs="Wingdings" w:hint="default"/>
      </w:rPr>
    </w:lvl>
    <w:lvl w:ilvl="1" w:tplc="04090003" w:tentative="1">
      <w:start w:val="1"/>
      <w:numFmt w:val="bullet"/>
      <w:lvlText w:val=""/>
      <w:lvlJc w:val="left"/>
      <w:pPr>
        <w:ind w:left="2995" w:hanging="420"/>
      </w:pPr>
      <w:rPr>
        <w:rFonts w:ascii="Wingdings" w:hAnsi="Wingdings" w:hint="default"/>
      </w:rPr>
    </w:lvl>
    <w:lvl w:ilvl="2" w:tplc="04090005" w:tentative="1">
      <w:start w:val="1"/>
      <w:numFmt w:val="bullet"/>
      <w:lvlText w:val=""/>
      <w:lvlJc w:val="left"/>
      <w:pPr>
        <w:ind w:left="3415" w:hanging="420"/>
      </w:pPr>
      <w:rPr>
        <w:rFonts w:ascii="Wingdings" w:hAnsi="Wingdings" w:hint="default"/>
      </w:rPr>
    </w:lvl>
    <w:lvl w:ilvl="3" w:tplc="04090001" w:tentative="1">
      <w:start w:val="1"/>
      <w:numFmt w:val="bullet"/>
      <w:lvlText w:val=""/>
      <w:lvlJc w:val="left"/>
      <w:pPr>
        <w:ind w:left="3835" w:hanging="420"/>
      </w:pPr>
      <w:rPr>
        <w:rFonts w:ascii="Wingdings" w:hAnsi="Wingdings" w:hint="default"/>
      </w:rPr>
    </w:lvl>
    <w:lvl w:ilvl="4" w:tplc="04090003" w:tentative="1">
      <w:start w:val="1"/>
      <w:numFmt w:val="bullet"/>
      <w:lvlText w:val=""/>
      <w:lvlJc w:val="left"/>
      <w:pPr>
        <w:ind w:left="4255" w:hanging="420"/>
      </w:pPr>
      <w:rPr>
        <w:rFonts w:ascii="Wingdings" w:hAnsi="Wingdings" w:hint="default"/>
      </w:rPr>
    </w:lvl>
    <w:lvl w:ilvl="5" w:tplc="04090005" w:tentative="1">
      <w:start w:val="1"/>
      <w:numFmt w:val="bullet"/>
      <w:lvlText w:val=""/>
      <w:lvlJc w:val="left"/>
      <w:pPr>
        <w:ind w:left="4675" w:hanging="420"/>
      </w:pPr>
      <w:rPr>
        <w:rFonts w:ascii="Wingdings" w:hAnsi="Wingdings" w:hint="default"/>
      </w:rPr>
    </w:lvl>
    <w:lvl w:ilvl="6" w:tplc="04090001" w:tentative="1">
      <w:start w:val="1"/>
      <w:numFmt w:val="bullet"/>
      <w:lvlText w:val=""/>
      <w:lvlJc w:val="left"/>
      <w:pPr>
        <w:ind w:left="5095" w:hanging="420"/>
      </w:pPr>
      <w:rPr>
        <w:rFonts w:ascii="Wingdings" w:hAnsi="Wingdings" w:hint="default"/>
      </w:rPr>
    </w:lvl>
    <w:lvl w:ilvl="7" w:tplc="04090003" w:tentative="1">
      <w:start w:val="1"/>
      <w:numFmt w:val="bullet"/>
      <w:lvlText w:val=""/>
      <w:lvlJc w:val="left"/>
      <w:pPr>
        <w:ind w:left="5515" w:hanging="420"/>
      </w:pPr>
      <w:rPr>
        <w:rFonts w:ascii="Wingdings" w:hAnsi="Wingdings" w:hint="default"/>
      </w:rPr>
    </w:lvl>
    <w:lvl w:ilvl="8" w:tplc="04090005" w:tentative="1">
      <w:start w:val="1"/>
      <w:numFmt w:val="bullet"/>
      <w:lvlText w:val=""/>
      <w:lvlJc w:val="left"/>
      <w:pPr>
        <w:ind w:left="5935" w:hanging="420"/>
      </w:pPr>
      <w:rPr>
        <w:rFonts w:ascii="Wingdings" w:hAnsi="Wingdings" w:hint="default"/>
      </w:rPr>
    </w:lvl>
  </w:abstractNum>
  <w:abstractNum w:abstractNumId="16">
    <w:nsid w:val="77320308"/>
    <w:multiLevelType w:val="hybridMultilevel"/>
    <w:tmpl w:val="F7EEFD4C"/>
    <w:lvl w:ilvl="0" w:tplc="0409000B">
      <w:start w:val="1"/>
      <w:numFmt w:val="bullet"/>
      <w:lvlText w:val=""/>
      <w:lvlJc w:val="left"/>
      <w:pPr>
        <w:ind w:left="2625" w:hanging="420"/>
      </w:pPr>
      <w:rPr>
        <w:rFonts w:ascii="Wingdings" w:hAnsi="Wingdings" w:hint="default"/>
      </w:rPr>
    </w:lvl>
    <w:lvl w:ilvl="1" w:tplc="04090003" w:tentative="1">
      <w:start w:val="1"/>
      <w:numFmt w:val="bullet"/>
      <w:lvlText w:val=""/>
      <w:lvlJc w:val="left"/>
      <w:pPr>
        <w:ind w:left="3045" w:hanging="420"/>
      </w:pPr>
      <w:rPr>
        <w:rFonts w:ascii="Wingdings" w:hAnsi="Wingdings" w:hint="default"/>
      </w:rPr>
    </w:lvl>
    <w:lvl w:ilvl="2" w:tplc="04090005" w:tentative="1">
      <w:start w:val="1"/>
      <w:numFmt w:val="bullet"/>
      <w:lvlText w:val=""/>
      <w:lvlJc w:val="left"/>
      <w:pPr>
        <w:ind w:left="3465" w:hanging="420"/>
      </w:pPr>
      <w:rPr>
        <w:rFonts w:ascii="Wingdings" w:hAnsi="Wingdings" w:hint="default"/>
      </w:rPr>
    </w:lvl>
    <w:lvl w:ilvl="3" w:tplc="04090001" w:tentative="1">
      <w:start w:val="1"/>
      <w:numFmt w:val="bullet"/>
      <w:lvlText w:val=""/>
      <w:lvlJc w:val="left"/>
      <w:pPr>
        <w:ind w:left="3885" w:hanging="420"/>
      </w:pPr>
      <w:rPr>
        <w:rFonts w:ascii="Wingdings" w:hAnsi="Wingdings" w:hint="default"/>
      </w:rPr>
    </w:lvl>
    <w:lvl w:ilvl="4" w:tplc="04090003" w:tentative="1">
      <w:start w:val="1"/>
      <w:numFmt w:val="bullet"/>
      <w:lvlText w:val=""/>
      <w:lvlJc w:val="left"/>
      <w:pPr>
        <w:ind w:left="4305" w:hanging="420"/>
      </w:pPr>
      <w:rPr>
        <w:rFonts w:ascii="Wingdings" w:hAnsi="Wingdings" w:hint="default"/>
      </w:rPr>
    </w:lvl>
    <w:lvl w:ilvl="5" w:tplc="04090005" w:tentative="1">
      <w:start w:val="1"/>
      <w:numFmt w:val="bullet"/>
      <w:lvlText w:val=""/>
      <w:lvlJc w:val="left"/>
      <w:pPr>
        <w:ind w:left="4725" w:hanging="420"/>
      </w:pPr>
      <w:rPr>
        <w:rFonts w:ascii="Wingdings" w:hAnsi="Wingdings" w:hint="default"/>
      </w:rPr>
    </w:lvl>
    <w:lvl w:ilvl="6" w:tplc="04090001" w:tentative="1">
      <w:start w:val="1"/>
      <w:numFmt w:val="bullet"/>
      <w:lvlText w:val=""/>
      <w:lvlJc w:val="left"/>
      <w:pPr>
        <w:ind w:left="5145" w:hanging="420"/>
      </w:pPr>
      <w:rPr>
        <w:rFonts w:ascii="Wingdings" w:hAnsi="Wingdings" w:hint="default"/>
      </w:rPr>
    </w:lvl>
    <w:lvl w:ilvl="7" w:tplc="04090003" w:tentative="1">
      <w:start w:val="1"/>
      <w:numFmt w:val="bullet"/>
      <w:lvlText w:val=""/>
      <w:lvlJc w:val="left"/>
      <w:pPr>
        <w:ind w:left="5565" w:hanging="420"/>
      </w:pPr>
      <w:rPr>
        <w:rFonts w:ascii="Wingdings" w:hAnsi="Wingdings" w:hint="default"/>
      </w:rPr>
    </w:lvl>
    <w:lvl w:ilvl="8" w:tplc="04090005" w:tentative="1">
      <w:start w:val="1"/>
      <w:numFmt w:val="bullet"/>
      <w:lvlText w:val=""/>
      <w:lvlJc w:val="left"/>
      <w:pPr>
        <w:ind w:left="5985" w:hanging="420"/>
      </w:pPr>
      <w:rPr>
        <w:rFonts w:ascii="Wingdings" w:hAnsi="Wingdings" w:hint="default"/>
      </w:rPr>
    </w:lvl>
  </w:abstractNum>
  <w:abstractNum w:abstractNumId="17">
    <w:nsid w:val="7CCF6652"/>
    <w:multiLevelType w:val="hybridMultilevel"/>
    <w:tmpl w:val="416E9450"/>
    <w:lvl w:ilvl="0" w:tplc="04090009">
      <w:start w:val="1"/>
      <w:numFmt w:val="bullet"/>
      <w:lvlText w:val=""/>
      <w:lvlJc w:val="left"/>
      <w:pPr>
        <w:ind w:left="2577" w:hanging="420"/>
      </w:pPr>
      <w:rPr>
        <w:rFonts w:ascii="Wingdings" w:hAnsi="Wingdings" w:cs="Wingdings" w:hint="default"/>
      </w:rPr>
    </w:lvl>
    <w:lvl w:ilvl="1" w:tplc="04090003">
      <w:start w:val="1"/>
      <w:numFmt w:val="bullet"/>
      <w:lvlText w:val=""/>
      <w:lvlJc w:val="left"/>
      <w:pPr>
        <w:ind w:left="2997" w:hanging="420"/>
      </w:pPr>
      <w:rPr>
        <w:rFonts w:ascii="Wingdings" w:hAnsi="Wingdings" w:cs="Wingdings" w:hint="default"/>
      </w:rPr>
    </w:lvl>
    <w:lvl w:ilvl="2" w:tplc="04090005">
      <w:start w:val="1"/>
      <w:numFmt w:val="bullet"/>
      <w:lvlText w:val=""/>
      <w:lvlJc w:val="left"/>
      <w:pPr>
        <w:ind w:left="3417" w:hanging="420"/>
      </w:pPr>
      <w:rPr>
        <w:rFonts w:ascii="Wingdings" w:hAnsi="Wingdings" w:cs="Wingdings" w:hint="default"/>
      </w:rPr>
    </w:lvl>
    <w:lvl w:ilvl="3" w:tplc="04090001">
      <w:start w:val="1"/>
      <w:numFmt w:val="bullet"/>
      <w:lvlText w:val=""/>
      <w:lvlJc w:val="left"/>
      <w:pPr>
        <w:ind w:left="3837" w:hanging="420"/>
      </w:pPr>
      <w:rPr>
        <w:rFonts w:ascii="Wingdings" w:hAnsi="Wingdings" w:cs="Wingdings" w:hint="default"/>
      </w:rPr>
    </w:lvl>
    <w:lvl w:ilvl="4" w:tplc="04090003">
      <w:start w:val="1"/>
      <w:numFmt w:val="bullet"/>
      <w:lvlText w:val=""/>
      <w:lvlJc w:val="left"/>
      <w:pPr>
        <w:ind w:left="4257" w:hanging="420"/>
      </w:pPr>
      <w:rPr>
        <w:rFonts w:ascii="Wingdings" w:hAnsi="Wingdings" w:cs="Wingdings" w:hint="default"/>
      </w:rPr>
    </w:lvl>
    <w:lvl w:ilvl="5" w:tplc="04090005">
      <w:start w:val="1"/>
      <w:numFmt w:val="bullet"/>
      <w:lvlText w:val=""/>
      <w:lvlJc w:val="left"/>
      <w:pPr>
        <w:ind w:left="4677" w:hanging="420"/>
      </w:pPr>
      <w:rPr>
        <w:rFonts w:ascii="Wingdings" w:hAnsi="Wingdings" w:cs="Wingdings" w:hint="default"/>
      </w:rPr>
    </w:lvl>
    <w:lvl w:ilvl="6" w:tplc="04090001">
      <w:start w:val="1"/>
      <w:numFmt w:val="bullet"/>
      <w:lvlText w:val=""/>
      <w:lvlJc w:val="left"/>
      <w:pPr>
        <w:ind w:left="5097" w:hanging="420"/>
      </w:pPr>
      <w:rPr>
        <w:rFonts w:ascii="Wingdings" w:hAnsi="Wingdings" w:cs="Wingdings" w:hint="default"/>
      </w:rPr>
    </w:lvl>
    <w:lvl w:ilvl="7" w:tplc="04090003">
      <w:start w:val="1"/>
      <w:numFmt w:val="bullet"/>
      <w:lvlText w:val=""/>
      <w:lvlJc w:val="left"/>
      <w:pPr>
        <w:ind w:left="5517" w:hanging="420"/>
      </w:pPr>
      <w:rPr>
        <w:rFonts w:ascii="Wingdings" w:hAnsi="Wingdings" w:cs="Wingdings" w:hint="default"/>
      </w:rPr>
    </w:lvl>
    <w:lvl w:ilvl="8" w:tplc="04090005">
      <w:start w:val="1"/>
      <w:numFmt w:val="bullet"/>
      <w:lvlText w:val=""/>
      <w:lvlJc w:val="left"/>
      <w:pPr>
        <w:ind w:left="5937" w:hanging="420"/>
      </w:pPr>
      <w:rPr>
        <w:rFonts w:ascii="Wingdings" w:hAnsi="Wingdings" w:cs="Wingdings" w:hint="default"/>
      </w:rPr>
    </w:lvl>
  </w:abstractNum>
  <w:num w:numId="1">
    <w:abstractNumId w:val="6"/>
  </w:num>
  <w:num w:numId="2">
    <w:abstractNumId w:val="5"/>
  </w:num>
  <w:num w:numId="3">
    <w:abstractNumId w:val="13"/>
  </w:num>
  <w:num w:numId="4">
    <w:abstractNumId w:val="2"/>
  </w:num>
  <w:num w:numId="5">
    <w:abstractNumId w:val="0"/>
  </w:num>
  <w:num w:numId="6">
    <w:abstractNumId w:val="12"/>
  </w:num>
  <w:num w:numId="7">
    <w:abstractNumId w:val="17"/>
  </w:num>
  <w:num w:numId="8">
    <w:abstractNumId w:val="10"/>
  </w:num>
  <w:num w:numId="9">
    <w:abstractNumId w:val="4"/>
  </w:num>
  <w:num w:numId="10">
    <w:abstractNumId w:val="7"/>
  </w:num>
  <w:num w:numId="11">
    <w:abstractNumId w:val="14"/>
  </w:num>
  <w:num w:numId="12">
    <w:abstractNumId w:val="8"/>
  </w:num>
  <w:num w:numId="13">
    <w:abstractNumId w:val="9"/>
  </w:num>
  <w:num w:numId="14">
    <w:abstractNumId w:val="16"/>
  </w:num>
  <w:num w:numId="15">
    <w:abstractNumId w:val="11"/>
  </w:num>
  <w:num w:numId="16">
    <w:abstractNumId w:val="15"/>
  </w:num>
  <w:num w:numId="17">
    <w:abstractNumId w:val="1"/>
  </w:num>
  <w:num w:numId="18">
    <w:abstractNumId w:val="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proofState w:spelling="clean" w:grammar="clean"/>
  <w:trackRevisions/>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A3982"/>
    <w:rsid w:val="000011E5"/>
    <w:rsid w:val="00001DEB"/>
    <w:rsid w:val="000028EC"/>
    <w:rsid w:val="00004482"/>
    <w:rsid w:val="00007543"/>
    <w:rsid w:val="00010048"/>
    <w:rsid w:val="00010552"/>
    <w:rsid w:val="00010853"/>
    <w:rsid w:val="00012553"/>
    <w:rsid w:val="0001777C"/>
    <w:rsid w:val="00020F32"/>
    <w:rsid w:val="0002427A"/>
    <w:rsid w:val="00025D82"/>
    <w:rsid w:val="0002613A"/>
    <w:rsid w:val="000266F3"/>
    <w:rsid w:val="00031C84"/>
    <w:rsid w:val="00032785"/>
    <w:rsid w:val="00032E5B"/>
    <w:rsid w:val="0003323E"/>
    <w:rsid w:val="00034574"/>
    <w:rsid w:val="00035795"/>
    <w:rsid w:val="0003583F"/>
    <w:rsid w:val="0004083D"/>
    <w:rsid w:val="0004174D"/>
    <w:rsid w:val="00042BC9"/>
    <w:rsid w:val="000430C5"/>
    <w:rsid w:val="00044116"/>
    <w:rsid w:val="0004415E"/>
    <w:rsid w:val="00044BCF"/>
    <w:rsid w:val="00047558"/>
    <w:rsid w:val="00047DD4"/>
    <w:rsid w:val="000502A2"/>
    <w:rsid w:val="00052879"/>
    <w:rsid w:val="00056DB0"/>
    <w:rsid w:val="00060305"/>
    <w:rsid w:val="00061522"/>
    <w:rsid w:val="00067802"/>
    <w:rsid w:val="0007075E"/>
    <w:rsid w:val="00072E4C"/>
    <w:rsid w:val="00080BDF"/>
    <w:rsid w:val="00081600"/>
    <w:rsid w:val="00081977"/>
    <w:rsid w:val="000819A2"/>
    <w:rsid w:val="00083299"/>
    <w:rsid w:val="00085429"/>
    <w:rsid w:val="0008549E"/>
    <w:rsid w:val="00087046"/>
    <w:rsid w:val="00090D31"/>
    <w:rsid w:val="000926CA"/>
    <w:rsid w:val="000937D2"/>
    <w:rsid w:val="00097DFD"/>
    <w:rsid w:val="000A2184"/>
    <w:rsid w:val="000A246C"/>
    <w:rsid w:val="000A7FF3"/>
    <w:rsid w:val="000B4B48"/>
    <w:rsid w:val="000B7D4E"/>
    <w:rsid w:val="000C25A5"/>
    <w:rsid w:val="000C3AE4"/>
    <w:rsid w:val="000C3FB8"/>
    <w:rsid w:val="000C4DD1"/>
    <w:rsid w:val="000C4FD2"/>
    <w:rsid w:val="000C5649"/>
    <w:rsid w:val="000D680C"/>
    <w:rsid w:val="000D7224"/>
    <w:rsid w:val="000D7437"/>
    <w:rsid w:val="000E08AC"/>
    <w:rsid w:val="000E0BC2"/>
    <w:rsid w:val="000E1313"/>
    <w:rsid w:val="000E3037"/>
    <w:rsid w:val="000E4181"/>
    <w:rsid w:val="000E5176"/>
    <w:rsid w:val="000E777B"/>
    <w:rsid w:val="000F131E"/>
    <w:rsid w:val="000F14EF"/>
    <w:rsid w:val="000F2B25"/>
    <w:rsid w:val="000F2E00"/>
    <w:rsid w:val="000F3E91"/>
    <w:rsid w:val="000F4701"/>
    <w:rsid w:val="001005CB"/>
    <w:rsid w:val="00100CF4"/>
    <w:rsid w:val="00101EA5"/>
    <w:rsid w:val="00106F68"/>
    <w:rsid w:val="00112234"/>
    <w:rsid w:val="001129FB"/>
    <w:rsid w:val="00112A5A"/>
    <w:rsid w:val="001153B4"/>
    <w:rsid w:val="00117131"/>
    <w:rsid w:val="00117F7A"/>
    <w:rsid w:val="00120641"/>
    <w:rsid w:val="0012774A"/>
    <w:rsid w:val="00127C81"/>
    <w:rsid w:val="00131948"/>
    <w:rsid w:val="00131F1D"/>
    <w:rsid w:val="00134BB2"/>
    <w:rsid w:val="00136115"/>
    <w:rsid w:val="00143888"/>
    <w:rsid w:val="00145C5F"/>
    <w:rsid w:val="00146103"/>
    <w:rsid w:val="00146277"/>
    <w:rsid w:val="00146DB7"/>
    <w:rsid w:val="00150C2F"/>
    <w:rsid w:val="00155008"/>
    <w:rsid w:val="00156563"/>
    <w:rsid w:val="00160984"/>
    <w:rsid w:val="0016138E"/>
    <w:rsid w:val="00162705"/>
    <w:rsid w:val="001646B7"/>
    <w:rsid w:val="00164BC2"/>
    <w:rsid w:val="001705A3"/>
    <w:rsid w:val="00170850"/>
    <w:rsid w:val="001742AB"/>
    <w:rsid w:val="00174BDE"/>
    <w:rsid w:val="00175794"/>
    <w:rsid w:val="00176B3F"/>
    <w:rsid w:val="0018050B"/>
    <w:rsid w:val="001815F3"/>
    <w:rsid w:val="00182882"/>
    <w:rsid w:val="00182A98"/>
    <w:rsid w:val="00182BCA"/>
    <w:rsid w:val="001839D2"/>
    <w:rsid w:val="00187C73"/>
    <w:rsid w:val="001907D5"/>
    <w:rsid w:val="00192462"/>
    <w:rsid w:val="00195B22"/>
    <w:rsid w:val="00196CBE"/>
    <w:rsid w:val="001971C6"/>
    <w:rsid w:val="001971D8"/>
    <w:rsid w:val="001A2DBE"/>
    <w:rsid w:val="001A6A96"/>
    <w:rsid w:val="001B13BE"/>
    <w:rsid w:val="001B24CE"/>
    <w:rsid w:val="001B56CB"/>
    <w:rsid w:val="001C16C8"/>
    <w:rsid w:val="001C19DE"/>
    <w:rsid w:val="001C2AB5"/>
    <w:rsid w:val="001C5064"/>
    <w:rsid w:val="001C5BE1"/>
    <w:rsid w:val="001C672C"/>
    <w:rsid w:val="001C72F4"/>
    <w:rsid w:val="001D0920"/>
    <w:rsid w:val="001D12F9"/>
    <w:rsid w:val="001D6304"/>
    <w:rsid w:val="001D6C5A"/>
    <w:rsid w:val="001D6DAB"/>
    <w:rsid w:val="001D7875"/>
    <w:rsid w:val="001E154C"/>
    <w:rsid w:val="001E1770"/>
    <w:rsid w:val="001E262A"/>
    <w:rsid w:val="001E4CE0"/>
    <w:rsid w:val="001E5302"/>
    <w:rsid w:val="001F0651"/>
    <w:rsid w:val="001F2F85"/>
    <w:rsid w:val="001F3A0F"/>
    <w:rsid w:val="001F4669"/>
    <w:rsid w:val="001F629A"/>
    <w:rsid w:val="001F6679"/>
    <w:rsid w:val="001F7D05"/>
    <w:rsid w:val="00201331"/>
    <w:rsid w:val="00205F5E"/>
    <w:rsid w:val="002115FB"/>
    <w:rsid w:val="002123B1"/>
    <w:rsid w:val="00213DDF"/>
    <w:rsid w:val="00214CC0"/>
    <w:rsid w:val="00222904"/>
    <w:rsid w:val="00222F95"/>
    <w:rsid w:val="0022579E"/>
    <w:rsid w:val="00230395"/>
    <w:rsid w:val="00231916"/>
    <w:rsid w:val="002320AA"/>
    <w:rsid w:val="002358C8"/>
    <w:rsid w:val="002359FD"/>
    <w:rsid w:val="00235D4C"/>
    <w:rsid w:val="00240852"/>
    <w:rsid w:val="002412EB"/>
    <w:rsid w:val="00242D45"/>
    <w:rsid w:val="00242E75"/>
    <w:rsid w:val="0024301E"/>
    <w:rsid w:val="00246F9E"/>
    <w:rsid w:val="002472D6"/>
    <w:rsid w:val="0024743F"/>
    <w:rsid w:val="00252778"/>
    <w:rsid w:val="00253C7F"/>
    <w:rsid w:val="00255057"/>
    <w:rsid w:val="002556F9"/>
    <w:rsid w:val="002643A8"/>
    <w:rsid w:val="002719E2"/>
    <w:rsid w:val="00271F2D"/>
    <w:rsid w:val="00272DA6"/>
    <w:rsid w:val="0027386D"/>
    <w:rsid w:val="002751CE"/>
    <w:rsid w:val="00275290"/>
    <w:rsid w:val="0027684F"/>
    <w:rsid w:val="002802C7"/>
    <w:rsid w:val="00284FCA"/>
    <w:rsid w:val="00285A25"/>
    <w:rsid w:val="00286AE9"/>
    <w:rsid w:val="002877EB"/>
    <w:rsid w:val="002902AC"/>
    <w:rsid w:val="00291B0C"/>
    <w:rsid w:val="002944B8"/>
    <w:rsid w:val="00295500"/>
    <w:rsid w:val="00295747"/>
    <w:rsid w:val="00296ABE"/>
    <w:rsid w:val="002976D4"/>
    <w:rsid w:val="002A41EB"/>
    <w:rsid w:val="002A47FD"/>
    <w:rsid w:val="002B1A22"/>
    <w:rsid w:val="002B2694"/>
    <w:rsid w:val="002B3400"/>
    <w:rsid w:val="002B75E2"/>
    <w:rsid w:val="002B7D5E"/>
    <w:rsid w:val="002B7FF4"/>
    <w:rsid w:val="002C5D1E"/>
    <w:rsid w:val="002C669D"/>
    <w:rsid w:val="002C7385"/>
    <w:rsid w:val="002D2542"/>
    <w:rsid w:val="002D27A6"/>
    <w:rsid w:val="002D2857"/>
    <w:rsid w:val="002D7465"/>
    <w:rsid w:val="002E2A0F"/>
    <w:rsid w:val="002E3949"/>
    <w:rsid w:val="002E4189"/>
    <w:rsid w:val="002E5846"/>
    <w:rsid w:val="002E7AAA"/>
    <w:rsid w:val="002F09CE"/>
    <w:rsid w:val="002F09D2"/>
    <w:rsid w:val="002F1C89"/>
    <w:rsid w:val="002F644D"/>
    <w:rsid w:val="002F7761"/>
    <w:rsid w:val="00300004"/>
    <w:rsid w:val="00303B1F"/>
    <w:rsid w:val="003117AB"/>
    <w:rsid w:val="00311CD1"/>
    <w:rsid w:val="0031477E"/>
    <w:rsid w:val="00315088"/>
    <w:rsid w:val="0031582C"/>
    <w:rsid w:val="00320CC2"/>
    <w:rsid w:val="00322057"/>
    <w:rsid w:val="0032225C"/>
    <w:rsid w:val="00324445"/>
    <w:rsid w:val="00324C4D"/>
    <w:rsid w:val="00324E95"/>
    <w:rsid w:val="00324E9A"/>
    <w:rsid w:val="0033592C"/>
    <w:rsid w:val="0034138F"/>
    <w:rsid w:val="0034300B"/>
    <w:rsid w:val="00345264"/>
    <w:rsid w:val="003507C2"/>
    <w:rsid w:val="0035484F"/>
    <w:rsid w:val="00356369"/>
    <w:rsid w:val="00361846"/>
    <w:rsid w:val="00361B3A"/>
    <w:rsid w:val="003625F3"/>
    <w:rsid w:val="003636FB"/>
    <w:rsid w:val="00363E2E"/>
    <w:rsid w:val="003649AC"/>
    <w:rsid w:val="0036734B"/>
    <w:rsid w:val="003716BF"/>
    <w:rsid w:val="00374DAA"/>
    <w:rsid w:val="00376E3D"/>
    <w:rsid w:val="00377B04"/>
    <w:rsid w:val="00380437"/>
    <w:rsid w:val="003829CC"/>
    <w:rsid w:val="0038406D"/>
    <w:rsid w:val="003855BC"/>
    <w:rsid w:val="00385C71"/>
    <w:rsid w:val="00386AA8"/>
    <w:rsid w:val="00390256"/>
    <w:rsid w:val="003902C8"/>
    <w:rsid w:val="003910EB"/>
    <w:rsid w:val="003917D6"/>
    <w:rsid w:val="003945AD"/>
    <w:rsid w:val="00394D75"/>
    <w:rsid w:val="00396475"/>
    <w:rsid w:val="003A1D2D"/>
    <w:rsid w:val="003A316F"/>
    <w:rsid w:val="003A35D9"/>
    <w:rsid w:val="003A37C9"/>
    <w:rsid w:val="003A4041"/>
    <w:rsid w:val="003A414B"/>
    <w:rsid w:val="003B2CCA"/>
    <w:rsid w:val="003B2D88"/>
    <w:rsid w:val="003B467F"/>
    <w:rsid w:val="003B6F18"/>
    <w:rsid w:val="003B72D3"/>
    <w:rsid w:val="003C3E2F"/>
    <w:rsid w:val="003C40BA"/>
    <w:rsid w:val="003C5BAA"/>
    <w:rsid w:val="003D011D"/>
    <w:rsid w:val="003D07B6"/>
    <w:rsid w:val="003D4D78"/>
    <w:rsid w:val="003D69F3"/>
    <w:rsid w:val="003E1F35"/>
    <w:rsid w:val="003E54BA"/>
    <w:rsid w:val="003E5E56"/>
    <w:rsid w:val="003F078F"/>
    <w:rsid w:val="003F1A13"/>
    <w:rsid w:val="003F1BF0"/>
    <w:rsid w:val="003F211E"/>
    <w:rsid w:val="003F4323"/>
    <w:rsid w:val="003F441C"/>
    <w:rsid w:val="003F5DF2"/>
    <w:rsid w:val="003F5E96"/>
    <w:rsid w:val="003F6480"/>
    <w:rsid w:val="003F773C"/>
    <w:rsid w:val="003F7F50"/>
    <w:rsid w:val="003F7F5B"/>
    <w:rsid w:val="00400B75"/>
    <w:rsid w:val="00401999"/>
    <w:rsid w:val="00402E70"/>
    <w:rsid w:val="00403A3C"/>
    <w:rsid w:val="00404DAD"/>
    <w:rsid w:val="00407D43"/>
    <w:rsid w:val="0041033D"/>
    <w:rsid w:val="004136E4"/>
    <w:rsid w:val="00413A72"/>
    <w:rsid w:val="00415046"/>
    <w:rsid w:val="0041559D"/>
    <w:rsid w:val="00416BAD"/>
    <w:rsid w:val="004207C5"/>
    <w:rsid w:val="00421AFC"/>
    <w:rsid w:val="00422550"/>
    <w:rsid w:val="00424D68"/>
    <w:rsid w:val="00425E91"/>
    <w:rsid w:val="0042622B"/>
    <w:rsid w:val="00426274"/>
    <w:rsid w:val="004275A2"/>
    <w:rsid w:val="004354D8"/>
    <w:rsid w:val="00442E9D"/>
    <w:rsid w:val="00444901"/>
    <w:rsid w:val="004506D9"/>
    <w:rsid w:val="00451567"/>
    <w:rsid w:val="00451603"/>
    <w:rsid w:val="00451844"/>
    <w:rsid w:val="00451F01"/>
    <w:rsid w:val="00453C4D"/>
    <w:rsid w:val="00460C4C"/>
    <w:rsid w:val="00463A87"/>
    <w:rsid w:val="00463BDD"/>
    <w:rsid w:val="00465AEF"/>
    <w:rsid w:val="004712B5"/>
    <w:rsid w:val="0047305C"/>
    <w:rsid w:val="00473316"/>
    <w:rsid w:val="00473E78"/>
    <w:rsid w:val="00476767"/>
    <w:rsid w:val="00482ADA"/>
    <w:rsid w:val="00482F40"/>
    <w:rsid w:val="00483BA6"/>
    <w:rsid w:val="00483BDA"/>
    <w:rsid w:val="00483D5A"/>
    <w:rsid w:val="00486680"/>
    <w:rsid w:val="00486A89"/>
    <w:rsid w:val="004870D4"/>
    <w:rsid w:val="00490204"/>
    <w:rsid w:val="00490F98"/>
    <w:rsid w:val="00491356"/>
    <w:rsid w:val="00491A2E"/>
    <w:rsid w:val="00492E7D"/>
    <w:rsid w:val="00493071"/>
    <w:rsid w:val="00493323"/>
    <w:rsid w:val="0049656E"/>
    <w:rsid w:val="00496BDD"/>
    <w:rsid w:val="004A0210"/>
    <w:rsid w:val="004A04CD"/>
    <w:rsid w:val="004A22E0"/>
    <w:rsid w:val="004A3467"/>
    <w:rsid w:val="004A3528"/>
    <w:rsid w:val="004A661D"/>
    <w:rsid w:val="004A7E97"/>
    <w:rsid w:val="004B24B2"/>
    <w:rsid w:val="004B2C42"/>
    <w:rsid w:val="004C1DFF"/>
    <w:rsid w:val="004C60A0"/>
    <w:rsid w:val="004C6282"/>
    <w:rsid w:val="004C70AA"/>
    <w:rsid w:val="004C7B2A"/>
    <w:rsid w:val="004D0C26"/>
    <w:rsid w:val="004D1EF8"/>
    <w:rsid w:val="004D3A1C"/>
    <w:rsid w:val="004D4C4B"/>
    <w:rsid w:val="004D6E4C"/>
    <w:rsid w:val="004E2694"/>
    <w:rsid w:val="004F017D"/>
    <w:rsid w:val="004F01AC"/>
    <w:rsid w:val="004F1441"/>
    <w:rsid w:val="004F14B6"/>
    <w:rsid w:val="004F1EE0"/>
    <w:rsid w:val="004F29C2"/>
    <w:rsid w:val="004F31CD"/>
    <w:rsid w:val="00501D49"/>
    <w:rsid w:val="00506931"/>
    <w:rsid w:val="00507ABE"/>
    <w:rsid w:val="005106D4"/>
    <w:rsid w:val="00512E61"/>
    <w:rsid w:val="00512EEE"/>
    <w:rsid w:val="00513E07"/>
    <w:rsid w:val="0052032F"/>
    <w:rsid w:val="005227B8"/>
    <w:rsid w:val="00523110"/>
    <w:rsid w:val="005241BB"/>
    <w:rsid w:val="005243F2"/>
    <w:rsid w:val="00524BDB"/>
    <w:rsid w:val="0052544F"/>
    <w:rsid w:val="00530979"/>
    <w:rsid w:val="005314C7"/>
    <w:rsid w:val="005340E5"/>
    <w:rsid w:val="00535E1E"/>
    <w:rsid w:val="00537859"/>
    <w:rsid w:val="00540752"/>
    <w:rsid w:val="0054226E"/>
    <w:rsid w:val="00543AE4"/>
    <w:rsid w:val="00543FB4"/>
    <w:rsid w:val="005470F4"/>
    <w:rsid w:val="00553E8D"/>
    <w:rsid w:val="00554391"/>
    <w:rsid w:val="005608D8"/>
    <w:rsid w:val="0056145E"/>
    <w:rsid w:val="005649D6"/>
    <w:rsid w:val="00564E12"/>
    <w:rsid w:val="00566984"/>
    <w:rsid w:val="00570227"/>
    <w:rsid w:val="005711E6"/>
    <w:rsid w:val="0057135A"/>
    <w:rsid w:val="00571DEA"/>
    <w:rsid w:val="00573511"/>
    <w:rsid w:val="00573BA6"/>
    <w:rsid w:val="00573C23"/>
    <w:rsid w:val="00576C85"/>
    <w:rsid w:val="00577ABD"/>
    <w:rsid w:val="00580CB5"/>
    <w:rsid w:val="00582FF6"/>
    <w:rsid w:val="0059251B"/>
    <w:rsid w:val="00594D3C"/>
    <w:rsid w:val="00594FE5"/>
    <w:rsid w:val="005952DF"/>
    <w:rsid w:val="00595FC5"/>
    <w:rsid w:val="00596F36"/>
    <w:rsid w:val="005A13D8"/>
    <w:rsid w:val="005A2B63"/>
    <w:rsid w:val="005A6129"/>
    <w:rsid w:val="005A7329"/>
    <w:rsid w:val="005B0008"/>
    <w:rsid w:val="005B18B9"/>
    <w:rsid w:val="005B194B"/>
    <w:rsid w:val="005B1BAB"/>
    <w:rsid w:val="005B26EF"/>
    <w:rsid w:val="005B36E6"/>
    <w:rsid w:val="005B4707"/>
    <w:rsid w:val="005B52ED"/>
    <w:rsid w:val="005B5A5A"/>
    <w:rsid w:val="005B5B43"/>
    <w:rsid w:val="005C20DA"/>
    <w:rsid w:val="005C23E2"/>
    <w:rsid w:val="005C2405"/>
    <w:rsid w:val="005C3BA4"/>
    <w:rsid w:val="005C67C1"/>
    <w:rsid w:val="005C7CE3"/>
    <w:rsid w:val="005C7EBB"/>
    <w:rsid w:val="005D613D"/>
    <w:rsid w:val="005E0079"/>
    <w:rsid w:val="005E12D4"/>
    <w:rsid w:val="005E167E"/>
    <w:rsid w:val="005E1B70"/>
    <w:rsid w:val="005E2B56"/>
    <w:rsid w:val="005E457E"/>
    <w:rsid w:val="005E4EAD"/>
    <w:rsid w:val="005E5CD2"/>
    <w:rsid w:val="005E6DD2"/>
    <w:rsid w:val="005F497F"/>
    <w:rsid w:val="005F6040"/>
    <w:rsid w:val="005F7C07"/>
    <w:rsid w:val="005F7C5F"/>
    <w:rsid w:val="00602B9B"/>
    <w:rsid w:val="00606BF2"/>
    <w:rsid w:val="006079DD"/>
    <w:rsid w:val="006110E4"/>
    <w:rsid w:val="006130CC"/>
    <w:rsid w:val="00613D3F"/>
    <w:rsid w:val="00620AFE"/>
    <w:rsid w:val="00621215"/>
    <w:rsid w:val="006225B7"/>
    <w:rsid w:val="006259A8"/>
    <w:rsid w:val="006331A4"/>
    <w:rsid w:val="0063328D"/>
    <w:rsid w:val="00633C76"/>
    <w:rsid w:val="006354BD"/>
    <w:rsid w:val="00642FF8"/>
    <w:rsid w:val="00643281"/>
    <w:rsid w:val="00645CA5"/>
    <w:rsid w:val="0064632C"/>
    <w:rsid w:val="006478D5"/>
    <w:rsid w:val="006510DE"/>
    <w:rsid w:val="006529AB"/>
    <w:rsid w:val="006530FE"/>
    <w:rsid w:val="00653689"/>
    <w:rsid w:val="0065561E"/>
    <w:rsid w:val="00660FDC"/>
    <w:rsid w:val="00661B62"/>
    <w:rsid w:val="00663BF6"/>
    <w:rsid w:val="006649B6"/>
    <w:rsid w:val="0066720C"/>
    <w:rsid w:val="006705D8"/>
    <w:rsid w:val="00673273"/>
    <w:rsid w:val="00673D0D"/>
    <w:rsid w:val="00675EA3"/>
    <w:rsid w:val="00677615"/>
    <w:rsid w:val="00677B32"/>
    <w:rsid w:val="00681934"/>
    <w:rsid w:val="00683F9A"/>
    <w:rsid w:val="00685299"/>
    <w:rsid w:val="00691073"/>
    <w:rsid w:val="00693B17"/>
    <w:rsid w:val="006A126F"/>
    <w:rsid w:val="006A1BCC"/>
    <w:rsid w:val="006A25C6"/>
    <w:rsid w:val="006A4F1B"/>
    <w:rsid w:val="006A6C39"/>
    <w:rsid w:val="006B17AA"/>
    <w:rsid w:val="006B4C08"/>
    <w:rsid w:val="006B4C15"/>
    <w:rsid w:val="006B5AAC"/>
    <w:rsid w:val="006B6114"/>
    <w:rsid w:val="006B6453"/>
    <w:rsid w:val="006B6711"/>
    <w:rsid w:val="006C4953"/>
    <w:rsid w:val="006C534E"/>
    <w:rsid w:val="006D104F"/>
    <w:rsid w:val="006D17FB"/>
    <w:rsid w:val="006D1ABE"/>
    <w:rsid w:val="006D6AA3"/>
    <w:rsid w:val="006D6D20"/>
    <w:rsid w:val="006D70F9"/>
    <w:rsid w:val="006E2BD4"/>
    <w:rsid w:val="006E7F6E"/>
    <w:rsid w:val="006F1EE3"/>
    <w:rsid w:val="006F6B26"/>
    <w:rsid w:val="006F7318"/>
    <w:rsid w:val="006F75A5"/>
    <w:rsid w:val="007004A5"/>
    <w:rsid w:val="00704EC4"/>
    <w:rsid w:val="00705C73"/>
    <w:rsid w:val="00706300"/>
    <w:rsid w:val="00711A0A"/>
    <w:rsid w:val="00712259"/>
    <w:rsid w:val="00712F83"/>
    <w:rsid w:val="007161C5"/>
    <w:rsid w:val="0071624C"/>
    <w:rsid w:val="00722935"/>
    <w:rsid w:val="00726CC3"/>
    <w:rsid w:val="0073005B"/>
    <w:rsid w:val="00730735"/>
    <w:rsid w:val="00730E59"/>
    <w:rsid w:val="00733006"/>
    <w:rsid w:val="0073408F"/>
    <w:rsid w:val="00734811"/>
    <w:rsid w:val="0073753D"/>
    <w:rsid w:val="007376CF"/>
    <w:rsid w:val="007377AB"/>
    <w:rsid w:val="00740B6D"/>
    <w:rsid w:val="0074435C"/>
    <w:rsid w:val="00744591"/>
    <w:rsid w:val="0074646E"/>
    <w:rsid w:val="0074746D"/>
    <w:rsid w:val="0074779F"/>
    <w:rsid w:val="00751787"/>
    <w:rsid w:val="00753265"/>
    <w:rsid w:val="0075387C"/>
    <w:rsid w:val="00753AC3"/>
    <w:rsid w:val="00755B0C"/>
    <w:rsid w:val="00757708"/>
    <w:rsid w:val="00757723"/>
    <w:rsid w:val="00757DB8"/>
    <w:rsid w:val="007627FB"/>
    <w:rsid w:val="00763A67"/>
    <w:rsid w:val="00765274"/>
    <w:rsid w:val="007654D8"/>
    <w:rsid w:val="00766137"/>
    <w:rsid w:val="00767763"/>
    <w:rsid w:val="007704D8"/>
    <w:rsid w:val="00772A8E"/>
    <w:rsid w:val="00776243"/>
    <w:rsid w:val="00780CE8"/>
    <w:rsid w:val="0078202F"/>
    <w:rsid w:val="007826E9"/>
    <w:rsid w:val="00784B16"/>
    <w:rsid w:val="00784BA9"/>
    <w:rsid w:val="007877F8"/>
    <w:rsid w:val="0079043B"/>
    <w:rsid w:val="007913C9"/>
    <w:rsid w:val="007927AB"/>
    <w:rsid w:val="00794CF0"/>
    <w:rsid w:val="00796262"/>
    <w:rsid w:val="007A1466"/>
    <w:rsid w:val="007A3AA1"/>
    <w:rsid w:val="007A4427"/>
    <w:rsid w:val="007A4C94"/>
    <w:rsid w:val="007A62B2"/>
    <w:rsid w:val="007B5504"/>
    <w:rsid w:val="007B7EF9"/>
    <w:rsid w:val="007C0681"/>
    <w:rsid w:val="007C108C"/>
    <w:rsid w:val="007C1B20"/>
    <w:rsid w:val="007C465C"/>
    <w:rsid w:val="007C5278"/>
    <w:rsid w:val="007C52CE"/>
    <w:rsid w:val="007C63FF"/>
    <w:rsid w:val="007C719A"/>
    <w:rsid w:val="007D00FD"/>
    <w:rsid w:val="007D2102"/>
    <w:rsid w:val="007D701A"/>
    <w:rsid w:val="007E1A17"/>
    <w:rsid w:val="007E3585"/>
    <w:rsid w:val="007E405C"/>
    <w:rsid w:val="007E43E1"/>
    <w:rsid w:val="007E48F8"/>
    <w:rsid w:val="007E5730"/>
    <w:rsid w:val="007E58DB"/>
    <w:rsid w:val="007E72D2"/>
    <w:rsid w:val="007E79BC"/>
    <w:rsid w:val="007E7BE5"/>
    <w:rsid w:val="007F5066"/>
    <w:rsid w:val="00800E02"/>
    <w:rsid w:val="008010E7"/>
    <w:rsid w:val="0080746B"/>
    <w:rsid w:val="00811323"/>
    <w:rsid w:val="008146CC"/>
    <w:rsid w:val="00814A37"/>
    <w:rsid w:val="0081732C"/>
    <w:rsid w:val="008200D7"/>
    <w:rsid w:val="008219C5"/>
    <w:rsid w:val="00824842"/>
    <w:rsid w:val="00826E8B"/>
    <w:rsid w:val="00830049"/>
    <w:rsid w:val="00831DA4"/>
    <w:rsid w:val="00832000"/>
    <w:rsid w:val="00834627"/>
    <w:rsid w:val="00834DEA"/>
    <w:rsid w:val="008356C3"/>
    <w:rsid w:val="00841209"/>
    <w:rsid w:val="00841773"/>
    <w:rsid w:val="00843950"/>
    <w:rsid w:val="00843D26"/>
    <w:rsid w:val="008443E1"/>
    <w:rsid w:val="00846CA9"/>
    <w:rsid w:val="008504C7"/>
    <w:rsid w:val="00850EED"/>
    <w:rsid w:val="0085368A"/>
    <w:rsid w:val="00856BD5"/>
    <w:rsid w:val="00857402"/>
    <w:rsid w:val="00864F58"/>
    <w:rsid w:val="00866F45"/>
    <w:rsid w:val="00867014"/>
    <w:rsid w:val="00867092"/>
    <w:rsid w:val="0086772C"/>
    <w:rsid w:val="00867832"/>
    <w:rsid w:val="00871EA7"/>
    <w:rsid w:val="0087312A"/>
    <w:rsid w:val="00874CCD"/>
    <w:rsid w:val="00875848"/>
    <w:rsid w:val="00880D9D"/>
    <w:rsid w:val="008819BE"/>
    <w:rsid w:val="00883A44"/>
    <w:rsid w:val="00890816"/>
    <w:rsid w:val="0089153D"/>
    <w:rsid w:val="00891982"/>
    <w:rsid w:val="00893039"/>
    <w:rsid w:val="008939DE"/>
    <w:rsid w:val="00893D6F"/>
    <w:rsid w:val="00894ED2"/>
    <w:rsid w:val="0089565D"/>
    <w:rsid w:val="00895A16"/>
    <w:rsid w:val="00895F20"/>
    <w:rsid w:val="00896566"/>
    <w:rsid w:val="008972C4"/>
    <w:rsid w:val="008A2209"/>
    <w:rsid w:val="008A34FA"/>
    <w:rsid w:val="008A5A42"/>
    <w:rsid w:val="008A626A"/>
    <w:rsid w:val="008A6A6D"/>
    <w:rsid w:val="008A7E6C"/>
    <w:rsid w:val="008B0962"/>
    <w:rsid w:val="008B3788"/>
    <w:rsid w:val="008B4022"/>
    <w:rsid w:val="008B40A4"/>
    <w:rsid w:val="008B4340"/>
    <w:rsid w:val="008B4E81"/>
    <w:rsid w:val="008C145A"/>
    <w:rsid w:val="008C155D"/>
    <w:rsid w:val="008C4EB7"/>
    <w:rsid w:val="008C6D80"/>
    <w:rsid w:val="008C6E5E"/>
    <w:rsid w:val="008D2E16"/>
    <w:rsid w:val="008D4601"/>
    <w:rsid w:val="008D656E"/>
    <w:rsid w:val="008D6AC5"/>
    <w:rsid w:val="008E0DB6"/>
    <w:rsid w:val="008E234C"/>
    <w:rsid w:val="008F1C25"/>
    <w:rsid w:val="008F5C38"/>
    <w:rsid w:val="008F5D91"/>
    <w:rsid w:val="008F6D21"/>
    <w:rsid w:val="008F77EB"/>
    <w:rsid w:val="00900563"/>
    <w:rsid w:val="009006E8"/>
    <w:rsid w:val="00901636"/>
    <w:rsid w:val="00901C01"/>
    <w:rsid w:val="009032A5"/>
    <w:rsid w:val="00904A57"/>
    <w:rsid w:val="0090576C"/>
    <w:rsid w:val="00905DE5"/>
    <w:rsid w:val="00906008"/>
    <w:rsid w:val="009069EA"/>
    <w:rsid w:val="00907BD2"/>
    <w:rsid w:val="00912FCB"/>
    <w:rsid w:val="009156F9"/>
    <w:rsid w:val="00915E66"/>
    <w:rsid w:val="0091721B"/>
    <w:rsid w:val="009245C1"/>
    <w:rsid w:val="00925871"/>
    <w:rsid w:val="009318B7"/>
    <w:rsid w:val="009318E5"/>
    <w:rsid w:val="0093448B"/>
    <w:rsid w:val="009414AD"/>
    <w:rsid w:val="009435B2"/>
    <w:rsid w:val="00944C89"/>
    <w:rsid w:val="00946C3F"/>
    <w:rsid w:val="009472B9"/>
    <w:rsid w:val="00947A51"/>
    <w:rsid w:val="00951677"/>
    <w:rsid w:val="00951A04"/>
    <w:rsid w:val="00952E6D"/>
    <w:rsid w:val="00953DEE"/>
    <w:rsid w:val="00954FC5"/>
    <w:rsid w:val="00956905"/>
    <w:rsid w:val="00967457"/>
    <w:rsid w:val="00970FF3"/>
    <w:rsid w:val="0097246A"/>
    <w:rsid w:val="00972E77"/>
    <w:rsid w:val="009755DF"/>
    <w:rsid w:val="00975BCE"/>
    <w:rsid w:val="009812C0"/>
    <w:rsid w:val="00984B6F"/>
    <w:rsid w:val="009876F5"/>
    <w:rsid w:val="00992691"/>
    <w:rsid w:val="00995942"/>
    <w:rsid w:val="00997E48"/>
    <w:rsid w:val="009A028A"/>
    <w:rsid w:val="009A1841"/>
    <w:rsid w:val="009A318C"/>
    <w:rsid w:val="009A4AEB"/>
    <w:rsid w:val="009A673C"/>
    <w:rsid w:val="009A7DDB"/>
    <w:rsid w:val="009B318F"/>
    <w:rsid w:val="009B5928"/>
    <w:rsid w:val="009B6B4C"/>
    <w:rsid w:val="009B7C86"/>
    <w:rsid w:val="009C3E5B"/>
    <w:rsid w:val="009C3FE0"/>
    <w:rsid w:val="009C4A4F"/>
    <w:rsid w:val="009D0608"/>
    <w:rsid w:val="009D10AF"/>
    <w:rsid w:val="009D176F"/>
    <w:rsid w:val="009D5087"/>
    <w:rsid w:val="009D51AE"/>
    <w:rsid w:val="009D5202"/>
    <w:rsid w:val="009D6149"/>
    <w:rsid w:val="009E3586"/>
    <w:rsid w:val="009E414F"/>
    <w:rsid w:val="009E6854"/>
    <w:rsid w:val="009F06FC"/>
    <w:rsid w:val="009F0D17"/>
    <w:rsid w:val="009F1B79"/>
    <w:rsid w:val="009F2FDE"/>
    <w:rsid w:val="009F3781"/>
    <w:rsid w:val="009F558D"/>
    <w:rsid w:val="00A01BF2"/>
    <w:rsid w:val="00A053B0"/>
    <w:rsid w:val="00A05A4A"/>
    <w:rsid w:val="00A07BF3"/>
    <w:rsid w:val="00A11BB7"/>
    <w:rsid w:val="00A12368"/>
    <w:rsid w:val="00A127B2"/>
    <w:rsid w:val="00A14251"/>
    <w:rsid w:val="00A167C2"/>
    <w:rsid w:val="00A20CDA"/>
    <w:rsid w:val="00A31A6E"/>
    <w:rsid w:val="00A3253C"/>
    <w:rsid w:val="00A34E5B"/>
    <w:rsid w:val="00A37984"/>
    <w:rsid w:val="00A40400"/>
    <w:rsid w:val="00A40CDB"/>
    <w:rsid w:val="00A441C3"/>
    <w:rsid w:val="00A470A9"/>
    <w:rsid w:val="00A47DE0"/>
    <w:rsid w:val="00A5010C"/>
    <w:rsid w:val="00A53E82"/>
    <w:rsid w:val="00A56C12"/>
    <w:rsid w:val="00A578E5"/>
    <w:rsid w:val="00A57B79"/>
    <w:rsid w:val="00A611B6"/>
    <w:rsid w:val="00A61587"/>
    <w:rsid w:val="00A61D38"/>
    <w:rsid w:val="00A62DE0"/>
    <w:rsid w:val="00A63109"/>
    <w:rsid w:val="00A635A7"/>
    <w:rsid w:val="00A643DA"/>
    <w:rsid w:val="00A73FAE"/>
    <w:rsid w:val="00A74354"/>
    <w:rsid w:val="00A75985"/>
    <w:rsid w:val="00A80CAB"/>
    <w:rsid w:val="00A82373"/>
    <w:rsid w:val="00A86BF1"/>
    <w:rsid w:val="00A87B47"/>
    <w:rsid w:val="00A90BB8"/>
    <w:rsid w:val="00A91293"/>
    <w:rsid w:val="00A9415D"/>
    <w:rsid w:val="00A97461"/>
    <w:rsid w:val="00AA2344"/>
    <w:rsid w:val="00AA3A00"/>
    <w:rsid w:val="00AA42AB"/>
    <w:rsid w:val="00AA583F"/>
    <w:rsid w:val="00AA5E11"/>
    <w:rsid w:val="00AB3C02"/>
    <w:rsid w:val="00AB5DF4"/>
    <w:rsid w:val="00AB7315"/>
    <w:rsid w:val="00AB7CAB"/>
    <w:rsid w:val="00AC0442"/>
    <w:rsid w:val="00AC13F5"/>
    <w:rsid w:val="00AC4154"/>
    <w:rsid w:val="00AC451E"/>
    <w:rsid w:val="00AC6262"/>
    <w:rsid w:val="00AD0C68"/>
    <w:rsid w:val="00AD3BCD"/>
    <w:rsid w:val="00AD58D7"/>
    <w:rsid w:val="00AD6814"/>
    <w:rsid w:val="00AE0D44"/>
    <w:rsid w:val="00AE2104"/>
    <w:rsid w:val="00AF0453"/>
    <w:rsid w:val="00AF0E65"/>
    <w:rsid w:val="00AF4C84"/>
    <w:rsid w:val="00AF5185"/>
    <w:rsid w:val="00AF5759"/>
    <w:rsid w:val="00AF7952"/>
    <w:rsid w:val="00B00A11"/>
    <w:rsid w:val="00B00F2C"/>
    <w:rsid w:val="00B01118"/>
    <w:rsid w:val="00B020B3"/>
    <w:rsid w:val="00B0296E"/>
    <w:rsid w:val="00B03EA3"/>
    <w:rsid w:val="00B054D5"/>
    <w:rsid w:val="00B07D24"/>
    <w:rsid w:val="00B11952"/>
    <w:rsid w:val="00B1233C"/>
    <w:rsid w:val="00B200D6"/>
    <w:rsid w:val="00B20DFD"/>
    <w:rsid w:val="00B21ED4"/>
    <w:rsid w:val="00B225D3"/>
    <w:rsid w:val="00B22ABF"/>
    <w:rsid w:val="00B22D56"/>
    <w:rsid w:val="00B23C49"/>
    <w:rsid w:val="00B25AEA"/>
    <w:rsid w:val="00B26AD3"/>
    <w:rsid w:val="00B31CA3"/>
    <w:rsid w:val="00B369D7"/>
    <w:rsid w:val="00B40230"/>
    <w:rsid w:val="00B40368"/>
    <w:rsid w:val="00B41CE9"/>
    <w:rsid w:val="00B42032"/>
    <w:rsid w:val="00B431AE"/>
    <w:rsid w:val="00B508AE"/>
    <w:rsid w:val="00B5146A"/>
    <w:rsid w:val="00B526DD"/>
    <w:rsid w:val="00B52E04"/>
    <w:rsid w:val="00B536F5"/>
    <w:rsid w:val="00B551D3"/>
    <w:rsid w:val="00B553CE"/>
    <w:rsid w:val="00B55B48"/>
    <w:rsid w:val="00B6246D"/>
    <w:rsid w:val="00B62A8D"/>
    <w:rsid w:val="00B64221"/>
    <w:rsid w:val="00B70258"/>
    <w:rsid w:val="00B7058D"/>
    <w:rsid w:val="00B705C9"/>
    <w:rsid w:val="00B7262B"/>
    <w:rsid w:val="00B76415"/>
    <w:rsid w:val="00B76A00"/>
    <w:rsid w:val="00B76CB7"/>
    <w:rsid w:val="00B80F53"/>
    <w:rsid w:val="00B833D6"/>
    <w:rsid w:val="00B874C9"/>
    <w:rsid w:val="00B909AC"/>
    <w:rsid w:val="00B92FBA"/>
    <w:rsid w:val="00B941F5"/>
    <w:rsid w:val="00B9485C"/>
    <w:rsid w:val="00BA0677"/>
    <w:rsid w:val="00BA15E0"/>
    <w:rsid w:val="00BA2C5B"/>
    <w:rsid w:val="00BA5448"/>
    <w:rsid w:val="00BA6547"/>
    <w:rsid w:val="00BB0206"/>
    <w:rsid w:val="00BB0F79"/>
    <w:rsid w:val="00BB0F7F"/>
    <w:rsid w:val="00BB3815"/>
    <w:rsid w:val="00BB6C09"/>
    <w:rsid w:val="00BC3D00"/>
    <w:rsid w:val="00BC5519"/>
    <w:rsid w:val="00BC7F24"/>
    <w:rsid w:val="00BD1DD7"/>
    <w:rsid w:val="00BD5183"/>
    <w:rsid w:val="00BD7180"/>
    <w:rsid w:val="00BE034A"/>
    <w:rsid w:val="00BE199D"/>
    <w:rsid w:val="00BE44C0"/>
    <w:rsid w:val="00BE7396"/>
    <w:rsid w:val="00BE78E7"/>
    <w:rsid w:val="00BE7B54"/>
    <w:rsid w:val="00BF18E2"/>
    <w:rsid w:val="00BF2955"/>
    <w:rsid w:val="00C005CF"/>
    <w:rsid w:val="00C00C10"/>
    <w:rsid w:val="00C01A70"/>
    <w:rsid w:val="00C03947"/>
    <w:rsid w:val="00C045E6"/>
    <w:rsid w:val="00C048BB"/>
    <w:rsid w:val="00C04BE7"/>
    <w:rsid w:val="00C053DA"/>
    <w:rsid w:val="00C05746"/>
    <w:rsid w:val="00C05BB9"/>
    <w:rsid w:val="00C05E97"/>
    <w:rsid w:val="00C079AB"/>
    <w:rsid w:val="00C108DE"/>
    <w:rsid w:val="00C118B2"/>
    <w:rsid w:val="00C13C2B"/>
    <w:rsid w:val="00C178F4"/>
    <w:rsid w:val="00C205D4"/>
    <w:rsid w:val="00C205F5"/>
    <w:rsid w:val="00C209D8"/>
    <w:rsid w:val="00C218B6"/>
    <w:rsid w:val="00C22D39"/>
    <w:rsid w:val="00C22F10"/>
    <w:rsid w:val="00C231D0"/>
    <w:rsid w:val="00C245BD"/>
    <w:rsid w:val="00C25645"/>
    <w:rsid w:val="00C305E3"/>
    <w:rsid w:val="00C315B8"/>
    <w:rsid w:val="00C32B55"/>
    <w:rsid w:val="00C470D0"/>
    <w:rsid w:val="00C516BC"/>
    <w:rsid w:val="00C522BF"/>
    <w:rsid w:val="00C53C6B"/>
    <w:rsid w:val="00C56734"/>
    <w:rsid w:val="00C57CE6"/>
    <w:rsid w:val="00C57EEC"/>
    <w:rsid w:val="00C614CC"/>
    <w:rsid w:val="00C62665"/>
    <w:rsid w:val="00C63FEF"/>
    <w:rsid w:val="00C642B4"/>
    <w:rsid w:val="00C66470"/>
    <w:rsid w:val="00C708F6"/>
    <w:rsid w:val="00C7248C"/>
    <w:rsid w:val="00C724C9"/>
    <w:rsid w:val="00C73740"/>
    <w:rsid w:val="00C761A3"/>
    <w:rsid w:val="00C77576"/>
    <w:rsid w:val="00C77711"/>
    <w:rsid w:val="00C8149D"/>
    <w:rsid w:val="00C85BB6"/>
    <w:rsid w:val="00C876EB"/>
    <w:rsid w:val="00C8793C"/>
    <w:rsid w:val="00C91ECF"/>
    <w:rsid w:val="00C92BED"/>
    <w:rsid w:val="00C937EB"/>
    <w:rsid w:val="00C94B1C"/>
    <w:rsid w:val="00CA0498"/>
    <w:rsid w:val="00CA1A68"/>
    <w:rsid w:val="00CA2B22"/>
    <w:rsid w:val="00CA3311"/>
    <w:rsid w:val="00CA3375"/>
    <w:rsid w:val="00CA3982"/>
    <w:rsid w:val="00CA5275"/>
    <w:rsid w:val="00CB04CF"/>
    <w:rsid w:val="00CB0A9A"/>
    <w:rsid w:val="00CB1CA3"/>
    <w:rsid w:val="00CB3507"/>
    <w:rsid w:val="00CB407B"/>
    <w:rsid w:val="00CC0B31"/>
    <w:rsid w:val="00CC1CF3"/>
    <w:rsid w:val="00CC2967"/>
    <w:rsid w:val="00CC3D38"/>
    <w:rsid w:val="00CC3E7A"/>
    <w:rsid w:val="00CC4F24"/>
    <w:rsid w:val="00CC5FB8"/>
    <w:rsid w:val="00CC6033"/>
    <w:rsid w:val="00CC63B1"/>
    <w:rsid w:val="00CC6AD8"/>
    <w:rsid w:val="00CC6B2B"/>
    <w:rsid w:val="00CD1C13"/>
    <w:rsid w:val="00CD4405"/>
    <w:rsid w:val="00CD7B8C"/>
    <w:rsid w:val="00CE2C83"/>
    <w:rsid w:val="00CE31F8"/>
    <w:rsid w:val="00CE598A"/>
    <w:rsid w:val="00CE7E35"/>
    <w:rsid w:val="00CF0886"/>
    <w:rsid w:val="00CF2778"/>
    <w:rsid w:val="00CF357E"/>
    <w:rsid w:val="00D02DF3"/>
    <w:rsid w:val="00D04113"/>
    <w:rsid w:val="00D04EAF"/>
    <w:rsid w:val="00D05F04"/>
    <w:rsid w:val="00D07440"/>
    <w:rsid w:val="00D153C3"/>
    <w:rsid w:val="00D16C4F"/>
    <w:rsid w:val="00D2216D"/>
    <w:rsid w:val="00D23643"/>
    <w:rsid w:val="00D24385"/>
    <w:rsid w:val="00D26036"/>
    <w:rsid w:val="00D26B47"/>
    <w:rsid w:val="00D276D1"/>
    <w:rsid w:val="00D31035"/>
    <w:rsid w:val="00D340ED"/>
    <w:rsid w:val="00D34B31"/>
    <w:rsid w:val="00D34DA9"/>
    <w:rsid w:val="00D37EC9"/>
    <w:rsid w:val="00D40078"/>
    <w:rsid w:val="00D404DA"/>
    <w:rsid w:val="00D40647"/>
    <w:rsid w:val="00D449F1"/>
    <w:rsid w:val="00D44ED4"/>
    <w:rsid w:val="00D51E2E"/>
    <w:rsid w:val="00D51EDD"/>
    <w:rsid w:val="00D53AC3"/>
    <w:rsid w:val="00D562D9"/>
    <w:rsid w:val="00D5681B"/>
    <w:rsid w:val="00D57130"/>
    <w:rsid w:val="00D60206"/>
    <w:rsid w:val="00D61114"/>
    <w:rsid w:val="00D655FB"/>
    <w:rsid w:val="00D66057"/>
    <w:rsid w:val="00D67CC6"/>
    <w:rsid w:val="00D70046"/>
    <w:rsid w:val="00D70DF9"/>
    <w:rsid w:val="00D717E8"/>
    <w:rsid w:val="00D71D60"/>
    <w:rsid w:val="00D726F9"/>
    <w:rsid w:val="00D751DE"/>
    <w:rsid w:val="00D75A3D"/>
    <w:rsid w:val="00D77F7E"/>
    <w:rsid w:val="00D77F82"/>
    <w:rsid w:val="00D81257"/>
    <w:rsid w:val="00D83CE3"/>
    <w:rsid w:val="00D84547"/>
    <w:rsid w:val="00D86ADB"/>
    <w:rsid w:val="00D87BA4"/>
    <w:rsid w:val="00D90746"/>
    <w:rsid w:val="00D92244"/>
    <w:rsid w:val="00D961D1"/>
    <w:rsid w:val="00D9634A"/>
    <w:rsid w:val="00DA036C"/>
    <w:rsid w:val="00DA2301"/>
    <w:rsid w:val="00DA24D3"/>
    <w:rsid w:val="00DA36CF"/>
    <w:rsid w:val="00DA3F56"/>
    <w:rsid w:val="00DA552C"/>
    <w:rsid w:val="00DA757C"/>
    <w:rsid w:val="00DB0286"/>
    <w:rsid w:val="00DB0E48"/>
    <w:rsid w:val="00DB2FCF"/>
    <w:rsid w:val="00DB40F6"/>
    <w:rsid w:val="00DB7A8C"/>
    <w:rsid w:val="00DC067D"/>
    <w:rsid w:val="00DC1088"/>
    <w:rsid w:val="00DC2682"/>
    <w:rsid w:val="00DC28EC"/>
    <w:rsid w:val="00DC3DCA"/>
    <w:rsid w:val="00DC6657"/>
    <w:rsid w:val="00DC77BE"/>
    <w:rsid w:val="00DD34D2"/>
    <w:rsid w:val="00DD68B6"/>
    <w:rsid w:val="00DD7A90"/>
    <w:rsid w:val="00DE44C0"/>
    <w:rsid w:val="00DE4FA2"/>
    <w:rsid w:val="00DE611D"/>
    <w:rsid w:val="00DE6E16"/>
    <w:rsid w:val="00DF0EF8"/>
    <w:rsid w:val="00DF1134"/>
    <w:rsid w:val="00DF36E7"/>
    <w:rsid w:val="00DF3B11"/>
    <w:rsid w:val="00DF5437"/>
    <w:rsid w:val="00DF6850"/>
    <w:rsid w:val="00DF7E46"/>
    <w:rsid w:val="00E01650"/>
    <w:rsid w:val="00E01C67"/>
    <w:rsid w:val="00E029AD"/>
    <w:rsid w:val="00E02E4A"/>
    <w:rsid w:val="00E02F83"/>
    <w:rsid w:val="00E05C6E"/>
    <w:rsid w:val="00E06DA0"/>
    <w:rsid w:val="00E071E3"/>
    <w:rsid w:val="00E13185"/>
    <w:rsid w:val="00E13406"/>
    <w:rsid w:val="00E147B5"/>
    <w:rsid w:val="00E1688F"/>
    <w:rsid w:val="00E16F62"/>
    <w:rsid w:val="00E20F6B"/>
    <w:rsid w:val="00E2413D"/>
    <w:rsid w:val="00E263DF"/>
    <w:rsid w:val="00E26ADE"/>
    <w:rsid w:val="00E27C8B"/>
    <w:rsid w:val="00E331CC"/>
    <w:rsid w:val="00E33871"/>
    <w:rsid w:val="00E4101B"/>
    <w:rsid w:val="00E4112D"/>
    <w:rsid w:val="00E415A8"/>
    <w:rsid w:val="00E41959"/>
    <w:rsid w:val="00E43E19"/>
    <w:rsid w:val="00E441AF"/>
    <w:rsid w:val="00E4493B"/>
    <w:rsid w:val="00E45E63"/>
    <w:rsid w:val="00E47127"/>
    <w:rsid w:val="00E505D9"/>
    <w:rsid w:val="00E51E8D"/>
    <w:rsid w:val="00E53F57"/>
    <w:rsid w:val="00E5773C"/>
    <w:rsid w:val="00E57DFD"/>
    <w:rsid w:val="00E6339D"/>
    <w:rsid w:val="00E655B5"/>
    <w:rsid w:val="00E65E36"/>
    <w:rsid w:val="00E67D48"/>
    <w:rsid w:val="00E7074E"/>
    <w:rsid w:val="00E70BDE"/>
    <w:rsid w:val="00E72178"/>
    <w:rsid w:val="00E72F0F"/>
    <w:rsid w:val="00E7474C"/>
    <w:rsid w:val="00E76080"/>
    <w:rsid w:val="00E76E29"/>
    <w:rsid w:val="00E77A07"/>
    <w:rsid w:val="00E80B85"/>
    <w:rsid w:val="00E81616"/>
    <w:rsid w:val="00E82A36"/>
    <w:rsid w:val="00E83A63"/>
    <w:rsid w:val="00E83AC6"/>
    <w:rsid w:val="00E848CA"/>
    <w:rsid w:val="00E85E96"/>
    <w:rsid w:val="00E8695A"/>
    <w:rsid w:val="00E87DFA"/>
    <w:rsid w:val="00E91FF2"/>
    <w:rsid w:val="00E9438B"/>
    <w:rsid w:val="00EA09D3"/>
    <w:rsid w:val="00EA1171"/>
    <w:rsid w:val="00EA1448"/>
    <w:rsid w:val="00EA2423"/>
    <w:rsid w:val="00EA2B5F"/>
    <w:rsid w:val="00EB0A35"/>
    <w:rsid w:val="00EB28D1"/>
    <w:rsid w:val="00EB5058"/>
    <w:rsid w:val="00EB71EB"/>
    <w:rsid w:val="00EC233D"/>
    <w:rsid w:val="00EC2567"/>
    <w:rsid w:val="00EC3AD4"/>
    <w:rsid w:val="00EC3E77"/>
    <w:rsid w:val="00EC3F97"/>
    <w:rsid w:val="00EC4283"/>
    <w:rsid w:val="00EC6C05"/>
    <w:rsid w:val="00EC7850"/>
    <w:rsid w:val="00ED3052"/>
    <w:rsid w:val="00ED311D"/>
    <w:rsid w:val="00ED5785"/>
    <w:rsid w:val="00ED57BD"/>
    <w:rsid w:val="00ED7638"/>
    <w:rsid w:val="00EE03E3"/>
    <w:rsid w:val="00EE0A82"/>
    <w:rsid w:val="00EE79A2"/>
    <w:rsid w:val="00EF1D90"/>
    <w:rsid w:val="00EF235A"/>
    <w:rsid w:val="00EF2D1A"/>
    <w:rsid w:val="00EF4755"/>
    <w:rsid w:val="00EF4931"/>
    <w:rsid w:val="00EF4EB1"/>
    <w:rsid w:val="00EF581D"/>
    <w:rsid w:val="00F00C41"/>
    <w:rsid w:val="00F02DD4"/>
    <w:rsid w:val="00F052A3"/>
    <w:rsid w:val="00F06CDA"/>
    <w:rsid w:val="00F0798F"/>
    <w:rsid w:val="00F07D08"/>
    <w:rsid w:val="00F103FA"/>
    <w:rsid w:val="00F14556"/>
    <w:rsid w:val="00F15777"/>
    <w:rsid w:val="00F213BD"/>
    <w:rsid w:val="00F21492"/>
    <w:rsid w:val="00F21AA2"/>
    <w:rsid w:val="00F22F01"/>
    <w:rsid w:val="00F244E4"/>
    <w:rsid w:val="00F27A17"/>
    <w:rsid w:val="00F30B87"/>
    <w:rsid w:val="00F32C80"/>
    <w:rsid w:val="00F351C7"/>
    <w:rsid w:val="00F35677"/>
    <w:rsid w:val="00F40ACB"/>
    <w:rsid w:val="00F41523"/>
    <w:rsid w:val="00F41614"/>
    <w:rsid w:val="00F41E9D"/>
    <w:rsid w:val="00F428B4"/>
    <w:rsid w:val="00F47439"/>
    <w:rsid w:val="00F5321D"/>
    <w:rsid w:val="00F53CFE"/>
    <w:rsid w:val="00F568FB"/>
    <w:rsid w:val="00F56FDA"/>
    <w:rsid w:val="00F6179E"/>
    <w:rsid w:val="00F64DFA"/>
    <w:rsid w:val="00F6610F"/>
    <w:rsid w:val="00F70B77"/>
    <w:rsid w:val="00F72FC8"/>
    <w:rsid w:val="00F75089"/>
    <w:rsid w:val="00F8422D"/>
    <w:rsid w:val="00F8446E"/>
    <w:rsid w:val="00F85E60"/>
    <w:rsid w:val="00F863BA"/>
    <w:rsid w:val="00F91B05"/>
    <w:rsid w:val="00F92A9B"/>
    <w:rsid w:val="00F933A9"/>
    <w:rsid w:val="00F9375B"/>
    <w:rsid w:val="00F95D44"/>
    <w:rsid w:val="00F95F07"/>
    <w:rsid w:val="00FA15D1"/>
    <w:rsid w:val="00FA3CC9"/>
    <w:rsid w:val="00FA69E4"/>
    <w:rsid w:val="00FA748D"/>
    <w:rsid w:val="00FA7796"/>
    <w:rsid w:val="00FB41A1"/>
    <w:rsid w:val="00FB499A"/>
    <w:rsid w:val="00FB5873"/>
    <w:rsid w:val="00FC0838"/>
    <w:rsid w:val="00FC2115"/>
    <w:rsid w:val="00FC2A1B"/>
    <w:rsid w:val="00FC3163"/>
    <w:rsid w:val="00FC4793"/>
    <w:rsid w:val="00FC4D32"/>
    <w:rsid w:val="00FC52E8"/>
    <w:rsid w:val="00FC7AA5"/>
    <w:rsid w:val="00FD4D3E"/>
    <w:rsid w:val="00FD531B"/>
    <w:rsid w:val="00FD58A0"/>
    <w:rsid w:val="00FD6902"/>
    <w:rsid w:val="00FD7BAB"/>
    <w:rsid w:val="00FE0069"/>
    <w:rsid w:val="00FE0E7F"/>
    <w:rsid w:val="00FE36A1"/>
    <w:rsid w:val="00FE3957"/>
    <w:rsid w:val="00FE6A25"/>
    <w:rsid w:val="00FF11E5"/>
    <w:rsid w:val="00FF1986"/>
    <w:rsid w:val="00FF227E"/>
    <w:rsid w:val="00FF29BC"/>
    <w:rsid w:val="00FF4722"/>
    <w:rsid w:val="00FF7F8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8194"/>
    <o:shapelayout v:ext="edit">
      <o:idmap v:ext="edit" data="1"/>
      <o:rules v:ext="edit">
        <o:r id="V:Rule13" type="connector" idref="#_x0000_s1048"/>
        <o:r id="V:Rule14" type="connector" idref="#_x0000_s1032"/>
        <o:r id="V:Rule15" type="connector" idref="#_x0000_s1031"/>
        <o:r id="V:Rule16" type="connector" idref="#_x0000_s1049"/>
        <o:r id="V:Rule17" type="connector" idref="#_x0000_s1046"/>
        <o:r id="V:Rule18" type="connector" idref="#_x0000_s1039"/>
        <o:r id="V:Rule19" type="connector" idref="#_x0000_s1040"/>
        <o:r id="V:Rule20" type="connector" idref="#_x0000_s1030"/>
        <o:r id="V:Rule21" type="connector" idref="#_x0000_s1041"/>
        <o:r id="V:Rule22" type="connector" idref="#_x0000_s1038"/>
        <o:r id="V:Rule23" type="connector" idref="#_x0000_s1033"/>
        <o:r id="V:Rule2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8793C"/>
    <w:pPr>
      <w:widowControl w:val="0"/>
      <w:jc w:val="both"/>
    </w:pPr>
    <w:rPr>
      <w:kern w:val="2"/>
      <w:sz w:val="21"/>
      <w:szCs w:val="21"/>
    </w:rPr>
  </w:style>
  <w:style w:type="paragraph" w:styleId="1">
    <w:name w:val="heading 1"/>
    <w:basedOn w:val="a"/>
    <w:next w:val="a"/>
    <w:link w:val="1Char"/>
    <w:uiPriority w:val="99"/>
    <w:qFormat/>
    <w:rsid w:val="00CA3982"/>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CA3982"/>
    <w:pPr>
      <w:keepNext/>
      <w:keepLines/>
      <w:spacing w:before="260" w:after="260" w:line="416" w:lineRule="auto"/>
      <w:outlineLvl w:val="1"/>
    </w:pPr>
    <w:rPr>
      <w:rFonts w:ascii="Arial" w:eastAsia="黑体" w:hAnsi="Arial" w:cs="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85498A"/>
    <w:rPr>
      <w:b/>
      <w:bCs/>
      <w:kern w:val="44"/>
      <w:sz w:val="44"/>
      <w:szCs w:val="44"/>
    </w:rPr>
  </w:style>
  <w:style w:type="character" w:customStyle="1" w:styleId="2Char">
    <w:name w:val="标题 2 Char"/>
    <w:basedOn w:val="a0"/>
    <w:link w:val="2"/>
    <w:uiPriority w:val="9"/>
    <w:semiHidden/>
    <w:rsid w:val="0085498A"/>
    <w:rPr>
      <w:rFonts w:ascii="Cambria" w:eastAsia="宋体" w:hAnsi="Cambria" w:cs="Times New Roman"/>
      <w:b/>
      <w:bCs/>
      <w:sz w:val="32"/>
      <w:szCs w:val="32"/>
    </w:rPr>
  </w:style>
  <w:style w:type="paragraph" w:styleId="a3">
    <w:name w:val="header"/>
    <w:basedOn w:val="a"/>
    <w:link w:val="Char"/>
    <w:rsid w:val="00CA39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5498A"/>
    <w:rPr>
      <w:sz w:val="18"/>
      <w:szCs w:val="18"/>
    </w:rPr>
  </w:style>
  <w:style w:type="paragraph" w:customStyle="1" w:styleId="Char0">
    <w:name w:val="Char"/>
    <w:basedOn w:val="a"/>
    <w:uiPriority w:val="99"/>
    <w:rsid w:val="00CA3982"/>
  </w:style>
  <w:style w:type="table" w:styleId="a4">
    <w:name w:val="Table Grid"/>
    <w:basedOn w:val="a1"/>
    <w:rsid w:val="00C05E9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413D"/>
    <w:pPr>
      <w:widowControl w:val="0"/>
      <w:autoSpaceDE w:val="0"/>
      <w:autoSpaceDN w:val="0"/>
      <w:adjustRightInd w:val="0"/>
    </w:pPr>
    <w:rPr>
      <w:color w:val="000000"/>
      <w:sz w:val="24"/>
      <w:szCs w:val="24"/>
    </w:rPr>
  </w:style>
  <w:style w:type="paragraph" w:customStyle="1" w:styleId="CharCharChar">
    <w:name w:val="Char Char Char"/>
    <w:basedOn w:val="a"/>
    <w:uiPriority w:val="99"/>
    <w:rsid w:val="00E2413D"/>
    <w:pPr>
      <w:widowControl/>
      <w:spacing w:after="160" w:line="240" w:lineRule="exact"/>
      <w:jc w:val="left"/>
    </w:pPr>
    <w:rPr>
      <w:rFonts w:ascii="Verdana" w:hAnsi="Verdana" w:cs="Verdana"/>
      <w:kern w:val="0"/>
      <w:sz w:val="20"/>
      <w:szCs w:val="20"/>
      <w:lang w:eastAsia="en-US"/>
    </w:rPr>
  </w:style>
  <w:style w:type="paragraph" w:customStyle="1" w:styleId="SubTitleLargeTable">
    <w:name w:val="SubTitleLargeTable"/>
    <w:rsid w:val="00832000"/>
    <w:pPr>
      <w:keepNext/>
      <w:pBdr>
        <w:top w:val="single" w:sz="8" w:space="1" w:color="FF0000"/>
      </w:pBdr>
      <w:suppressAutoHyphens/>
      <w:spacing w:after="40" w:line="240" w:lineRule="atLeast"/>
    </w:pPr>
    <w:rPr>
      <w:rFonts w:ascii="LucidaSans" w:hAnsi="LucidaSans" w:cs="LucidaSans"/>
      <w:b/>
      <w:bCs/>
      <w:sz w:val="18"/>
      <w:szCs w:val="18"/>
      <w:lang w:val="en-GB"/>
    </w:rPr>
  </w:style>
  <w:style w:type="paragraph" w:customStyle="1" w:styleId="TitleLargeTable">
    <w:name w:val="TitleLargeTable"/>
    <w:next w:val="SubTitleLargeTable"/>
    <w:rsid w:val="00832000"/>
    <w:pPr>
      <w:keepNext/>
      <w:suppressAutoHyphens/>
      <w:spacing w:after="40" w:line="200" w:lineRule="atLeast"/>
    </w:pPr>
    <w:rPr>
      <w:rFonts w:ascii="LucidaSans" w:hAnsi="LucidaSans" w:cs="LucidaSans"/>
      <w:sz w:val="16"/>
      <w:szCs w:val="16"/>
      <w:lang w:val="en-GB"/>
    </w:rPr>
  </w:style>
  <w:style w:type="paragraph" w:customStyle="1" w:styleId="SourceLarge">
    <w:name w:val="SourceLarge"/>
    <w:rsid w:val="00832000"/>
    <w:pPr>
      <w:tabs>
        <w:tab w:val="left" w:pos="5216"/>
        <w:tab w:val="right" w:pos="9866"/>
      </w:tabs>
      <w:suppressAutoHyphens/>
      <w:spacing w:line="160" w:lineRule="atLeast"/>
    </w:pPr>
    <w:rPr>
      <w:rFonts w:ascii="LucidaSans" w:hAnsi="LucidaSans" w:cs="LucidaSans"/>
      <w:sz w:val="12"/>
      <w:szCs w:val="12"/>
      <w:lang w:val="en-GB"/>
    </w:rPr>
  </w:style>
  <w:style w:type="paragraph" w:customStyle="1" w:styleId="FootnoteNoline">
    <w:name w:val="FootnoteNoline"/>
    <w:basedOn w:val="a"/>
    <w:next w:val="a5"/>
    <w:uiPriority w:val="99"/>
    <w:rsid w:val="00832000"/>
    <w:pPr>
      <w:widowControl/>
      <w:tabs>
        <w:tab w:val="right" w:pos="10065"/>
      </w:tabs>
      <w:spacing w:before="40" w:after="160"/>
      <w:ind w:left="2552"/>
    </w:pPr>
    <w:rPr>
      <w:rFonts w:ascii="LucidaSans" w:hAnsi="LucidaSans" w:cs="LucidaSans"/>
      <w:color w:val="0000FF"/>
      <w:kern w:val="0"/>
      <w:sz w:val="14"/>
      <w:szCs w:val="14"/>
      <w:lang w:val="en-GB"/>
    </w:rPr>
  </w:style>
  <w:style w:type="paragraph" w:styleId="a5">
    <w:name w:val="Body Text"/>
    <w:basedOn w:val="a"/>
    <w:link w:val="Char1"/>
    <w:uiPriority w:val="99"/>
    <w:rsid w:val="00832000"/>
    <w:pPr>
      <w:spacing w:after="120"/>
    </w:pPr>
  </w:style>
  <w:style w:type="character" w:customStyle="1" w:styleId="Char1">
    <w:name w:val="正文文本 Char"/>
    <w:basedOn w:val="a0"/>
    <w:link w:val="a5"/>
    <w:uiPriority w:val="99"/>
    <w:rsid w:val="0085498A"/>
    <w:rPr>
      <w:szCs w:val="21"/>
    </w:rPr>
  </w:style>
  <w:style w:type="paragraph" w:styleId="a6">
    <w:name w:val="Date"/>
    <w:basedOn w:val="a"/>
    <w:next w:val="a"/>
    <w:link w:val="Char2"/>
    <w:uiPriority w:val="99"/>
    <w:rsid w:val="00A20CDA"/>
    <w:pPr>
      <w:ind w:leftChars="2500" w:left="100"/>
    </w:pPr>
  </w:style>
  <w:style w:type="character" w:customStyle="1" w:styleId="Char2">
    <w:name w:val="日期 Char"/>
    <w:basedOn w:val="a0"/>
    <w:link w:val="a6"/>
    <w:uiPriority w:val="99"/>
    <w:semiHidden/>
    <w:rsid w:val="0085498A"/>
    <w:rPr>
      <w:szCs w:val="21"/>
    </w:rPr>
  </w:style>
  <w:style w:type="paragraph" w:styleId="10">
    <w:name w:val="toc 1"/>
    <w:basedOn w:val="a"/>
    <w:next w:val="a"/>
    <w:autoRedefine/>
    <w:uiPriority w:val="39"/>
    <w:rsid w:val="004D0C26"/>
    <w:pPr>
      <w:tabs>
        <w:tab w:val="left" w:pos="1050"/>
        <w:tab w:val="right" w:leader="dot" w:pos="9170"/>
      </w:tabs>
    </w:pPr>
  </w:style>
  <w:style w:type="character" w:styleId="a7">
    <w:name w:val="Hyperlink"/>
    <w:basedOn w:val="a0"/>
    <w:uiPriority w:val="99"/>
    <w:rsid w:val="00B92FBA"/>
    <w:rPr>
      <w:color w:val="0000FF"/>
      <w:u w:val="single"/>
    </w:rPr>
  </w:style>
  <w:style w:type="paragraph" w:styleId="20">
    <w:name w:val="toc 2"/>
    <w:basedOn w:val="a"/>
    <w:next w:val="a"/>
    <w:autoRedefine/>
    <w:uiPriority w:val="99"/>
    <w:semiHidden/>
    <w:rsid w:val="00044BCF"/>
    <w:pPr>
      <w:ind w:leftChars="200" w:left="420"/>
    </w:pPr>
  </w:style>
  <w:style w:type="paragraph" w:styleId="a8">
    <w:name w:val="caption"/>
    <w:basedOn w:val="a"/>
    <w:next w:val="a"/>
    <w:qFormat/>
    <w:rsid w:val="00284FCA"/>
    <w:rPr>
      <w:rFonts w:ascii="Arial" w:eastAsia="黑体" w:hAnsi="Arial" w:cs="Arial"/>
      <w:sz w:val="20"/>
      <w:szCs w:val="20"/>
    </w:rPr>
  </w:style>
  <w:style w:type="paragraph" w:styleId="a9">
    <w:name w:val="table of figures"/>
    <w:basedOn w:val="a"/>
    <w:next w:val="a"/>
    <w:uiPriority w:val="99"/>
    <w:semiHidden/>
    <w:rsid w:val="00284FCA"/>
    <w:pPr>
      <w:ind w:leftChars="200" w:left="200" w:hangingChars="200" w:hanging="200"/>
    </w:pPr>
  </w:style>
  <w:style w:type="paragraph" w:styleId="aa">
    <w:name w:val="footer"/>
    <w:basedOn w:val="a"/>
    <w:link w:val="Char3"/>
    <w:uiPriority w:val="99"/>
    <w:rsid w:val="00A97461"/>
    <w:pPr>
      <w:tabs>
        <w:tab w:val="center" w:pos="4153"/>
        <w:tab w:val="right" w:pos="8306"/>
      </w:tabs>
      <w:snapToGrid w:val="0"/>
      <w:jc w:val="left"/>
    </w:pPr>
    <w:rPr>
      <w:sz w:val="18"/>
      <w:szCs w:val="18"/>
    </w:rPr>
  </w:style>
  <w:style w:type="character" w:customStyle="1" w:styleId="Char3">
    <w:name w:val="页脚 Char"/>
    <w:basedOn w:val="a0"/>
    <w:link w:val="aa"/>
    <w:uiPriority w:val="99"/>
    <w:locked/>
    <w:rsid w:val="00C00C10"/>
    <w:rPr>
      <w:kern w:val="2"/>
      <w:sz w:val="18"/>
      <w:szCs w:val="18"/>
    </w:rPr>
  </w:style>
  <w:style w:type="character" w:styleId="ab">
    <w:name w:val="page number"/>
    <w:basedOn w:val="a0"/>
    <w:uiPriority w:val="99"/>
    <w:rsid w:val="00A97461"/>
  </w:style>
  <w:style w:type="table" w:styleId="11">
    <w:name w:val="Table Simple 1"/>
    <w:basedOn w:val="a1"/>
    <w:uiPriority w:val="99"/>
    <w:rsid w:val="00757708"/>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B1">
    <w:name w:val="B1内文图表标题"/>
    <w:basedOn w:val="a"/>
    <w:uiPriority w:val="99"/>
    <w:rsid w:val="006649B6"/>
    <w:pPr>
      <w:spacing w:line="240" w:lineRule="exact"/>
    </w:pPr>
    <w:rPr>
      <w:rFonts w:ascii="Arial" w:eastAsia="楷体_GB2312" w:hAnsi="Arial" w:cs="Arial"/>
      <w:b/>
      <w:bCs/>
      <w:spacing w:val="-4"/>
      <w:sz w:val="18"/>
      <w:szCs w:val="18"/>
    </w:rPr>
  </w:style>
  <w:style w:type="paragraph" w:customStyle="1" w:styleId="B4">
    <w:name w:val="B4内文图表脚注"/>
    <w:basedOn w:val="a"/>
    <w:uiPriority w:val="99"/>
    <w:rsid w:val="006649B6"/>
    <w:rPr>
      <w:rFonts w:eastAsia="楷体_GB2312"/>
      <w:color w:val="000000"/>
      <w:sz w:val="15"/>
      <w:szCs w:val="15"/>
    </w:rPr>
  </w:style>
  <w:style w:type="paragraph" w:customStyle="1" w:styleId="B10">
    <w:name w:val="B1内文表格标题"/>
    <w:basedOn w:val="a"/>
    <w:uiPriority w:val="99"/>
    <w:rsid w:val="006649B6"/>
    <w:rPr>
      <w:rFonts w:eastAsia="楷体_GB2312"/>
      <w:b/>
      <w:bCs/>
      <w:spacing w:val="-4"/>
    </w:rPr>
  </w:style>
  <w:style w:type="paragraph" w:customStyle="1" w:styleId="4">
    <w:name w:val="4银河_正文"/>
    <w:basedOn w:val="a"/>
    <w:link w:val="4Char"/>
    <w:uiPriority w:val="99"/>
    <w:rsid w:val="008A6A6D"/>
    <w:pPr>
      <w:tabs>
        <w:tab w:val="right" w:pos="7200"/>
      </w:tabs>
      <w:spacing w:afterLines="50"/>
      <w:ind w:rightChars="1000" w:right="1000" w:firstLineChars="200" w:firstLine="200"/>
    </w:pPr>
    <w:rPr>
      <w:rFonts w:eastAsia="楷体_GB2312"/>
      <w:color w:val="13007C"/>
      <w:sz w:val="20"/>
      <w:szCs w:val="20"/>
    </w:rPr>
  </w:style>
  <w:style w:type="character" w:customStyle="1" w:styleId="4Char">
    <w:name w:val="4银河_正文 Char"/>
    <w:basedOn w:val="a0"/>
    <w:link w:val="4"/>
    <w:uiPriority w:val="99"/>
    <w:locked/>
    <w:rsid w:val="008A6A6D"/>
    <w:rPr>
      <w:rFonts w:eastAsia="楷体_GB2312"/>
      <w:color w:val="13007C"/>
      <w:kern w:val="2"/>
      <w:lang w:val="en-US" w:eastAsia="zh-CN"/>
    </w:rPr>
  </w:style>
  <w:style w:type="paragraph" w:customStyle="1" w:styleId="5">
    <w:name w:val="5银河_图表标题"/>
    <w:basedOn w:val="a"/>
    <w:link w:val="5Char"/>
    <w:uiPriority w:val="99"/>
    <w:rsid w:val="008A6A6D"/>
    <w:rPr>
      <w:rFonts w:eastAsia="楷体_GB2312"/>
      <w:b/>
      <w:bCs/>
      <w:color w:val="13007C"/>
      <w:sz w:val="18"/>
      <w:szCs w:val="18"/>
    </w:rPr>
  </w:style>
  <w:style w:type="character" w:customStyle="1" w:styleId="5Char">
    <w:name w:val="5银河_图表标题 Char"/>
    <w:basedOn w:val="a0"/>
    <w:link w:val="5"/>
    <w:uiPriority w:val="99"/>
    <w:locked/>
    <w:rsid w:val="008A6A6D"/>
    <w:rPr>
      <w:rFonts w:eastAsia="楷体_GB2312"/>
      <w:b/>
      <w:bCs/>
      <w:color w:val="13007C"/>
      <w:kern w:val="2"/>
      <w:sz w:val="18"/>
      <w:szCs w:val="18"/>
      <w:lang w:val="en-US" w:eastAsia="zh-CN"/>
    </w:rPr>
  </w:style>
  <w:style w:type="paragraph" w:customStyle="1" w:styleId="00">
    <w:name w:val="00中信_封面_内容项目号"/>
    <w:basedOn w:val="a"/>
    <w:uiPriority w:val="99"/>
    <w:rsid w:val="00843950"/>
    <w:pPr>
      <w:numPr>
        <w:numId w:val="1"/>
      </w:numPr>
      <w:spacing w:after="160"/>
    </w:pPr>
    <w:rPr>
      <w:color w:val="003366"/>
      <w:sz w:val="20"/>
      <w:szCs w:val="20"/>
    </w:rPr>
  </w:style>
  <w:style w:type="paragraph" w:customStyle="1" w:styleId="09">
    <w:name w:val="09中信_图表标题"/>
    <w:basedOn w:val="a"/>
    <w:uiPriority w:val="99"/>
    <w:rsid w:val="00843950"/>
    <w:pPr>
      <w:spacing w:after="40"/>
      <w:jc w:val="left"/>
    </w:pPr>
    <w:rPr>
      <w:b/>
      <w:bCs/>
      <w:color w:val="003366"/>
      <w:sz w:val="20"/>
      <w:szCs w:val="20"/>
    </w:rPr>
  </w:style>
  <w:style w:type="paragraph" w:customStyle="1" w:styleId="text">
    <w:name w:val="text"/>
    <w:basedOn w:val="a"/>
    <w:uiPriority w:val="99"/>
    <w:rsid w:val="00E26ADE"/>
    <w:pPr>
      <w:widowControl/>
      <w:spacing w:before="100" w:beforeAutospacing="1" w:after="100" w:afterAutospacing="1"/>
      <w:jc w:val="left"/>
    </w:pPr>
    <w:rPr>
      <w:rFonts w:ascii="宋体" w:hAnsi="宋体" w:cs="宋体"/>
      <w:kern w:val="0"/>
      <w:sz w:val="24"/>
      <w:szCs w:val="24"/>
    </w:rPr>
  </w:style>
  <w:style w:type="paragraph" w:styleId="ac">
    <w:name w:val="List Paragraph"/>
    <w:basedOn w:val="a"/>
    <w:uiPriority w:val="34"/>
    <w:qFormat/>
    <w:rsid w:val="00A61587"/>
    <w:pPr>
      <w:ind w:firstLineChars="200" w:firstLine="420"/>
    </w:pPr>
    <w:rPr>
      <w:rFonts w:ascii="Calibri" w:hAnsi="Calibri" w:cs="Calibri"/>
    </w:rPr>
  </w:style>
  <w:style w:type="paragraph" w:customStyle="1" w:styleId="05">
    <w:name w:val="05内页正文"/>
    <w:link w:val="05CharChar"/>
    <w:uiPriority w:val="99"/>
    <w:rsid w:val="00A61587"/>
    <w:pPr>
      <w:adjustRightInd w:val="0"/>
      <w:snapToGrid w:val="0"/>
      <w:spacing w:before="40" w:after="200" w:line="280" w:lineRule="exact"/>
      <w:ind w:firstLineChars="200" w:firstLine="400"/>
      <w:jc w:val="both"/>
    </w:pPr>
    <w:rPr>
      <w:rFonts w:hAnsi="宋体"/>
      <w:color w:val="003366"/>
      <w:kern w:val="2"/>
    </w:rPr>
  </w:style>
  <w:style w:type="character" w:customStyle="1" w:styleId="05CharChar">
    <w:name w:val="05内页正文 Char Char"/>
    <w:basedOn w:val="a0"/>
    <w:link w:val="05"/>
    <w:uiPriority w:val="99"/>
    <w:locked/>
    <w:rsid w:val="00A61587"/>
    <w:rPr>
      <w:rFonts w:hAnsi="宋体"/>
      <w:color w:val="003366"/>
      <w:kern w:val="2"/>
      <w:lang w:val="en-US" w:eastAsia="zh-CN" w:bidi="ar-SA"/>
    </w:rPr>
  </w:style>
  <w:style w:type="paragraph" w:customStyle="1" w:styleId="07">
    <w:name w:val="07表题"/>
    <w:basedOn w:val="a"/>
    <w:next w:val="a"/>
    <w:link w:val="07Char"/>
    <w:uiPriority w:val="99"/>
    <w:rsid w:val="00A61587"/>
    <w:rPr>
      <w:rFonts w:ascii="Arial" w:eastAsia="黑体" w:hAnsi="Arial" w:cs="Arial"/>
      <w:color w:val="003366"/>
      <w:sz w:val="18"/>
      <w:szCs w:val="18"/>
    </w:rPr>
  </w:style>
  <w:style w:type="character" w:customStyle="1" w:styleId="07Char">
    <w:name w:val="07表题 Char"/>
    <w:basedOn w:val="a0"/>
    <w:link w:val="07"/>
    <w:uiPriority w:val="99"/>
    <w:locked/>
    <w:rsid w:val="00A61587"/>
    <w:rPr>
      <w:rFonts w:ascii="Arial" w:eastAsia="黑体" w:hAnsi="Arial" w:cs="Arial"/>
      <w:color w:val="003366"/>
      <w:kern w:val="2"/>
      <w:sz w:val="18"/>
      <w:szCs w:val="18"/>
    </w:rPr>
  </w:style>
  <w:style w:type="paragraph" w:customStyle="1" w:styleId="Bodytext">
    <w:name w:val="Body text"/>
    <w:basedOn w:val="a"/>
    <w:uiPriority w:val="99"/>
    <w:rsid w:val="00A61587"/>
    <w:pPr>
      <w:suppressAutoHyphens/>
      <w:adjustRightInd w:val="0"/>
      <w:snapToGrid w:val="0"/>
      <w:spacing w:after="160"/>
    </w:pPr>
    <w:rPr>
      <w:rFonts w:ascii="Arial Narrow" w:eastAsia="华文楷体" w:hAnsi="Arial Narrow" w:cs="Arial Narrow"/>
      <w:kern w:val="0"/>
      <w:sz w:val="24"/>
      <w:szCs w:val="24"/>
      <w:u w:color="003300"/>
      <w:lang w:val="en-GB"/>
    </w:rPr>
  </w:style>
  <w:style w:type="paragraph" w:customStyle="1" w:styleId="Source">
    <w:name w:val="Source"/>
    <w:basedOn w:val="a"/>
    <w:uiPriority w:val="99"/>
    <w:rsid w:val="00A61587"/>
    <w:pPr>
      <w:pBdr>
        <w:top w:val="single" w:sz="4" w:space="1" w:color="auto"/>
      </w:pBdr>
      <w:adjustRightInd w:val="0"/>
      <w:snapToGrid w:val="0"/>
      <w:spacing w:before="40"/>
      <w:jc w:val="left"/>
    </w:pPr>
    <w:rPr>
      <w:rFonts w:ascii="Arial Narrow" w:eastAsia="华文楷体" w:hAnsi="Arial Narrow" w:cs="Arial Narrow"/>
      <w:i/>
      <w:iCs/>
      <w:kern w:val="0"/>
      <w:sz w:val="16"/>
      <w:szCs w:val="16"/>
    </w:rPr>
  </w:style>
  <w:style w:type="paragraph" w:styleId="TOC">
    <w:name w:val="TOC Heading"/>
    <w:basedOn w:val="1"/>
    <w:next w:val="a"/>
    <w:uiPriority w:val="99"/>
    <w:qFormat/>
    <w:rsid w:val="00C91ECF"/>
    <w:pPr>
      <w:widowControl/>
      <w:spacing w:before="480" w:after="0" w:line="276" w:lineRule="auto"/>
      <w:jc w:val="left"/>
      <w:outlineLvl w:val="9"/>
    </w:pPr>
    <w:rPr>
      <w:rFonts w:ascii="Cambria" w:hAnsi="Cambria" w:cs="Cambria"/>
      <w:color w:val="365F91"/>
      <w:kern w:val="0"/>
      <w:sz w:val="28"/>
      <w:szCs w:val="28"/>
    </w:rPr>
  </w:style>
  <w:style w:type="paragraph" w:styleId="3">
    <w:name w:val="toc 3"/>
    <w:basedOn w:val="a"/>
    <w:next w:val="a"/>
    <w:autoRedefine/>
    <w:uiPriority w:val="99"/>
    <w:semiHidden/>
    <w:rsid w:val="00C91ECF"/>
    <w:pPr>
      <w:widowControl/>
      <w:spacing w:after="100" w:line="276" w:lineRule="auto"/>
      <w:ind w:left="440"/>
      <w:jc w:val="left"/>
    </w:pPr>
    <w:rPr>
      <w:rFonts w:ascii="Calibri" w:hAnsi="Calibri" w:cs="Calibri"/>
      <w:kern w:val="0"/>
      <w:sz w:val="22"/>
      <w:szCs w:val="22"/>
    </w:rPr>
  </w:style>
  <w:style w:type="paragraph" w:styleId="ad">
    <w:name w:val="Balloon Text"/>
    <w:basedOn w:val="a"/>
    <w:link w:val="Char4"/>
    <w:uiPriority w:val="99"/>
    <w:semiHidden/>
    <w:rsid w:val="00C91ECF"/>
    <w:rPr>
      <w:sz w:val="18"/>
      <w:szCs w:val="18"/>
    </w:rPr>
  </w:style>
  <w:style w:type="character" w:customStyle="1" w:styleId="Char4">
    <w:name w:val="批注框文本 Char"/>
    <w:basedOn w:val="a0"/>
    <w:link w:val="ad"/>
    <w:uiPriority w:val="99"/>
    <w:locked/>
    <w:rsid w:val="00C91ECF"/>
    <w:rPr>
      <w:kern w:val="2"/>
      <w:sz w:val="18"/>
      <w:szCs w:val="18"/>
    </w:rPr>
  </w:style>
  <w:style w:type="paragraph" w:styleId="ae">
    <w:name w:val="Normal (Web)"/>
    <w:basedOn w:val="a"/>
    <w:link w:val="Char5"/>
    <w:rsid w:val="00995942"/>
    <w:pPr>
      <w:widowControl/>
      <w:spacing w:before="100" w:beforeAutospacing="1" w:after="100" w:afterAutospacing="1"/>
      <w:jc w:val="left"/>
    </w:pPr>
    <w:rPr>
      <w:rFonts w:ascii="宋体" w:hAnsi="宋体" w:cs="宋体"/>
      <w:kern w:val="0"/>
      <w:sz w:val="24"/>
      <w:szCs w:val="24"/>
    </w:rPr>
  </w:style>
  <w:style w:type="character" w:styleId="af">
    <w:name w:val="annotation reference"/>
    <w:basedOn w:val="a0"/>
    <w:uiPriority w:val="99"/>
    <w:semiHidden/>
    <w:rsid w:val="00FF11E5"/>
    <w:rPr>
      <w:sz w:val="21"/>
      <w:szCs w:val="21"/>
    </w:rPr>
  </w:style>
  <w:style w:type="paragraph" w:styleId="af0">
    <w:name w:val="annotation text"/>
    <w:basedOn w:val="a"/>
    <w:link w:val="Char6"/>
    <w:uiPriority w:val="99"/>
    <w:semiHidden/>
    <w:rsid w:val="00FF11E5"/>
    <w:pPr>
      <w:jc w:val="left"/>
    </w:pPr>
  </w:style>
  <w:style w:type="character" w:customStyle="1" w:styleId="Char6">
    <w:name w:val="批注文字 Char"/>
    <w:basedOn w:val="a0"/>
    <w:link w:val="af0"/>
    <w:uiPriority w:val="99"/>
    <w:locked/>
    <w:rsid w:val="00FF11E5"/>
    <w:rPr>
      <w:kern w:val="2"/>
      <w:sz w:val="24"/>
      <w:szCs w:val="24"/>
    </w:rPr>
  </w:style>
  <w:style w:type="paragraph" w:styleId="af1">
    <w:name w:val="annotation subject"/>
    <w:basedOn w:val="af0"/>
    <w:next w:val="af0"/>
    <w:link w:val="Char7"/>
    <w:uiPriority w:val="99"/>
    <w:semiHidden/>
    <w:rsid w:val="00FF11E5"/>
    <w:rPr>
      <w:b/>
      <w:bCs/>
    </w:rPr>
  </w:style>
  <w:style w:type="character" w:customStyle="1" w:styleId="Char7">
    <w:name w:val="批注主题 Char"/>
    <w:basedOn w:val="Char6"/>
    <w:link w:val="af1"/>
    <w:uiPriority w:val="99"/>
    <w:locked/>
    <w:rsid w:val="00FF11E5"/>
    <w:rPr>
      <w:b/>
      <w:bCs/>
    </w:rPr>
  </w:style>
  <w:style w:type="paragraph" w:customStyle="1" w:styleId="af2">
    <w:name w:val="国泰君安报告正文"/>
    <w:basedOn w:val="a"/>
    <w:rsid w:val="00B536F5"/>
    <w:pPr>
      <w:ind w:leftChars="1600" w:left="3360"/>
    </w:pPr>
    <w:rPr>
      <w:rFonts w:eastAsia="楷体_GB2312" w:cs="宋体"/>
      <w:szCs w:val="20"/>
    </w:rPr>
  </w:style>
  <w:style w:type="paragraph" w:customStyle="1" w:styleId="af3">
    <w:name w:val="表格标题"/>
    <w:basedOn w:val="af2"/>
    <w:autoRedefine/>
    <w:rsid w:val="00B536F5"/>
    <w:pPr>
      <w:ind w:leftChars="270" w:left="567"/>
    </w:pPr>
    <w:rPr>
      <w:rFonts w:cs="Times New Roman"/>
      <w:b/>
    </w:rPr>
  </w:style>
  <w:style w:type="paragraph" w:customStyle="1" w:styleId="af4">
    <w:name w:val="内文"/>
    <w:basedOn w:val="a"/>
    <w:rsid w:val="00230395"/>
    <w:pPr>
      <w:spacing w:before="62" w:after="156" w:line="280" w:lineRule="exact"/>
      <w:ind w:firstLine="404"/>
    </w:pPr>
    <w:rPr>
      <w:rFonts w:ascii="Arial" w:eastAsia="楷体_GB2312" w:hAnsi="Arial" w:cs="Arial"/>
      <w:color w:val="000000"/>
      <w:spacing w:val="-4"/>
      <w:szCs w:val="24"/>
    </w:rPr>
  </w:style>
  <w:style w:type="character" w:customStyle="1" w:styleId="txtcontent11">
    <w:name w:val="txtcontent11"/>
    <w:basedOn w:val="a0"/>
    <w:rsid w:val="00FB499A"/>
    <w:rPr>
      <w:rFonts w:ascii="ˎ̥" w:hAnsi="ˎ̥" w:hint="default"/>
      <w:b w:val="0"/>
      <w:bCs w:val="0"/>
      <w:color w:val="000000"/>
      <w:sz w:val="21"/>
      <w:szCs w:val="21"/>
    </w:rPr>
  </w:style>
  <w:style w:type="paragraph" w:styleId="af5">
    <w:name w:val="No Spacing"/>
    <w:uiPriority w:val="1"/>
    <w:qFormat/>
    <w:rsid w:val="00F64DFA"/>
    <w:pPr>
      <w:widowControl w:val="0"/>
      <w:jc w:val="both"/>
    </w:pPr>
    <w:rPr>
      <w:rFonts w:asciiTheme="minorHAnsi" w:eastAsiaTheme="minorEastAsia" w:hAnsiTheme="minorHAnsi" w:cstheme="minorBidi"/>
      <w:kern w:val="2"/>
      <w:sz w:val="24"/>
      <w:szCs w:val="22"/>
    </w:rPr>
  </w:style>
  <w:style w:type="paragraph" w:customStyle="1" w:styleId="af6">
    <w:name w:val="正文格式"/>
    <w:rsid w:val="00C32B55"/>
    <w:pPr>
      <w:tabs>
        <w:tab w:val="left" w:pos="7088"/>
      </w:tabs>
      <w:spacing w:after="120"/>
      <w:jc w:val="both"/>
    </w:pPr>
    <w:rPr>
      <w:rFonts w:ascii="Arial" w:eastAsia="楷体_GB2312" w:hAnsi="Arial" w:cs="Arial"/>
      <w:kern w:val="2"/>
      <w:szCs w:val="30"/>
    </w:rPr>
  </w:style>
  <w:style w:type="paragraph" w:customStyle="1" w:styleId="af7">
    <w:name w:val="表题"/>
    <w:rsid w:val="00C32B55"/>
    <w:rPr>
      <w:rFonts w:ascii="Arial" w:eastAsia="楷体_GB2312" w:hAnsi="Arial" w:cs="宋体"/>
      <w:b/>
      <w:color w:val="005082"/>
      <w:lang w:val="zh-CN"/>
    </w:rPr>
  </w:style>
  <w:style w:type="paragraph" w:customStyle="1" w:styleId="af8">
    <w:name w:val="民族表头标题"/>
    <w:basedOn w:val="a"/>
    <w:rsid w:val="00800E02"/>
    <w:pPr>
      <w:adjustRightInd w:val="0"/>
      <w:snapToGrid w:val="0"/>
      <w:spacing w:beforeLines="50" w:line="240" w:lineRule="atLeast"/>
      <w:ind w:leftChars="1000" w:left="2235" w:hangingChars="64" w:hanging="135"/>
      <w:outlineLvl w:val="3"/>
    </w:pPr>
    <w:rPr>
      <w:rFonts w:ascii="宋体" w:hAnsi="宋体"/>
      <w:b/>
      <w:color w:val="CF000B"/>
    </w:rPr>
  </w:style>
  <w:style w:type="paragraph" w:customStyle="1" w:styleId="090">
    <w:name w:val="09_中信建投_资料来源"/>
    <w:basedOn w:val="a"/>
    <w:link w:val="09Char"/>
    <w:rsid w:val="00DC28EC"/>
    <w:pPr>
      <w:tabs>
        <w:tab w:val="right" w:pos="9638"/>
      </w:tabs>
      <w:spacing w:afterLines="50"/>
      <w:ind w:leftChars="-3" w:left="2" w:hangingChars="5" w:hanging="8"/>
    </w:pPr>
    <w:rPr>
      <w:i/>
      <w:sz w:val="16"/>
      <w:szCs w:val="16"/>
    </w:rPr>
  </w:style>
  <w:style w:type="paragraph" w:customStyle="1" w:styleId="050">
    <w:name w:val="05_中信建投_正文"/>
    <w:basedOn w:val="a"/>
    <w:link w:val="05Char"/>
    <w:rsid w:val="00DC28EC"/>
    <w:pPr>
      <w:tabs>
        <w:tab w:val="right" w:leader="dot" w:pos="9638"/>
      </w:tabs>
      <w:spacing w:afterLines="80"/>
      <w:ind w:firstLineChars="200" w:firstLine="200"/>
    </w:pPr>
    <w:rPr>
      <w:sz w:val="20"/>
      <w:szCs w:val="20"/>
    </w:rPr>
  </w:style>
  <w:style w:type="paragraph" w:customStyle="1" w:styleId="06b">
    <w:name w:val="06_b_中信建投_图表标题"/>
    <w:basedOn w:val="a"/>
    <w:rsid w:val="00DC28EC"/>
    <w:pPr>
      <w:tabs>
        <w:tab w:val="right" w:pos="6033"/>
      </w:tabs>
    </w:pPr>
    <w:rPr>
      <w:rFonts w:eastAsia="黑体"/>
      <w:b/>
      <w:sz w:val="18"/>
      <w:szCs w:val="18"/>
    </w:rPr>
  </w:style>
  <w:style w:type="character" w:customStyle="1" w:styleId="05Char">
    <w:name w:val="05_中信建投_正文 Char"/>
    <w:basedOn w:val="a0"/>
    <w:link w:val="050"/>
    <w:rsid w:val="00DC28EC"/>
    <w:rPr>
      <w:kern w:val="2"/>
    </w:rPr>
  </w:style>
  <w:style w:type="character" w:customStyle="1" w:styleId="09Char">
    <w:name w:val="09_中信建投_资料来源 Char"/>
    <w:basedOn w:val="a0"/>
    <w:link w:val="090"/>
    <w:rsid w:val="00DC28EC"/>
    <w:rPr>
      <w:i/>
      <w:kern w:val="2"/>
      <w:sz w:val="16"/>
      <w:szCs w:val="16"/>
    </w:rPr>
  </w:style>
  <w:style w:type="paragraph" w:customStyle="1" w:styleId="06a">
    <w:name w:val="06_a_中信建投_表格标题"/>
    <w:basedOn w:val="a"/>
    <w:rsid w:val="00DC28EC"/>
    <w:pPr>
      <w:tabs>
        <w:tab w:val="right" w:pos="6033"/>
      </w:tabs>
    </w:pPr>
    <w:rPr>
      <w:rFonts w:eastAsia="黑体"/>
      <w:b/>
      <w:sz w:val="18"/>
      <w:szCs w:val="18"/>
    </w:rPr>
  </w:style>
  <w:style w:type="paragraph" w:customStyle="1" w:styleId="02">
    <w:name w:val="02_中信建投_标题二"/>
    <w:basedOn w:val="a"/>
    <w:link w:val="02Char"/>
    <w:rsid w:val="00DC28EC"/>
    <w:pPr>
      <w:tabs>
        <w:tab w:val="right" w:leader="dot" w:pos="9638"/>
      </w:tabs>
      <w:spacing w:before="160"/>
    </w:pPr>
    <w:rPr>
      <w:b/>
      <w:sz w:val="28"/>
      <w:szCs w:val="28"/>
    </w:rPr>
  </w:style>
  <w:style w:type="character" w:customStyle="1" w:styleId="02Char">
    <w:name w:val="02_中信建投_标题二 Char"/>
    <w:basedOn w:val="a0"/>
    <w:link w:val="02"/>
    <w:rsid w:val="00DC28EC"/>
    <w:rPr>
      <w:b/>
      <w:kern w:val="2"/>
      <w:sz w:val="28"/>
      <w:szCs w:val="28"/>
    </w:rPr>
  </w:style>
  <w:style w:type="paragraph" w:customStyle="1" w:styleId="03">
    <w:name w:val="03_中信建投_标题三"/>
    <w:basedOn w:val="02"/>
    <w:link w:val="03Char"/>
    <w:rsid w:val="00DC28EC"/>
    <w:pPr>
      <w:spacing w:beforeLines="50" w:afterLines="50"/>
    </w:pPr>
    <w:rPr>
      <w:rFonts w:eastAsia="黑体"/>
      <w:b w:val="0"/>
      <w:color w:val="044E7E"/>
      <w:sz w:val="24"/>
      <w:szCs w:val="24"/>
    </w:rPr>
  </w:style>
  <w:style w:type="character" w:customStyle="1" w:styleId="03Char">
    <w:name w:val="03_中信建投_标题三 Char"/>
    <w:basedOn w:val="02Char"/>
    <w:link w:val="03"/>
    <w:rsid w:val="00DC28EC"/>
    <w:rPr>
      <w:rFonts w:eastAsia="黑体"/>
      <w:color w:val="044E7E"/>
      <w:sz w:val="24"/>
      <w:szCs w:val="24"/>
    </w:rPr>
  </w:style>
  <w:style w:type="character" w:customStyle="1" w:styleId="Char5">
    <w:name w:val="普通(网站) Char"/>
    <w:basedOn w:val="a0"/>
    <w:link w:val="ae"/>
    <w:rsid w:val="00DC28EC"/>
    <w:rPr>
      <w:rFonts w:ascii="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470102240">
      <w:bodyDiv w:val="1"/>
      <w:marLeft w:val="0"/>
      <w:marRight w:val="0"/>
      <w:marTop w:val="0"/>
      <w:marBottom w:val="0"/>
      <w:divBdr>
        <w:top w:val="none" w:sz="0" w:space="0" w:color="auto"/>
        <w:left w:val="none" w:sz="0" w:space="0" w:color="auto"/>
        <w:bottom w:val="none" w:sz="0" w:space="0" w:color="auto"/>
        <w:right w:val="none" w:sz="0" w:space="0" w:color="auto"/>
      </w:divBdr>
    </w:div>
    <w:div w:id="786389541">
      <w:bodyDiv w:val="1"/>
      <w:marLeft w:val="0"/>
      <w:marRight w:val="0"/>
      <w:marTop w:val="0"/>
      <w:marBottom w:val="0"/>
      <w:divBdr>
        <w:top w:val="none" w:sz="0" w:space="0" w:color="auto"/>
        <w:left w:val="none" w:sz="0" w:space="0" w:color="auto"/>
        <w:bottom w:val="none" w:sz="0" w:space="0" w:color="auto"/>
        <w:right w:val="none" w:sz="0" w:space="0" w:color="auto"/>
      </w:divBdr>
      <w:divsChild>
        <w:div w:id="1284850620">
          <w:marLeft w:val="0"/>
          <w:marRight w:val="0"/>
          <w:marTop w:val="0"/>
          <w:marBottom w:val="0"/>
          <w:divBdr>
            <w:top w:val="none" w:sz="0" w:space="0" w:color="auto"/>
            <w:left w:val="none" w:sz="0" w:space="0" w:color="auto"/>
            <w:bottom w:val="none" w:sz="0" w:space="0" w:color="auto"/>
            <w:right w:val="none" w:sz="0" w:space="0" w:color="auto"/>
          </w:divBdr>
        </w:div>
      </w:divsChild>
    </w:div>
    <w:div w:id="891699592">
      <w:bodyDiv w:val="1"/>
      <w:marLeft w:val="0"/>
      <w:marRight w:val="0"/>
      <w:marTop w:val="0"/>
      <w:marBottom w:val="0"/>
      <w:divBdr>
        <w:top w:val="none" w:sz="0" w:space="0" w:color="auto"/>
        <w:left w:val="none" w:sz="0" w:space="0" w:color="auto"/>
        <w:bottom w:val="none" w:sz="0" w:space="0" w:color="auto"/>
        <w:right w:val="none" w:sz="0" w:space="0" w:color="auto"/>
      </w:divBdr>
      <w:divsChild>
        <w:div w:id="857961201">
          <w:marLeft w:val="0"/>
          <w:marRight w:val="0"/>
          <w:marTop w:val="0"/>
          <w:marBottom w:val="0"/>
          <w:divBdr>
            <w:top w:val="none" w:sz="0" w:space="0" w:color="auto"/>
            <w:left w:val="none" w:sz="0" w:space="0" w:color="auto"/>
            <w:bottom w:val="none" w:sz="0" w:space="0" w:color="auto"/>
            <w:right w:val="none" w:sz="0" w:space="0" w:color="auto"/>
          </w:divBdr>
        </w:div>
      </w:divsChild>
    </w:div>
    <w:div w:id="942497590">
      <w:bodyDiv w:val="1"/>
      <w:marLeft w:val="0"/>
      <w:marRight w:val="0"/>
      <w:marTop w:val="0"/>
      <w:marBottom w:val="0"/>
      <w:divBdr>
        <w:top w:val="none" w:sz="0" w:space="0" w:color="auto"/>
        <w:left w:val="none" w:sz="0" w:space="0" w:color="auto"/>
        <w:bottom w:val="none" w:sz="0" w:space="0" w:color="auto"/>
        <w:right w:val="none" w:sz="0" w:space="0" w:color="auto"/>
      </w:divBdr>
    </w:div>
    <w:div w:id="1811047920">
      <w:marLeft w:val="0"/>
      <w:marRight w:val="0"/>
      <w:marTop w:val="0"/>
      <w:marBottom w:val="0"/>
      <w:divBdr>
        <w:top w:val="none" w:sz="0" w:space="0" w:color="auto"/>
        <w:left w:val="none" w:sz="0" w:space="0" w:color="auto"/>
        <w:bottom w:val="none" w:sz="0" w:space="0" w:color="auto"/>
        <w:right w:val="none" w:sz="0" w:space="0" w:color="auto"/>
      </w:divBdr>
    </w:div>
    <w:div w:id="1811047923">
      <w:marLeft w:val="0"/>
      <w:marRight w:val="0"/>
      <w:marTop w:val="60"/>
      <w:marBottom w:val="60"/>
      <w:divBdr>
        <w:top w:val="none" w:sz="0" w:space="0" w:color="auto"/>
        <w:left w:val="none" w:sz="0" w:space="0" w:color="auto"/>
        <w:bottom w:val="none" w:sz="0" w:space="0" w:color="auto"/>
        <w:right w:val="none" w:sz="0" w:space="0" w:color="auto"/>
      </w:divBdr>
      <w:divsChild>
        <w:div w:id="1811047938">
          <w:marLeft w:val="0"/>
          <w:marRight w:val="0"/>
          <w:marTop w:val="0"/>
          <w:marBottom w:val="0"/>
          <w:divBdr>
            <w:top w:val="none" w:sz="0" w:space="0" w:color="auto"/>
            <w:left w:val="none" w:sz="0" w:space="0" w:color="auto"/>
            <w:bottom w:val="none" w:sz="0" w:space="0" w:color="auto"/>
            <w:right w:val="none" w:sz="0" w:space="0" w:color="auto"/>
          </w:divBdr>
          <w:divsChild>
            <w:div w:id="1811047968">
              <w:marLeft w:val="0"/>
              <w:marRight w:val="0"/>
              <w:marTop w:val="0"/>
              <w:marBottom w:val="0"/>
              <w:divBdr>
                <w:top w:val="none" w:sz="0" w:space="0" w:color="auto"/>
                <w:left w:val="none" w:sz="0" w:space="0" w:color="auto"/>
                <w:bottom w:val="none" w:sz="0" w:space="0" w:color="auto"/>
                <w:right w:val="none" w:sz="0" w:space="0" w:color="auto"/>
              </w:divBdr>
              <w:divsChild>
                <w:div w:id="1811047970">
                  <w:marLeft w:val="0"/>
                  <w:marRight w:val="0"/>
                  <w:marTop w:val="0"/>
                  <w:marBottom w:val="0"/>
                  <w:divBdr>
                    <w:top w:val="none" w:sz="0" w:space="0" w:color="auto"/>
                    <w:left w:val="none" w:sz="0" w:space="0" w:color="auto"/>
                    <w:bottom w:val="none" w:sz="0" w:space="0" w:color="auto"/>
                    <w:right w:val="none" w:sz="0" w:space="0" w:color="auto"/>
                  </w:divBdr>
                  <w:divsChild>
                    <w:div w:id="1811047964">
                      <w:marLeft w:val="0"/>
                      <w:marRight w:val="0"/>
                      <w:marTop w:val="0"/>
                      <w:marBottom w:val="0"/>
                      <w:divBdr>
                        <w:top w:val="none" w:sz="0" w:space="0" w:color="auto"/>
                        <w:left w:val="none" w:sz="0" w:space="0" w:color="auto"/>
                        <w:bottom w:val="none" w:sz="0" w:space="0" w:color="auto"/>
                        <w:right w:val="none" w:sz="0" w:space="0" w:color="auto"/>
                      </w:divBdr>
                      <w:divsChild>
                        <w:div w:id="1811047928">
                          <w:marLeft w:val="0"/>
                          <w:marRight w:val="0"/>
                          <w:marTop w:val="0"/>
                          <w:marBottom w:val="0"/>
                          <w:divBdr>
                            <w:top w:val="none" w:sz="0" w:space="0" w:color="auto"/>
                            <w:left w:val="none" w:sz="0" w:space="0" w:color="auto"/>
                            <w:bottom w:val="none" w:sz="0" w:space="0" w:color="auto"/>
                            <w:right w:val="none" w:sz="0" w:space="0" w:color="auto"/>
                          </w:divBdr>
                          <w:divsChild>
                            <w:div w:id="18110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047929">
      <w:marLeft w:val="0"/>
      <w:marRight w:val="0"/>
      <w:marTop w:val="0"/>
      <w:marBottom w:val="0"/>
      <w:divBdr>
        <w:top w:val="none" w:sz="0" w:space="0" w:color="auto"/>
        <w:left w:val="none" w:sz="0" w:space="0" w:color="auto"/>
        <w:bottom w:val="none" w:sz="0" w:space="0" w:color="auto"/>
        <w:right w:val="none" w:sz="0" w:space="0" w:color="auto"/>
      </w:divBdr>
      <w:divsChild>
        <w:div w:id="1811047931">
          <w:marLeft w:val="547"/>
          <w:marRight w:val="0"/>
          <w:marTop w:val="115"/>
          <w:marBottom w:val="0"/>
          <w:divBdr>
            <w:top w:val="none" w:sz="0" w:space="0" w:color="auto"/>
            <w:left w:val="none" w:sz="0" w:space="0" w:color="auto"/>
            <w:bottom w:val="none" w:sz="0" w:space="0" w:color="auto"/>
            <w:right w:val="none" w:sz="0" w:space="0" w:color="auto"/>
          </w:divBdr>
        </w:div>
      </w:divsChild>
    </w:div>
    <w:div w:id="1811047930">
      <w:marLeft w:val="0"/>
      <w:marRight w:val="0"/>
      <w:marTop w:val="0"/>
      <w:marBottom w:val="0"/>
      <w:divBdr>
        <w:top w:val="none" w:sz="0" w:space="0" w:color="auto"/>
        <w:left w:val="none" w:sz="0" w:space="0" w:color="auto"/>
        <w:bottom w:val="none" w:sz="0" w:space="0" w:color="auto"/>
        <w:right w:val="none" w:sz="0" w:space="0" w:color="auto"/>
      </w:divBdr>
      <w:divsChild>
        <w:div w:id="1811047953">
          <w:marLeft w:val="0"/>
          <w:marRight w:val="0"/>
          <w:marTop w:val="240"/>
          <w:marBottom w:val="120"/>
          <w:divBdr>
            <w:top w:val="none" w:sz="0" w:space="0" w:color="auto"/>
            <w:left w:val="none" w:sz="0" w:space="0" w:color="auto"/>
            <w:bottom w:val="none" w:sz="0" w:space="0" w:color="auto"/>
            <w:right w:val="none" w:sz="0" w:space="0" w:color="auto"/>
          </w:divBdr>
        </w:div>
        <w:div w:id="1811047979">
          <w:marLeft w:val="0"/>
          <w:marRight w:val="0"/>
          <w:marTop w:val="240"/>
          <w:marBottom w:val="120"/>
          <w:divBdr>
            <w:top w:val="none" w:sz="0" w:space="0" w:color="auto"/>
            <w:left w:val="none" w:sz="0" w:space="0" w:color="auto"/>
            <w:bottom w:val="none" w:sz="0" w:space="0" w:color="auto"/>
            <w:right w:val="none" w:sz="0" w:space="0" w:color="auto"/>
          </w:divBdr>
        </w:div>
      </w:divsChild>
    </w:div>
    <w:div w:id="1811047933">
      <w:marLeft w:val="0"/>
      <w:marRight w:val="0"/>
      <w:marTop w:val="0"/>
      <w:marBottom w:val="0"/>
      <w:divBdr>
        <w:top w:val="none" w:sz="0" w:space="0" w:color="auto"/>
        <w:left w:val="none" w:sz="0" w:space="0" w:color="auto"/>
        <w:bottom w:val="none" w:sz="0" w:space="0" w:color="auto"/>
        <w:right w:val="none" w:sz="0" w:space="0" w:color="auto"/>
      </w:divBdr>
    </w:div>
    <w:div w:id="1811047934">
      <w:marLeft w:val="0"/>
      <w:marRight w:val="0"/>
      <w:marTop w:val="0"/>
      <w:marBottom w:val="0"/>
      <w:divBdr>
        <w:top w:val="none" w:sz="0" w:space="0" w:color="auto"/>
        <w:left w:val="none" w:sz="0" w:space="0" w:color="auto"/>
        <w:bottom w:val="none" w:sz="0" w:space="0" w:color="auto"/>
        <w:right w:val="none" w:sz="0" w:space="0" w:color="auto"/>
      </w:divBdr>
      <w:divsChild>
        <w:div w:id="1811047922">
          <w:marLeft w:val="547"/>
          <w:marRight w:val="0"/>
          <w:marTop w:val="115"/>
          <w:marBottom w:val="0"/>
          <w:divBdr>
            <w:top w:val="none" w:sz="0" w:space="0" w:color="auto"/>
            <w:left w:val="none" w:sz="0" w:space="0" w:color="auto"/>
            <w:bottom w:val="none" w:sz="0" w:space="0" w:color="auto"/>
            <w:right w:val="none" w:sz="0" w:space="0" w:color="auto"/>
          </w:divBdr>
        </w:div>
        <w:div w:id="1811047980">
          <w:marLeft w:val="547"/>
          <w:marRight w:val="0"/>
          <w:marTop w:val="115"/>
          <w:marBottom w:val="0"/>
          <w:divBdr>
            <w:top w:val="none" w:sz="0" w:space="0" w:color="auto"/>
            <w:left w:val="none" w:sz="0" w:space="0" w:color="auto"/>
            <w:bottom w:val="none" w:sz="0" w:space="0" w:color="auto"/>
            <w:right w:val="none" w:sz="0" w:space="0" w:color="auto"/>
          </w:divBdr>
        </w:div>
      </w:divsChild>
    </w:div>
    <w:div w:id="1811047936">
      <w:marLeft w:val="0"/>
      <w:marRight w:val="0"/>
      <w:marTop w:val="0"/>
      <w:marBottom w:val="0"/>
      <w:divBdr>
        <w:top w:val="none" w:sz="0" w:space="0" w:color="auto"/>
        <w:left w:val="none" w:sz="0" w:space="0" w:color="auto"/>
        <w:bottom w:val="none" w:sz="0" w:space="0" w:color="auto"/>
        <w:right w:val="none" w:sz="0" w:space="0" w:color="auto"/>
      </w:divBdr>
      <w:divsChild>
        <w:div w:id="1811047973">
          <w:marLeft w:val="547"/>
          <w:marRight w:val="0"/>
          <w:marTop w:val="115"/>
          <w:marBottom w:val="0"/>
          <w:divBdr>
            <w:top w:val="none" w:sz="0" w:space="0" w:color="auto"/>
            <w:left w:val="none" w:sz="0" w:space="0" w:color="auto"/>
            <w:bottom w:val="none" w:sz="0" w:space="0" w:color="auto"/>
            <w:right w:val="none" w:sz="0" w:space="0" w:color="auto"/>
          </w:divBdr>
        </w:div>
        <w:div w:id="1811047982">
          <w:marLeft w:val="547"/>
          <w:marRight w:val="0"/>
          <w:marTop w:val="115"/>
          <w:marBottom w:val="0"/>
          <w:divBdr>
            <w:top w:val="none" w:sz="0" w:space="0" w:color="auto"/>
            <w:left w:val="none" w:sz="0" w:space="0" w:color="auto"/>
            <w:bottom w:val="none" w:sz="0" w:space="0" w:color="auto"/>
            <w:right w:val="none" w:sz="0" w:space="0" w:color="auto"/>
          </w:divBdr>
        </w:div>
      </w:divsChild>
    </w:div>
    <w:div w:id="1811047941">
      <w:marLeft w:val="0"/>
      <w:marRight w:val="0"/>
      <w:marTop w:val="0"/>
      <w:marBottom w:val="0"/>
      <w:divBdr>
        <w:top w:val="none" w:sz="0" w:space="0" w:color="auto"/>
        <w:left w:val="none" w:sz="0" w:space="0" w:color="auto"/>
        <w:bottom w:val="none" w:sz="0" w:space="0" w:color="auto"/>
        <w:right w:val="none" w:sz="0" w:space="0" w:color="auto"/>
      </w:divBdr>
      <w:divsChild>
        <w:div w:id="1811047925">
          <w:marLeft w:val="547"/>
          <w:marRight w:val="0"/>
          <w:marTop w:val="115"/>
          <w:marBottom w:val="0"/>
          <w:divBdr>
            <w:top w:val="none" w:sz="0" w:space="0" w:color="auto"/>
            <w:left w:val="none" w:sz="0" w:space="0" w:color="auto"/>
            <w:bottom w:val="none" w:sz="0" w:space="0" w:color="auto"/>
            <w:right w:val="none" w:sz="0" w:space="0" w:color="auto"/>
          </w:divBdr>
        </w:div>
        <w:div w:id="1811047926">
          <w:marLeft w:val="547"/>
          <w:marRight w:val="0"/>
          <w:marTop w:val="96"/>
          <w:marBottom w:val="0"/>
          <w:divBdr>
            <w:top w:val="none" w:sz="0" w:space="0" w:color="auto"/>
            <w:left w:val="none" w:sz="0" w:space="0" w:color="auto"/>
            <w:bottom w:val="none" w:sz="0" w:space="0" w:color="auto"/>
            <w:right w:val="none" w:sz="0" w:space="0" w:color="auto"/>
          </w:divBdr>
        </w:div>
        <w:div w:id="1811047937">
          <w:marLeft w:val="547"/>
          <w:marRight w:val="0"/>
          <w:marTop w:val="96"/>
          <w:marBottom w:val="0"/>
          <w:divBdr>
            <w:top w:val="none" w:sz="0" w:space="0" w:color="auto"/>
            <w:left w:val="none" w:sz="0" w:space="0" w:color="auto"/>
            <w:bottom w:val="none" w:sz="0" w:space="0" w:color="auto"/>
            <w:right w:val="none" w:sz="0" w:space="0" w:color="auto"/>
          </w:divBdr>
        </w:div>
        <w:div w:id="1811047942">
          <w:marLeft w:val="547"/>
          <w:marRight w:val="0"/>
          <w:marTop w:val="96"/>
          <w:marBottom w:val="0"/>
          <w:divBdr>
            <w:top w:val="none" w:sz="0" w:space="0" w:color="auto"/>
            <w:left w:val="none" w:sz="0" w:space="0" w:color="auto"/>
            <w:bottom w:val="none" w:sz="0" w:space="0" w:color="auto"/>
            <w:right w:val="none" w:sz="0" w:space="0" w:color="auto"/>
          </w:divBdr>
        </w:div>
        <w:div w:id="1811047949">
          <w:marLeft w:val="547"/>
          <w:marRight w:val="0"/>
          <w:marTop w:val="96"/>
          <w:marBottom w:val="0"/>
          <w:divBdr>
            <w:top w:val="none" w:sz="0" w:space="0" w:color="auto"/>
            <w:left w:val="none" w:sz="0" w:space="0" w:color="auto"/>
            <w:bottom w:val="none" w:sz="0" w:space="0" w:color="auto"/>
            <w:right w:val="none" w:sz="0" w:space="0" w:color="auto"/>
          </w:divBdr>
        </w:div>
        <w:div w:id="1811047956">
          <w:marLeft w:val="547"/>
          <w:marRight w:val="0"/>
          <w:marTop w:val="96"/>
          <w:marBottom w:val="0"/>
          <w:divBdr>
            <w:top w:val="none" w:sz="0" w:space="0" w:color="auto"/>
            <w:left w:val="none" w:sz="0" w:space="0" w:color="auto"/>
            <w:bottom w:val="none" w:sz="0" w:space="0" w:color="auto"/>
            <w:right w:val="none" w:sz="0" w:space="0" w:color="auto"/>
          </w:divBdr>
        </w:div>
        <w:div w:id="1811047974">
          <w:marLeft w:val="547"/>
          <w:marRight w:val="0"/>
          <w:marTop w:val="96"/>
          <w:marBottom w:val="0"/>
          <w:divBdr>
            <w:top w:val="none" w:sz="0" w:space="0" w:color="auto"/>
            <w:left w:val="none" w:sz="0" w:space="0" w:color="auto"/>
            <w:bottom w:val="none" w:sz="0" w:space="0" w:color="auto"/>
            <w:right w:val="none" w:sz="0" w:space="0" w:color="auto"/>
          </w:divBdr>
        </w:div>
      </w:divsChild>
    </w:div>
    <w:div w:id="1811047943">
      <w:marLeft w:val="0"/>
      <w:marRight w:val="0"/>
      <w:marTop w:val="0"/>
      <w:marBottom w:val="0"/>
      <w:divBdr>
        <w:top w:val="none" w:sz="0" w:space="0" w:color="auto"/>
        <w:left w:val="none" w:sz="0" w:space="0" w:color="auto"/>
        <w:bottom w:val="none" w:sz="0" w:space="0" w:color="auto"/>
        <w:right w:val="none" w:sz="0" w:space="0" w:color="auto"/>
      </w:divBdr>
    </w:div>
    <w:div w:id="1811047944">
      <w:marLeft w:val="0"/>
      <w:marRight w:val="0"/>
      <w:marTop w:val="0"/>
      <w:marBottom w:val="0"/>
      <w:divBdr>
        <w:top w:val="none" w:sz="0" w:space="0" w:color="auto"/>
        <w:left w:val="none" w:sz="0" w:space="0" w:color="auto"/>
        <w:bottom w:val="none" w:sz="0" w:space="0" w:color="auto"/>
        <w:right w:val="none" w:sz="0" w:space="0" w:color="auto"/>
      </w:divBdr>
    </w:div>
    <w:div w:id="1811047945">
      <w:marLeft w:val="0"/>
      <w:marRight w:val="0"/>
      <w:marTop w:val="0"/>
      <w:marBottom w:val="0"/>
      <w:divBdr>
        <w:top w:val="none" w:sz="0" w:space="0" w:color="auto"/>
        <w:left w:val="none" w:sz="0" w:space="0" w:color="auto"/>
        <w:bottom w:val="none" w:sz="0" w:space="0" w:color="auto"/>
        <w:right w:val="none" w:sz="0" w:space="0" w:color="auto"/>
      </w:divBdr>
      <w:divsChild>
        <w:div w:id="1811047950">
          <w:marLeft w:val="547"/>
          <w:marRight w:val="0"/>
          <w:marTop w:val="115"/>
          <w:marBottom w:val="0"/>
          <w:divBdr>
            <w:top w:val="none" w:sz="0" w:space="0" w:color="auto"/>
            <w:left w:val="none" w:sz="0" w:space="0" w:color="auto"/>
            <w:bottom w:val="none" w:sz="0" w:space="0" w:color="auto"/>
            <w:right w:val="none" w:sz="0" w:space="0" w:color="auto"/>
          </w:divBdr>
        </w:div>
      </w:divsChild>
    </w:div>
    <w:div w:id="1811047947">
      <w:marLeft w:val="0"/>
      <w:marRight w:val="0"/>
      <w:marTop w:val="0"/>
      <w:marBottom w:val="0"/>
      <w:divBdr>
        <w:top w:val="none" w:sz="0" w:space="0" w:color="auto"/>
        <w:left w:val="none" w:sz="0" w:space="0" w:color="auto"/>
        <w:bottom w:val="none" w:sz="0" w:space="0" w:color="auto"/>
        <w:right w:val="none" w:sz="0" w:space="0" w:color="auto"/>
      </w:divBdr>
      <w:divsChild>
        <w:div w:id="1811047981">
          <w:marLeft w:val="547"/>
          <w:marRight w:val="0"/>
          <w:marTop w:val="96"/>
          <w:marBottom w:val="0"/>
          <w:divBdr>
            <w:top w:val="none" w:sz="0" w:space="0" w:color="auto"/>
            <w:left w:val="none" w:sz="0" w:space="0" w:color="auto"/>
            <w:bottom w:val="none" w:sz="0" w:space="0" w:color="auto"/>
            <w:right w:val="none" w:sz="0" w:space="0" w:color="auto"/>
          </w:divBdr>
        </w:div>
      </w:divsChild>
    </w:div>
    <w:div w:id="1811047948">
      <w:marLeft w:val="0"/>
      <w:marRight w:val="0"/>
      <w:marTop w:val="0"/>
      <w:marBottom w:val="0"/>
      <w:divBdr>
        <w:top w:val="none" w:sz="0" w:space="0" w:color="auto"/>
        <w:left w:val="none" w:sz="0" w:space="0" w:color="auto"/>
        <w:bottom w:val="none" w:sz="0" w:space="0" w:color="auto"/>
        <w:right w:val="none" w:sz="0" w:space="0" w:color="auto"/>
      </w:divBdr>
      <w:divsChild>
        <w:div w:id="1811047940">
          <w:marLeft w:val="547"/>
          <w:marRight w:val="0"/>
          <w:marTop w:val="96"/>
          <w:marBottom w:val="0"/>
          <w:divBdr>
            <w:top w:val="none" w:sz="0" w:space="0" w:color="auto"/>
            <w:left w:val="none" w:sz="0" w:space="0" w:color="auto"/>
            <w:bottom w:val="none" w:sz="0" w:space="0" w:color="auto"/>
            <w:right w:val="none" w:sz="0" w:space="0" w:color="auto"/>
          </w:divBdr>
        </w:div>
      </w:divsChild>
    </w:div>
    <w:div w:id="1811047952">
      <w:marLeft w:val="0"/>
      <w:marRight w:val="0"/>
      <w:marTop w:val="0"/>
      <w:marBottom w:val="0"/>
      <w:divBdr>
        <w:top w:val="none" w:sz="0" w:space="0" w:color="auto"/>
        <w:left w:val="none" w:sz="0" w:space="0" w:color="auto"/>
        <w:bottom w:val="none" w:sz="0" w:space="0" w:color="auto"/>
        <w:right w:val="none" w:sz="0" w:space="0" w:color="auto"/>
      </w:divBdr>
    </w:div>
    <w:div w:id="1811047954">
      <w:marLeft w:val="0"/>
      <w:marRight w:val="0"/>
      <w:marTop w:val="0"/>
      <w:marBottom w:val="0"/>
      <w:divBdr>
        <w:top w:val="none" w:sz="0" w:space="0" w:color="auto"/>
        <w:left w:val="none" w:sz="0" w:space="0" w:color="auto"/>
        <w:bottom w:val="none" w:sz="0" w:space="0" w:color="auto"/>
        <w:right w:val="none" w:sz="0" w:space="0" w:color="auto"/>
      </w:divBdr>
      <w:divsChild>
        <w:div w:id="1811047921">
          <w:marLeft w:val="418"/>
          <w:marRight w:val="0"/>
          <w:marTop w:val="115"/>
          <w:marBottom w:val="0"/>
          <w:divBdr>
            <w:top w:val="none" w:sz="0" w:space="0" w:color="auto"/>
            <w:left w:val="none" w:sz="0" w:space="0" w:color="auto"/>
            <w:bottom w:val="none" w:sz="0" w:space="0" w:color="auto"/>
            <w:right w:val="none" w:sz="0" w:space="0" w:color="auto"/>
          </w:divBdr>
        </w:div>
      </w:divsChild>
    </w:div>
    <w:div w:id="1811047955">
      <w:marLeft w:val="0"/>
      <w:marRight w:val="0"/>
      <w:marTop w:val="0"/>
      <w:marBottom w:val="0"/>
      <w:divBdr>
        <w:top w:val="none" w:sz="0" w:space="0" w:color="auto"/>
        <w:left w:val="none" w:sz="0" w:space="0" w:color="auto"/>
        <w:bottom w:val="none" w:sz="0" w:space="0" w:color="auto"/>
        <w:right w:val="none" w:sz="0" w:space="0" w:color="auto"/>
      </w:divBdr>
    </w:div>
    <w:div w:id="1811047957">
      <w:marLeft w:val="0"/>
      <w:marRight w:val="0"/>
      <w:marTop w:val="0"/>
      <w:marBottom w:val="0"/>
      <w:divBdr>
        <w:top w:val="none" w:sz="0" w:space="0" w:color="auto"/>
        <w:left w:val="none" w:sz="0" w:space="0" w:color="auto"/>
        <w:bottom w:val="none" w:sz="0" w:space="0" w:color="auto"/>
        <w:right w:val="none" w:sz="0" w:space="0" w:color="auto"/>
      </w:divBdr>
    </w:div>
    <w:div w:id="1811047959">
      <w:marLeft w:val="0"/>
      <w:marRight w:val="0"/>
      <w:marTop w:val="0"/>
      <w:marBottom w:val="0"/>
      <w:divBdr>
        <w:top w:val="none" w:sz="0" w:space="0" w:color="auto"/>
        <w:left w:val="none" w:sz="0" w:space="0" w:color="auto"/>
        <w:bottom w:val="none" w:sz="0" w:space="0" w:color="auto"/>
        <w:right w:val="none" w:sz="0" w:space="0" w:color="auto"/>
      </w:divBdr>
      <w:divsChild>
        <w:div w:id="1811047924">
          <w:marLeft w:val="547"/>
          <w:marRight w:val="0"/>
          <w:marTop w:val="96"/>
          <w:marBottom w:val="0"/>
          <w:divBdr>
            <w:top w:val="none" w:sz="0" w:space="0" w:color="auto"/>
            <w:left w:val="none" w:sz="0" w:space="0" w:color="auto"/>
            <w:bottom w:val="none" w:sz="0" w:space="0" w:color="auto"/>
            <w:right w:val="none" w:sz="0" w:space="0" w:color="auto"/>
          </w:divBdr>
        </w:div>
        <w:div w:id="1811047932">
          <w:marLeft w:val="547"/>
          <w:marRight w:val="0"/>
          <w:marTop w:val="96"/>
          <w:marBottom w:val="0"/>
          <w:divBdr>
            <w:top w:val="none" w:sz="0" w:space="0" w:color="auto"/>
            <w:left w:val="none" w:sz="0" w:space="0" w:color="auto"/>
            <w:bottom w:val="none" w:sz="0" w:space="0" w:color="auto"/>
            <w:right w:val="none" w:sz="0" w:space="0" w:color="auto"/>
          </w:divBdr>
        </w:div>
        <w:div w:id="1811047939">
          <w:marLeft w:val="547"/>
          <w:marRight w:val="0"/>
          <w:marTop w:val="96"/>
          <w:marBottom w:val="0"/>
          <w:divBdr>
            <w:top w:val="none" w:sz="0" w:space="0" w:color="auto"/>
            <w:left w:val="none" w:sz="0" w:space="0" w:color="auto"/>
            <w:bottom w:val="none" w:sz="0" w:space="0" w:color="auto"/>
            <w:right w:val="none" w:sz="0" w:space="0" w:color="auto"/>
          </w:divBdr>
        </w:div>
        <w:div w:id="1811047960">
          <w:marLeft w:val="547"/>
          <w:marRight w:val="0"/>
          <w:marTop w:val="96"/>
          <w:marBottom w:val="0"/>
          <w:divBdr>
            <w:top w:val="none" w:sz="0" w:space="0" w:color="auto"/>
            <w:left w:val="none" w:sz="0" w:space="0" w:color="auto"/>
            <w:bottom w:val="none" w:sz="0" w:space="0" w:color="auto"/>
            <w:right w:val="none" w:sz="0" w:space="0" w:color="auto"/>
          </w:divBdr>
        </w:div>
        <w:div w:id="1811047961">
          <w:marLeft w:val="547"/>
          <w:marRight w:val="0"/>
          <w:marTop w:val="96"/>
          <w:marBottom w:val="0"/>
          <w:divBdr>
            <w:top w:val="none" w:sz="0" w:space="0" w:color="auto"/>
            <w:left w:val="none" w:sz="0" w:space="0" w:color="auto"/>
            <w:bottom w:val="none" w:sz="0" w:space="0" w:color="auto"/>
            <w:right w:val="none" w:sz="0" w:space="0" w:color="auto"/>
          </w:divBdr>
        </w:div>
        <w:div w:id="1811047975">
          <w:marLeft w:val="547"/>
          <w:marRight w:val="0"/>
          <w:marTop w:val="115"/>
          <w:marBottom w:val="0"/>
          <w:divBdr>
            <w:top w:val="none" w:sz="0" w:space="0" w:color="auto"/>
            <w:left w:val="none" w:sz="0" w:space="0" w:color="auto"/>
            <w:bottom w:val="none" w:sz="0" w:space="0" w:color="auto"/>
            <w:right w:val="none" w:sz="0" w:space="0" w:color="auto"/>
          </w:divBdr>
        </w:div>
        <w:div w:id="1811047988">
          <w:marLeft w:val="547"/>
          <w:marRight w:val="0"/>
          <w:marTop w:val="96"/>
          <w:marBottom w:val="0"/>
          <w:divBdr>
            <w:top w:val="none" w:sz="0" w:space="0" w:color="auto"/>
            <w:left w:val="none" w:sz="0" w:space="0" w:color="auto"/>
            <w:bottom w:val="none" w:sz="0" w:space="0" w:color="auto"/>
            <w:right w:val="none" w:sz="0" w:space="0" w:color="auto"/>
          </w:divBdr>
        </w:div>
      </w:divsChild>
    </w:div>
    <w:div w:id="1811047962">
      <w:marLeft w:val="0"/>
      <w:marRight w:val="0"/>
      <w:marTop w:val="0"/>
      <w:marBottom w:val="0"/>
      <w:divBdr>
        <w:top w:val="none" w:sz="0" w:space="0" w:color="auto"/>
        <w:left w:val="none" w:sz="0" w:space="0" w:color="auto"/>
        <w:bottom w:val="none" w:sz="0" w:space="0" w:color="auto"/>
        <w:right w:val="none" w:sz="0" w:space="0" w:color="auto"/>
      </w:divBdr>
      <w:divsChild>
        <w:div w:id="1811047935">
          <w:marLeft w:val="547"/>
          <w:marRight w:val="0"/>
          <w:marTop w:val="115"/>
          <w:marBottom w:val="0"/>
          <w:divBdr>
            <w:top w:val="none" w:sz="0" w:space="0" w:color="auto"/>
            <w:left w:val="none" w:sz="0" w:space="0" w:color="auto"/>
            <w:bottom w:val="none" w:sz="0" w:space="0" w:color="auto"/>
            <w:right w:val="none" w:sz="0" w:space="0" w:color="auto"/>
          </w:divBdr>
        </w:div>
        <w:div w:id="1811047972">
          <w:marLeft w:val="547"/>
          <w:marRight w:val="0"/>
          <w:marTop w:val="115"/>
          <w:marBottom w:val="0"/>
          <w:divBdr>
            <w:top w:val="none" w:sz="0" w:space="0" w:color="auto"/>
            <w:left w:val="none" w:sz="0" w:space="0" w:color="auto"/>
            <w:bottom w:val="none" w:sz="0" w:space="0" w:color="auto"/>
            <w:right w:val="none" w:sz="0" w:space="0" w:color="auto"/>
          </w:divBdr>
        </w:div>
      </w:divsChild>
    </w:div>
    <w:div w:id="1811047963">
      <w:marLeft w:val="0"/>
      <w:marRight w:val="0"/>
      <w:marTop w:val="0"/>
      <w:marBottom w:val="0"/>
      <w:divBdr>
        <w:top w:val="none" w:sz="0" w:space="0" w:color="auto"/>
        <w:left w:val="none" w:sz="0" w:space="0" w:color="auto"/>
        <w:bottom w:val="none" w:sz="0" w:space="0" w:color="auto"/>
        <w:right w:val="none" w:sz="0" w:space="0" w:color="auto"/>
      </w:divBdr>
    </w:div>
    <w:div w:id="1811047966">
      <w:marLeft w:val="0"/>
      <w:marRight w:val="0"/>
      <w:marTop w:val="0"/>
      <w:marBottom w:val="0"/>
      <w:divBdr>
        <w:top w:val="none" w:sz="0" w:space="0" w:color="auto"/>
        <w:left w:val="none" w:sz="0" w:space="0" w:color="auto"/>
        <w:bottom w:val="none" w:sz="0" w:space="0" w:color="auto"/>
        <w:right w:val="none" w:sz="0" w:space="0" w:color="auto"/>
      </w:divBdr>
    </w:div>
    <w:div w:id="1811047967">
      <w:marLeft w:val="0"/>
      <w:marRight w:val="0"/>
      <w:marTop w:val="0"/>
      <w:marBottom w:val="0"/>
      <w:divBdr>
        <w:top w:val="none" w:sz="0" w:space="0" w:color="auto"/>
        <w:left w:val="none" w:sz="0" w:space="0" w:color="auto"/>
        <w:bottom w:val="none" w:sz="0" w:space="0" w:color="auto"/>
        <w:right w:val="none" w:sz="0" w:space="0" w:color="auto"/>
      </w:divBdr>
    </w:div>
    <w:div w:id="1811047969">
      <w:marLeft w:val="0"/>
      <w:marRight w:val="0"/>
      <w:marTop w:val="0"/>
      <w:marBottom w:val="0"/>
      <w:divBdr>
        <w:top w:val="none" w:sz="0" w:space="0" w:color="auto"/>
        <w:left w:val="none" w:sz="0" w:space="0" w:color="auto"/>
        <w:bottom w:val="none" w:sz="0" w:space="0" w:color="auto"/>
        <w:right w:val="none" w:sz="0" w:space="0" w:color="auto"/>
      </w:divBdr>
      <w:divsChild>
        <w:div w:id="1811047958">
          <w:marLeft w:val="547"/>
          <w:marRight w:val="0"/>
          <w:marTop w:val="96"/>
          <w:marBottom w:val="0"/>
          <w:divBdr>
            <w:top w:val="none" w:sz="0" w:space="0" w:color="auto"/>
            <w:left w:val="none" w:sz="0" w:space="0" w:color="auto"/>
            <w:bottom w:val="none" w:sz="0" w:space="0" w:color="auto"/>
            <w:right w:val="none" w:sz="0" w:space="0" w:color="auto"/>
          </w:divBdr>
        </w:div>
      </w:divsChild>
    </w:div>
    <w:div w:id="1811047971">
      <w:marLeft w:val="0"/>
      <w:marRight w:val="0"/>
      <w:marTop w:val="0"/>
      <w:marBottom w:val="0"/>
      <w:divBdr>
        <w:top w:val="none" w:sz="0" w:space="0" w:color="auto"/>
        <w:left w:val="none" w:sz="0" w:space="0" w:color="auto"/>
        <w:bottom w:val="none" w:sz="0" w:space="0" w:color="auto"/>
        <w:right w:val="none" w:sz="0" w:space="0" w:color="auto"/>
      </w:divBdr>
    </w:div>
    <w:div w:id="1811047976">
      <w:marLeft w:val="0"/>
      <w:marRight w:val="0"/>
      <w:marTop w:val="0"/>
      <w:marBottom w:val="0"/>
      <w:divBdr>
        <w:top w:val="none" w:sz="0" w:space="0" w:color="auto"/>
        <w:left w:val="none" w:sz="0" w:space="0" w:color="auto"/>
        <w:bottom w:val="none" w:sz="0" w:space="0" w:color="auto"/>
        <w:right w:val="none" w:sz="0" w:space="0" w:color="auto"/>
      </w:divBdr>
      <w:divsChild>
        <w:div w:id="1811047946">
          <w:marLeft w:val="547"/>
          <w:marRight w:val="0"/>
          <w:marTop w:val="96"/>
          <w:marBottom w:val="0"/>
          <w:divBdr>
            <w:top w:val="none" w:sz="0" w:space="0" w:color="auto"/>
            <w:left w:val="none" w:sz="0" w:space="0" w:color="auto"/>
            <w:bottom w:val="none" w:sz="0" w:space="0" w:color="auto"/>
            <w:right w:val="none" w:sz="0" w:space="0" w:color="auto"/>
          </w:divBdr>
        </w:div>
        <w:div w:id="1811047978">
          <w:marLeft w:val="547"/>
          <w:marRight w:val="0"/>
          <w:marTop w:val="96"/>
          <w:marBottom w:val="0"/>
          <w:divBdr>
            <w:top w:val="none" w:sz="0" w:space="0" w:color="auto"/>
            <w:left w:val="none" w:sz="0" w:space="0" w:color="auto"/>
            <w:bottom w:val="none" w:sz="0" w:space="0" w:color="auto"/>
            <w:right w:val="none" w:sz="0" w:space="0" w:color="auto"/>
          </w:divBdr>
        </w:div>
      </w:divsChild>
    </w:div>
    <w:div w:id="1811047977">
      <w:marLeft w:val="0"/>
      <w:marRight w:val="0"/>
      <w:marTop w:val="0"/>
      <w:marBottom w:val="0"/>
      <w:divBdr>
        <w:top w:val="none" w:sz="0" w:space="0" w:color="auto"/>
        <w:left w:val="none" w:sz="0" w:space="0" w:color="auto"/>
        <w:bottom w:val="none" w:sz="0" w:space="0" w:color="auto"/>
        <w:right w:val="none" w:sz="0" w:space="0" w:color="auto"/>
      </w:divBdr>
      <w:divsChild>
        <w:div w:id="1811047965">
          <w:marLeft w:val="547"/>
          <w:marRight w:val="0"/>
          <w:marTop w:val="96"/>
          <w:marBottom w:val="0"/>
          <w:divBdr>
            <w:top w:val="none" w:sz="0" w:space="0" w:color="auto"/>
            <w:left w:val="none" w:sz="0" w:space="0" w:color="auto"/>
            <w:bottom w:val="none" w:sz="0" w:space="0" w:color="auto"/>
            <w:right w:val="none" w:sz="0" w:space="0" w:color="auto"/>
          </w:divBdr>
        </w:div>
        <w:div w:id="1811047986">
          <w:marLeft w:val="547"/>
          <w:marRight w:val="0"/>
          <w:marTop w:val="96"/>
          <w:marBottom w:val="0"/>
          <w:divBdr>
            <w:top w:val="none" w:sz="0" w:space="0" w:color="auto"/>
            <w:left w:val="none" w:sz="0" w:space="0" w:color="auto"/>
            <w:bottom w:val="none" w:sz="0" w:space="0" w:color="auto"/>
            <w:right w:val="none" w:sz="0" w:space="0" w:color="auto"/>
          </w:divBdr>
        </w:div>
      </w:divsChild>
    </w:div>
    <w:div w:id="1811047984">
      <w:marLeft w:val="0"/>
      <w:marRight w:val="0"/>
      <w:marTop w:val="0"/>
      <w:marBottom w:val="0"/>
      <w:divBdr>
        <w:top w:val="none" w:sz="0" w:space="0" w:color="auto"/>
        <w:left w:val="none" w:sz="0" w:space="0" w:color="auto"/>
        <w:bottom w:val="none" w:sz="0" w:space="0" w:color="auto"/>
        <w:right w:val="none" w:sz="0" w:space="0" w:color="auto"/>
      </w:divBdr>
      <w:divsChild>
        <w:div w:id="1811047927">
          <w:marLeft w:val="547"/>
          <w:marRight w:val="0"/>
          <w:marTop w:val="96"/>
          <w:marBottom w:val="0"/>
          <w:divBdr>
            <w:top w:val="none" w:sz="0" w:space="0" w:color="auto"/>
            <w:left w:val="none" w:sz="0" w:space="0" w:color="auto"/>
            <w:bottom w:val="none" w:sz="0" w:space="0" w:color="auto"/>
            <w:right w:val="none" w:sz="0" w:space="0" w:color="auto"/>
          </w:divBdr>
        </w:div>
      </w:divsChild>
    </w:div>
    <w:div w:id="1811047985">
      <w:marLeft w:val="0"/>
      <w:marRight w:val="0"/>
      <w:marTop w:val="0"/>
      <w:marBottom w:val="0"/>
      <w:divBdr>
        <w:top w:val="none" w:sz="0" w:space="0" w:color="auto"/>
        <w:left w:val="none" w:sz="0" w:space="0" w:color="auto"/>
        <w:bottom w:val="none" w:sz="0" w:space="0" w:color="auto"/>
        <w:right w:val="none" w:sz="0" w:space="0" w:color="auto"/>
      </w:divBdr>
      <w:divsChild>
        <w:div w:id="1811047951">
          <w:marLeft w:val="547"/>
          <w:marRight w:val="0"/>
          <w:marTop w:val="115"/>
          <w:marBottom w:val="0"/>
          <w:divBdr>
            <w:top w:val="none" w:sz="0" w:space="0" w:color="auto"/>
            <w:left w:val="none" w:sz="0" w:space="0" w:color="auto"/>
            <w:bottom w:val="none" w:sz="0" w:space="0" w:color="auto"/>
            <w:right w:val="none" w:sz="0" w:space="0" w:color="auto"/>
          </w:divBdr>
        </w:div>
        <w:div w:id="181104798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chart" Target="charts/chart4.xml"/><Relationship Id="rId39" Type="http://schemas.openxmlformats.org/officeDocument/2006/relationships/image" Target="media/image25.emf"/><Relationship Id="rId21" Type="http://schemas.openxmlformats.org/officeDocument/2006/relationships/image" Target="media/image12.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png"/><Relationship Id="rId50" Type="http://schemas.openxmlformats.org/officeDocument/2006/relationships/image" Target="media/image36.emf"/><Relationship Id="rId55" Type="http://schemas.openxmlformats.org/officeDocument/2006/relationships/image" Target="media/image41.png"/><Relationship Id="rId63" Type="http://schemas.openxmlformats.org/officeDocument/2006/relationships/image" Target="media/image46.png"/><Relationship Id="rId68" Type="http://schemas.openxmlformats.org/officeDocument/2006/relationships/chart" Target="charts/chart9.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7.emf"/><Relationship Id="rId11" Type="http://schemas.openxmlformats.org/officeDocument/2006/relationships/image" Target="media/image3.emf"/><Relationship Id="rId24" Type="http://schemas.openxmlformats.org/officeDocument/2006/relationships/chart" Target="charts/chart2.xml"/><Relationship Id="rId32" Type="http://schemas.openxmlformats.org/officeDocument/2006/relationships/image" Target="media/image19.jpeg"/><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png"/><Relationship Id="rId53" Type="http://schemas.openxmlformats.org/officeDocument/2006/relationships/image" Target="media/image39.emf"/><Relationship Id="rId58" Type="http://schemas.openxmlformats.org/officeDocument/2006/relationships/image" Target="media/image42.emf"/><Relationship Id="rId66" Type="http://schemas.openxmlformats.org/officeDocument/2006/relationships/image" Target="media/image48.emf"/><Relationship Id="rId74" Type="http://schemas.openxmlformats.org/officeDocument/2006/relationships/image" Target="media/image5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6.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chart" Target="charts/chart6.xml"/><Relationship Id="rId61" Type="http://schemas.openxmlformats.org/officeDocument/2006/relationships/image" Target="media/image45.emf"/><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cid:image001.jpg@01CCC94A.62E66150" TargetMode="External"/><Relationship Id="rId44" Type="http://schemas.openxmlformats.org/officeDocument/2006/relationships/image" Target="media/image30.png"/><Relationship Id="rId52" Type="http://schemas.openxmlformats.org/officeDocument/2006/relationships/image" Target="media/image38.emf"/><Relationship Id="rId60" Type="http://schemas.openxmlformats.org/officeDocument/2006/relationships/image" Target="media/image44.emf"/><Relationship Id="rId65" Type="http://schemas.openxmlformats.org/officeDocument/2006/relationships/chart" Target="charts/chart7.xml"/><Relationship Id="rId73"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chart" Target="charts/chart5.xml"/><Relationship Id="rId64" Type="http://schemas.openxmlformats.org/officeDocument/2006/relationships/image" Target="media/image47.png"/><Relationship Id="rId69" Type="http://schemas.openxmlformats.org/officeDocument/2006/relationships/image" Target="media/image49.png"/><Relationship Id="rId8" Type="http://schemas.openxmlformats.org/officeDocument/2006/relationships/header" Target="header1.xml"/><Relationship Id="rId51" Type="http://schemas.openxmlformats.org/officeDocument/2006/relationships/image" Target="media/image37.emf"/><Relationship Id="rId72" Type="http://schemas.openxmlformats.org/officeDocument/2006/relationships/image" Target="media/image5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chart" Target="charts/chart3.xml"/><Relationship Id="rId33" Type="http://schemas.openxmlformats.org/officeDocument/2006/relationships/image" Target="cid:image002.jpg@01CCC94A.62E66150" TargetMode="External"/><Relationship Id="rId38" Type="http://schemas.openxmlformats.org/officeDocument/2006/relationships/image" Target="media/image24.emf"/><Relationship Id="rId46" Type="http://schemas.openxmlformats.org/officeDocument/2006/relationships/image" Target="media/image32.png"/><Relationship Id="rId59" Type="http://schemas.openxmlformats.org/officeDocument/2006/relationships/image" Target="media/image43.emf"/><Relationship Id="rId67" Type="http://schemas.openxmlformats.org/officeDocument/2006/relationships/chart" Target="charts/chart8.xml"/><Relationship Id="rId20" Type="http://schemas.openxmlformats.org/officeDocument/2006/relationships/image" Target="media/image11.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hyperlink" Target="http://www.199it.com/archives/tag/%e6%99%ba%e8%83%bd%e6%89%8b%e6%9c%ba" TargetMode="External"/><Relationship Id="rId70" Type="http://schemas.openxmlformats.org/officeDocument/2006/relationships/chart" Target="charts/chart10.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liuxc\Local%20Settings\Temporary%20Internet%20Files\Content.Outlook\Q4QSPJR9\&#23433;&#20449;&#35777;&#21048;_&#25968;&#25454;&#20135;&#21697;_&#31574;&#30053;&#25968;&#25454;&#21608;&#25253;&#65288;2011&#24180;12&#26376;26&#26085;&#65289;.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liuxc\Local%20Settings\Temporary%20Internet%20Files\Content.Outlook\Q4QSPJR9\&#23433;&#20449;&#35777;&#21048;_&#25968;&#25454;&#20135;&#21697;_&#31574;&#30053;&#25968;&#25454;&#21608;&#25253;&#65288;2011&#24180;12&#26376;26&#26085;&#65289;.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liuxc\Local%20Settings\Temporary%20Internet%20Files\Content.Outlook\Q4QSPJR9\&#23433;&#20449;&#35777;&#21048;_&#25968;&#25454;&#20135;&#21697;_&#31574;&#30053;&#25968;&#25454;&#21608;&#25253;&#65288;2011&#24180;12&#26376;26&#26085;&#65289;.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2269;&#20449;&#26377;&#33394;&#25968;&#25454;&#24211;.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___1.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___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8.xml.rels><?xml version="1.0" encoding="UTF-8" standalone="yes"?>
<Relationships xmlns="http://schemas.openxmlformats.org/package/2006/relationships"><Relationship Id="rId1" Type="http://schemas.openxmlformats.org/officeDocument/2006/relationships/oleObject" Target="file:///E:\&#34892;&#19994;&#25253;&#21578;\&#24433;&#35270;&#21095;\&#30005;&#24433;&#31080;&#2515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34892;&#19994;&#25253;&#21578;\&#24433;&#35270;&#21095;\&#30005;&#35270;&#21095;&#20135;&#37327;&#12289;&#21333;&#20215;&#3156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000" b="1" i="0" u="none" strike="noStrike" baseline="0">
                <a:solidFill>
                  <a:srgbClr val="000000"/>
                </a:solidFill>
                <a:latin typeface="宋体"/>
                <a:ea typeface="宋体"/>
                <a:cs typeface="宋体"/>
              </a:defRPr>
            </a:pPr>
            <a:r>
              <a:rPr lang="zh-CN" altLang="en-US" sz="900" b="0" i="0" u="none" strike="noStrike" baseline="0">
                <a:solidFill>
                  <a:srgbClr val="000000"/>
                </a:solidFill>
                <a:latin typeface="宋体"/>
                <a:ea typeface="宋体"/>
              </a:rPr>
              <a:t>全部</a:t>
            </a:r>
            <a:r>
              <a:rPr lang="en-US" altLang="zh-CN" sz="900" b="0" i="0" u="none" strike="noStrike" baseline="0">
                <a:solidFill>
                  <a:srgbClr val="000000"/>
                </a:solidFill>
                <a:latin typeface="宋体"/>
                <a:ea typeface="宋体"/>
              </a:rPr>
              <a:t>A</a:t>
            </a:r>
            <a:r>
              <a:rPr lang="zh-CN" altLang="en-US" sz="900" b="0" i="0" u="none" strike="noStrike" baseline="0">
                <a:solidFill>
                  <a:srgbClr val="000000"/>
                </a:solidFill>
                <a:latin typeface="宋体"/>
                <a:ea typeface="宋体"/>
              </a:rPr>
              <a:t>股</a:t>
            </a:r>
            <a:r>
              <a:rPr lang="en-US" altLang="zh-CN" sz="900" b="0" i="0" u="none" strike="noStrike" baseline="0">
                <a:solidFill>
                  <a:srgbClr val="000000"/>
                </a:solidFill>
                <a:latin typeface="宋体"/>
                <a:ea typeface="宋体"/>
              </a:rPr>
              <a:t>ROE</a:t>
            </a:r>
            <a:r>
              <a:rPr lang="zh-CN" altLang="en-US" sz="900" b="0" i="0" u="none" strike="noStrike" baseline="0">
                <a:solidFill>
                  <a:srgbClr val="000000"/>
                </a:solidFill>
                <a:latin typeface="宋体"/>
                <a:ea typeface="宋体"/>
              </a:rPr>
              <a:t>（</a:t>
            </a:r>
            <a:r>
              <a:rPr lang="en-US" altLang="zh-CN" sz="900" b="0" i="0" u="none" strike="noStrike" baseline="0">
                <a:solidFill>
                  <a:srgbClr val="000000"/>
                </a:solidFill>
                <a:latin typeface="宋体"/>
                <a:ea typeface="宋体"/>
              </a:rPr>
              <a:t>TTM</a:t>
            </a:r>
            <a:r>
              <a:rPr lang="zh-CN" altLang="en-US" sz="900" b="0" i="0" u="none" strike="noStrike" baseline="0">
                <a:solidFill>
                  <a:srgbClr val="000000"/>
                </a:solidFill>
                <a:latin typeface="宋体"/>
                <a:ea typeface="宋体"/>
              </a:rPr>
              <a:t>）</a:t>
            </a:r>
          </a:p>
        </c:rich>
      </c:tx>
      <c:layout>
        <c:manualLayout>
          <c:xMode val="edge"/>
          <c:yMode val="edge"/>
          <c:x val="0.41255605381165938"/>
          <c:y val="1.9011406844106463E-2"/>
        </c:manualLayout>
      </c:layout>
      <c:spPr>
        <a:noFill/>
        <a:ln w="25400">
          <a:noFill/>
        </a:ln>
      </c:spPr>
    </c:title>
    <c:plotArea>
      <c:layout>
        <c:manualLayout>
          <c:layoutTarget val="inner"/>
          <c:xMode val="edge"/>
          <c:yMode val="edge"/>
          <c:x val="6.0538116591928384E-2"/>
          <c:y val="0.10266159695817532"/>
          <c:w val="0.93049327354260092"/>
          <c:h val="0.65779467680608983"/>
        </c:manualLayout>
      </c:layout>
      <c:lineChart>
        <c:grouping val="standard"/>
        <c:ser>
          <c:idx val="0"/>
          <c:order val="0"/>
          <c:tx>
            <c:v>ROE-非金融</c:v>
          </c:tx>
          <c:spPr>
            <a:ln w="25400">
              <a:solidFill>
                <a:srgbClr val="808080"/>
              </a:solidFill>
              <a:prstDash val="solid"/>
            </a:ln>
          </c:spPr>
          <c:marker>
            <c:symbol val="none"/>
          </c:marker>
          <c:cat>
            <c:strRef>
              <c:f>'安信证券_数据产品_策略数据周报（2011年12月26日）.xls'!roex</c:f>
              <c:strCache>
                <c:ptCount val="36"/>
                <c:pt idx="0">
                  <c:v>2002-4Q</c:v>
                </c:pt>
                <c:pt idx="1">
                  <c:v>2003-1Q</c:v>
                </c:pt>
                <c:pt idx="2">
                  <c:v>2003-2Q</c:v>
                </c:pt>
                <c:pt idx="3">
                  <c:v>2003-3Q</c:v>
                </c:pt>
                <c:pt idx="4">
                  <c:v>2003-4Q</c:v>
                </c:pt>
                <c:pt idx="5">
                  <c:v>2004-1Q</c:v>
                </c:pt>
                <c:pt idx="6">
                  <c:v>2004-2Q</c:v>
                </c:pt>
                <c:pt idx="7">
                  <c:v>2004-3Q</c:v>
                </c:pt>
                <c:pt idx="8">
                  <c:v>2004-4Q</c:v>
                </c:pt>
                <c:pt idx="9">
                  <c:v>2005-1Q</c:v>
                </c:pt>
                <c:pt idx="10">
                  <c:v>2005-2Q</c:v>
                </c:pt>
                <c:pt idx="11">
                  <c:v>2005-3Q</c:v>
                </c:pt>
                <c:pt idx="12">
                  <c:v>2005-4Q</c:v>
                </c:pt>
                <c:pt idx="13">
                  <c:v>2006-1Q</c:v>
                </c:pt>
                <c:pt idx="14">
                  <c:v>2006-2Q</c:v>
                </c:pt>
                <c:pt idx="15">
                  <c:v>2006-3Q</c:v>
                </c:pt>
                <c:pt idx="16">
                  <c:v>2006-4Q</c:v>
                </c:pt>
                <c:pt idx="17">
                  <c:v>2007-1Q</c:v>
                </c:pt>
                <c:pt idx="18">
                  <c:v>2007-2Q</c:v>
                </c:pt>
                <c:pt idx="19">
                  <c:v>2007-3Q</c:v>
                </c:pt>
                <c:pt idx="20">
                  <c:v>2007-4Q</c:v>
                </c:pt>
                <c:pt idx="21">
                  <c:v>2008-1Q</c:v>
                </c:pt>
                <c:pt idx="22">
                  <c:v>2008-2Q</c:v>
                </c:pt>
                <c:pt idx="23">
                  <c:v>2008-3Q</c:v>
                </c:pt>
                <c:pt idx="24">
                  <c:v>2008-4Q</c:v>
                </c:pt>
                <c:pt idx="25">
                  <c:v>2009-1Q</c:v>
                </c:pt>
                <c:pt idx="26">
                  <c:v>2009-2Q</c:v>
                </c:pt>
                <c:pt idx="27">
                  <c:v>2009-3Q</c:v>
                </c:pt>
                <c:pt idx="28">
                  <c:v>2009-4Q</c:v>
                </c:pt>
                <c:pt idx="29">
                  <c:v>2010-1Q</c:v>
                </c:pt>
                <c:pt idx="30">
                  <c:v>2010-2Q</c:v>
                </c:pt>
                <c:pt idx="31">
                  <c:v>2010-3Q</c:v>
                </c:pt>
                <c:pt idx="32">
                  <c:v>2010-4Q</c:v>
                </c:pt>
                <c:pt idx="33">
                  <c:v>2011-1Q</c:v>
                </c:pt>
                <c:pt idx="34">
                  <c:v>2011-2Q</c:v>
                </c:pt>
                <c:pt idx="35">
                  <c:v>2011-3Q</c:v>
                </c:pt>
              </c:strCache>
            </c:strRef>
          </c:cat>
          <c:val>
            <c:numRef>
              <c:f>'安信证券_数据产品_策略数据周报（2011年12月26日）.xls'!roey2</c:f>
              <c:numCache>
                <c:formatCode>0.00</c:formatCode>
                <c:ptCount val="36"/>
                <c:pt idx="0">
                  <c:v>6.7707491225419947</c:v>
                </c:pt>
                <c:pt idx="1">
                  <c:v>7.6613790124637164</c:v>
                </c:pt>
                <c:pt idx="2">
                  <c:v>7.633144876560082</c:v>
                </c:pt>
                <c:pt idx="3">
                  <c:v>8.0254429798795268</c:v>
                </c:pt>
                <c:pt idx="4">
                  <c:v>8.3116670300789028</c:v>
                </c:pt>
                <c:pt idx="5">
                  <c:v>8.9129226110762225</c:v>
                </c:pt>
                <c:pt idx="6">
                  <c:v>9.660050686537982</c:v>
                </c:pt>
                <c:pt idx="7">
                  <c:v>10.171356765172918</c:v>
                </c:pt>
                <c:pt idx="8">
                  <c:v>10.18261876516625</c:v>
                </c:pt>
                <c:pt idx="9">
                  <c:v>9.9928372454149788</c:v>
                </c:pt>
                <c:pt idx="10">
                  <c:v>10.041980002901131</c:v>
                </c:pt>
                <c:pt idx="11">
                  <c:v>9.5246167668818416</c:v>
                </c:pt>
                <c:pt idx="12">
                  <c:v>9.2343096320239759</c:v>
                </c:pt>
                <c:pt idx="13">
                  <c:v>8.7262543330578985</c:v>
                </c:pt>
                <c:pt idx="14">
                  <c:v>9.1838330429830197</c:v>
                </c:pt>
                <c:pt idx="15">
                  <c:v>10.079750590114537</c:v>
                </c:pt>
                <c:pt idx="16">
                  <c:v>11.80477405815717</c:v>
                </c:pt>
                <c:pt idx="17">
                  <c:v>13.066874700176818</c:v>
                </c:pt>
                <c:pt idx="18">
                  <c:v>14.403559977241391</c:v>
                </c:pt>
                <c:pt idx="19">
                  <c:v>14.632314546139396</c:v>
                </c:pt>
                <c:pt idx="20">
                  <c:v>14.220204096314099</c:v>
                </c:pt>
                <c:pt idx="21">
                  <c:v>13.901927604046818</c:v>
                </c:pt>
                <c:pt idx="22">
                  <c:v>14.698631597857927</c:v>
                </c:pt>
                <c:pt idx="23">
                  <c:v>13.348429209627987</c:v>
                </c:pt>
                <c:pt idx="24">
                  <c:v>10.167593739920084</c:v>
                </c:pt>
                <c:pt idx="25">
                  <c:v>8.7037713164611219</c:v>
                </c:pt>
                <c:pt idx="26">
                  <c:v>8.3804202416543205</c:v>
                </c:pt>
                <c:pt idx="27">
                  <c:v>8.5157564179517227</c:v>
                </c:pt>
                <c:pt idx="28">
                  <c:v>10.643113984086508</c:v>
                </c:pt>
                <c:pt idx="29">
                  <c:v>11.908787611416766</c:v>
                </c:pt>
                <c:pt idx="30">
                  <c:v>12.792067789160788</c:v>
                </c:pt>
                <c:pt idx="31">
                  <c:v>13.021167433174668</c:v>
                </c:pt>
                <c:pt idx="32">
                  <c:v>14.446299944013937</c:v>
                </c:pt>
                <c:pt idx="33">
                  <c:v>13.589080596080352</c:v>
                </c:pt>
                <c:pt idx="34">
                  <c:v>13.763036043372084</c:v>
                </c:pt>
                <c:pt idx="35">
                  <c:v>13.407410765431141</c:v>
                </c:pt>
              </c:numCache>
            </c:numRef>
          </c:val>
        </c:ser>
        <c:ser>
          <c:idx val="2"/>
          <c:order val="1"/>
          <c:tx>
            <c:v>ROE</c:v>
          </c:tx>
          <c:spPr>
            <a:ln w="25400">
              <a:solidFill>
                <a:srgbClr val="000080"/>
              </a:solidFill>
              <a:prstDash val="solid"/>
            </a:ln>
          </c:spPr>
          <c:marker>
            <c:symbol val="none"/>
          </c:marker>
          <c:cat>
            <c:strRef>
              <c:f>'安信证券_数据产品_策略数据周报（2011年12月26日）.xls'!roex</c:f>
              <c:strCache>
                <c:ptCount val="36"/>
                <c:pt idx="0">
                  <c:v>2002-4Q</c:v>
                </c:pt>
                <c:pt idx="1">
                  <c:v>2003-1Q</c:v>
                </c:pt>
                <c:pt idx="2">
                  <c:v>2003-2Q</c:v>
                </c:pt>
                <c:pt idx="3">
                  <c:v>2003-3Q</c:v>
                </c:pt>
                <c:pt idx="4">
                  <c:v>2003-4Q</c:v>
                </c:pt>
                <c:pt idx="5">
                  <c:v>2004-1Q</c:v>
                </c:pt>
                <c:pt idx="6">
                  <c:v>2004-2Q</c:v>
                </c:pt>
                <c:pt idx="7">
                  <c:v>2004-3Q</c:v>
                </c:pt>
                <c:pt idx="8">
                  <c:v>2004-4Q</c:v>
                </c:pt>
                <c:pt idx="9">
                  <c:v>2005-1Q</c:v>
                </c:pt>
                <c:pt idx="10">
                  <c:v>2005-2Q</c:v>
                </c:pt>
                <c:pt idx="11">
                  <c:v>2005-3Q</c:v>
                </c:pt>
                <c:pt idx="12">
                  <c:v>2005-4Q</c:v>
                </c:pt>
                <c:pt idx="13">
                  <c:v>2006-1Q</c:v>
                </c:pt>
                <c:pt idx="14">
                  <c:v>2006-2Q</c:v>
                </c:pt>
                <c:pt idx="15">
                  <c:v>2006-3Q</c:v>
                </c:pt>
                <c:pt idx="16">
                  <c:v>2006-4Q</c:v>
                </c:pt>
                <c:pt idx="17">
                  <c:v>2007-1Q</c:v>
                </c:pt>
                <c:pt idx="18">
                  <c:v>2007-2Q</c:v>
                </c:pt>
                <c:pt idx="19">
                  <c:v>2007-3Q</c:v>
                </c:pt>
                <c:pt idx="20">
                  <c:v>2007-4Q</c:v>
                </c:pt>
                <c:pt idx="21">
                  <c:v>2008-1Q</c:v>
                </c:pt>
                <c:pt idx="22">
                  <c:v>2008-2Q</c:v>
                </c:pt>
                <c:pt idx="23">
                  <c:v>2008-3Q</c:v>
                </c:pt>
                <c:pt idx="24">
                  <c:v>2008-4Q</c:v>
                </c:pt>
                <c:pt idx="25">
                  <c:v>2009-1Q</c:v>
                </c:pt>
                <c:pt idx="26">
                  <c:v>2009-2Q</c:v>
                </c:pt>
                <c:pt idx="27">
                  <c:v>2009-3Q</c:v>
                </c:pt>
                <c:pt idx="28">
                  <c:v>2009-4Q</c:v>
                </c:pt>
                <c:pt idx="29">
                  <c:v>2010-1Q</c:v>
                </c:pt>
                <c:pt idx="30">
                  <c:v>2010-2Q</c:v>
                </c:pt>
                <c:pt idx="31">
                  <c:v>2010-3Q</c:v>
                </c:pt>
                <c:pt idx="32">
                  <c:v>2010-4Q</c:v>
                </c:pt>
                <c:pt idx="33">
                  <c:v>2011-1Q</c:v>
                </c:pt>
                <c:pt idx="34">
                  <c:v>2011-2Q</c:v>
                </c:pt>
                <c:pt idx="35">
                  <c:v>2011-3Q</c:v>
                </c:pt>
              </c:strCache>
            </c:strRef>
          </c:cat>
          <c:val>
            <c:numRef>
              <c:f>'安信证券_数据产品_策略数据周报（2011年12月26日）.xls'!roey1</c:f>
              <c:numCache>
                <c:formatCode>0.00</c:formatCode>
                <c:ptCount val="36"/>
                <c:pt idx="0">
                  <c:v>6.8234478478350198</c:v>
                </c:pt>
                <c:pt idx="1">
                  <c:v>7.6958251300758445</c:v>
                </c:pt>
                <c:pt idx="2">
                  <c:v>7.7158602774362883</c:v>
                </c:pt>
                <c:pt idx="3">
                  <c:v>8.109600256780066</c:v>
                </c:pt>
                <c:pt idx="4">
                  <c:v>8.3962950884223702</c:v>
                </c:pt>
                <c:pt idx="5">
                  <c:v>8.9954980633872985</c:v>
                </c:pt>
                <c:pt idx="6">
                  <c:v>9.7379694850604395</c:v>
                </c:pt>
                <c:pt idx="7">
                  <c:v>10.242635705518515</c:v>
                </c:pt>
                <c:pt idx="8">
                  <c:v>10.218025709194459</c:v>
                </c:pt>
                <c:pt idx="9">
                  <c:v>10.035929794319747</c:v>
                </c:pt>
                <c:pt idx="10">
                  <c:v>10.074129552841304</c:v>
                </c:pt>
                <c:pt idx="11">
                  <c:v>9.5554365571381776</c:v>
                </c:pt>
                <c:pt idx="12">
                  <c:v>9.3043851717557438</c:v>
                </c:pt>
                <c:pt idx="13">
                  <c:v>8.8213970490252045</c:v>
                </c:pt>
                <c:pt idx="14">
                  <c:v>9.3384203565607873</c:v>
                </c:pt>
                <c:pt idx="15">
                  <c:v>10.239024079294916</c:v>
                </c:pt>
                <c:pt idx="16">
                  <c:v>12.167348576959252</c:v>
                </c:pt>
                <c:pt idx="17">
                  <c:v>13.527709200211119</c:v>
                </c:pt>
                <c:pt idx="18">
                  <c:v>15.114875047890111</c:v>
                </c:pt>
                <c:pt idx="19">
                  <c:v>15.396969996725286</c:v>
                </c:pt>
                <c:pt idx="20">
                  <c:v>15.251164302584746</c:v>
                </c:pt>
                <c:pt idx="21">
                  <c:v>15.826815408522007</c:v>
                </c:pt>
                <c:pt idx="22">
                  <c:v>16.695096357856958</c:v>
                </c:pt>
                <c:pt idx="23">
                  <c:v>15.775215146862083</c:v>
                </c:pt>
                <c:pt idx="24">
                  <c:v>12.348320690475298</c:v>
                </c:pt>
                <c:pt idx="25">
                  <c:v>10.955059088334407</c:v>
                </c:pt>
                <c:pt idx="26">
                  <c:v>10.788666416564752</c:v>
                </c:pt>
                <c:pt idx="27">
                  <c:v>11.122312223159867</c:v>
                </c:pt>
                <c:pt idx="28">
                  <c:v>13.354316479157736</c:v>
                </c:pt>
                <c:pt idx="29">
                  <c:v>14.403986111946121</c:v>
                </c:pt>
                <c:pt idx="30">
                  <c:v>15.311980351430094</c:v>
                </c:pt>
                <c:pt idx="31">
                  <c:v>15.489063589617762</c:v>
                </c:pt>
                <c:pt idx="32">
                  <c:v>16.49918142459153</c:v>
                </c:pt>
                <c:pt idx="33">
                  <c:v>15.62970306965509</c:v>
                </c:pt>
                <c:pt idx="34">
                  <c:v>16.123166429942035</c:v>
                </c:pt>
                <c:pt idx="35">
                  <c:v>16.239673128413031</c:v>
                </c:pt>
              </c:numCache>
            </c:numRef>
          </c:val>
        </c:ser>
        <c:marker val="1"/>
        <c:axId val="355095296"/>
        <c:axId val="367130112"/>
      </c:lineChart>
      <c:catAx>
        <c:axId val="355095296"/>
        <c:scaling>
          <c:orientation val="minMax"/>
        </c:scaling>
        <c:axPos val="b"/>
        <c:numFmt formatCode="yyyy\/mm" sourceLinked="0"/>
        <c:majorTickMark val="in"/>
        <c:tickLblPos val="nextTo"/>
        <c:spPr>
          <a:ln w="3175">
            <a:solidFill>
              <a:srgbClr val="333333"/>
            </a:solidFill>
            <a:prstDash val="solid"/>
          </a:ln>
        </c:spPr>
        <c:txPr>
          <a:bodyPr rot="-5400000" vert="horz"/>
          <a:lstStyle/>
          <a:p>
            <a:pPr>
              <a:defRPr sz="800" b="0" i="0" u="none" strike="noStrike" baseline="0">
                <a:solidFill>
                  <a:srgbClr val="000000"/>
                </a:solidFill>
                <a:latin typeface="Arial Narrow"/>
                <a:ea typeface="Arial Narrow"/>
                <a:cs typeface="Arial Narrow"/>
              </a:defRPr>
            </a:pPr>
            <a:endParaRPr lang="zh-CN"/>
          </a:p>
        </c:txPr>
        <c:crossAx val="367130112"/>
        <c:crosses val="autoZero"/>
        <c:auto val="1"/>
        <c:lblAlgn val="ctr"/>
        <c:lblOffset val="100"/>
        <c:tickLblSkip val="2"/>
        <c:tickMarkSkip val="1"/>
      </c:catAx>
      <c:valAx>
        <c:axId val="367130112"/>
        <c:scaling>
          <c:orientation val="minMax"/>
          <c:min val="6"/>
        </c:scaling>
        <c:axPos val="l"/>
        <c:majorGridlines>
          <c:spPr>
            <a:ln w="3175">
              <a:solidFill>
                <a:srgbClr val="C0C0C0"/>
              </a:solidFill>
              <a:prstDash val="sysDash"/>
            </a:ln>
          </c:spPr>
        </c:majorGridlines>
        <c:numFmt formatCode="0" sourceLinked="0"/>
        <c:majorTickMark val="in"/>
        <c:tickLblPos val="nextTo"/>
        <c:spPr>
          <a:ln w="3175">
            <a:solidFill>
              <a:srgbClr val="333333"/>
            </a:solidFill>
            <a:prstDash val="solid"/>
          </a:ln>
        </c:spPr>
        <c:txPr>
          <a:bodyPr rot="0" vert="horz"/>
          <a:lstStyle/>
          <a:p>
            <a:pPr rtl="0">
              <a:defRPr sz="800" b="0" i="0" u="none" strike="noStrike" baseline="0">
                <a:solidFill>
                  <a:srgbClr val="000000"/>
                </a:solidFill>
                <a:latin typeface="Arial Narrow"/>
                <a:ea typeface="Arial Narrow"/>
                <a:cs typeface="Arial Narrow"/>
              </a:defRPr>
            </a:pPr>
            <a:endParaRPr lang="zh-CN"/>
          </a:p>
        </c:txPr>
        <c:crossAx val="355095296"/>
        <c:crosses val="autoZero"/>
        <c:crossBetween val="between"/>
      </c:valAx>
      <c:spPr>
        <a:noFill/>
        <a:ln w="25400">
          <a:noFill/>
        </a:ln>
      </c:spPr>
    </c:plotArea>
    <c:legend>
      <c:legendPos val="r"/>
      <c:layout>
        <c:manualLayout>
          <c:xMode val="edge"/>
          <c:yMode val="edge"/>
          <c:x val="8.744394618834081E-2"/>
          <c:y val="0.13307984790874455"/>
          <c:w val="0.34753363228699524"/>
          <c:h val="6.8441064638783314E-2"/>
        </c:manualLayout>
      </c:layout>
      <c:spPr>
        <a:solidFill>
          <a:srgbClr val="FFFFFF"/>
        </a:solidFill>
        <a:ln w="25400">
          <a:noFill/>
        </a:ln>
      </c:spPr>
      <c:txPr>
        <a:bodyPr/>
        <a:lstStyle/>
        <a:p>
          <a:pPr>
            <a:defRPr sz="755" b="0" i="0" u="none" strike="noStrike" baseline="0">
              <a:solidFill>
                <a:srgbClr val="000000"/>
              </a:solidFill>
              <a:latin typeface="宋体"/>
              <a:ea typeface="宋体"/>
              <a:cs typeface="宋体"/>
            </a:defRPr>
          </a:pPr>
          <a:endParaRPr lang="zh-CN"/>
        </a:p>
      </c:txPr>
    </c:legend>
    <c:plotVisOnly val="1"/>
    <c:dispBlanksAs val="gap"/>
  </c:chart>
  <c:spPr>
    <a:solidFill>
      <a:srgbClr val="FFFFFF"/>
    </a:solidFill>
    <a:ln w="3175">
      <a:solidFill>
        <a:srgbClr val="C0C0C0"/>
      </a:solidFill>
      <a:prstDash val="solid"/>
    </a:ln>
  </c:spPr>
  <c:txPr>
    <a:bodyPr/>
    <a:lstStyle/>
    <a:p>
      <a:pPr>
        <a:defRPr sz="1000" b="1" i="0" u="none" strike="noStrike" baseline="0">
          <a:solidFill>
            <a:srgbClr val="000000"/>
          </a:solidFill>
          <a:latin typeface="宋体"/>
          <a:ea typeface="宋体"/>
          <a:cs typeface="宋体"/>
        </a:defRPr>
      </a:pPr>
      <a:endParaRPr lang="zh-CN"/>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400"/>
            </a:pPr>
            <a:r>
              <a:rPr lang="en-US" altLang="zh-CN" sz="1400"/>
              <a:t>2011</a:t>
            </a:r>
            <a:r>
              <a:rPr lang="zh-CN" altLang="en-US" sz="1400"/>
              <a:t>年国网电网</a:t>
            </a:r>
            <a:r>
              <a:rPr lang="zh-CN" altLang="zh-CN" sz="1400" b="1" i="0" u="none" strike="noStrike" baseline="0"/>
              <a:t>智能</a:t>
            </a:r>
            <a:r>
              <a:rPr lang="zh-CN" altLang="en-US" sz="1400" b="1" i="0" u="none" strike="noStrike" baseline="0"/>
              <a:t>化</a:t>
            </a:r>
            <a:r>
              <a:rPr lang="zh-CN" altLang="en-US" sz="1400"/>
              <a:t>投资占比</a:t>
            </a:r>
          </a:p>
        </c:rich>
      </c:tx>
    </c:title>
    <c:view3D>
      <c:rotX val="30"/>
      <c:perspective val="30"/>
    </c:view3D>
    <c:plotArea>
      <c:layout>
        <c:manualLayout>
          <c:layoutTarget val="inner"/>
          <c:xMode val="edge"/>
          <c:yMode val="edge"/>
          <c:x val="6.6666666666666693E-2"/>
          <c:y val="0.26111111111111113"/>
          <c:w val="0.61393197725284365"/>
          <c:h val="0.60000000000000064"/>
        </c:manualLayout>
      </c:layout>
      <c:pie3DChart>
        <c:varyColors val="1"/>
        <c:ser>
          <c:idx val="0"/>
          <c:order val="0"/>
          <c:tx>
            <c:strRef>
              <c:f>Sheet1!$B$1</c:f>
              <c:strCache>
                <c:ptCount val="1"/>
                <c:pt idx="0">
                  <c:v>占比</c:v>
                </c:pt>
              </c:strCache>
            </c:strRef>
          </c:tx>
          <c:dLbls>
            <c:txPr>
              <a:bodyPr/>
              <a:lstStyle/>
              <a:p>
                <a:pPr>
                  <a:defRPr sz="1200"/>
                </a:pPr>
                <a:endParaRPr lang="zh-CN"/>
              </a:p>
            </c:txPr>
            <c:showVal val="1"/>
            <c:showLeaderLines val="1"/>
          </c:dLbls>
          <c:cat>
            <c:strRef>
              <c:f>Sheet1!$A$2:$A$8</c:f>
              <c:strCache>
                <c:ptCount val="7"/>
                <c:pt idx="0">
                  <c:v>发电</c:v>
                </c:pt>
                <c:pt idx="1">
                  <c:v>输电</c:v>
                </c:pt>
                <c:pt idx="2">
                  <c:v>变电</c:v>
                </c:pt>
                <c:pt idx="3">
                  <c:v>配电</c:v>
                </c:pt>
                <c:pt idx="4">
                  <c:v>用电</c:v>
                </c:pt>
                <c:pt idx="5">
                  <c:v>调度</c:v>
                </c:pt>
                <c:pt idx="6">
                  <c:v>通信信息</c:v>
                </c:pt>
              </c:strCache>
            </c:strRef>
          </c:cat>
          <c:val>
            <c:numRef>
              <c:f>Sheet1!$B$2:$B$8</c:f>
              <c:numCache>
                <c:formatCode>0.00%</c:formatCode>
                <c:ptCount val="7"/>
                <c:pt idx="0">
                  <c:v>3.2000000000000091E-2</c:v>
                </c:pt>
                <c:pt idx="1">
                  <c:v>3.2000000000000091E-2</c:v>
                </c:pt>
                <c:pt idx="2">
                  <c:v>0.20700000000000021</c:v>
                </c:pt>
                <c:pt idx="3">
                  <c:v>0.11200000000000004</c:v>
                </c:pt>
                <c:pt idx="4">
                  <c:v>0.21500000000000041</c:v>
                </c:pt>
                <c:pt idx="5">
                  <c:v>6.9000000000000131E-2</c:v>
                </c:pt>
                <c:pt idx="6">
                  <c:v>0.33300000000000285</c:v>
                </c:pt>
              </c:numCache>
            </c:numRef>
          </c:val>
        </c:ser>
      </c:pie3DChart>
    </c:plotArea>
    <c:legend>
      <c:legendPos val="r"/>
      <c:layout>
        <c:manualLayout>
          <c:xMode val="edge"/>
          <c:yMode val="edge"/>
          <c:x val="0.73059864391951534"/>
          <c:y val="0.23569335083114759"/>
          <c:w val="0.15829024496938082"/>
          <c:h val="0.58602034120734203"/>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000" b="1" i="0" u="none" strike="noStrike" baseline="0">
                <a:solidFill>
                  <a:srgbClr val="000000"/>
                </a:solidFill>
                <a:latin typeface="宋体"/>
                <a:ea typeface="宋体"/>
                <a:cs typeface="宋体"/>
              </a:defRPr>
            </a:pPr>
            <a:r>
              <a:rPr lang="zh-CN" altLang="en-US" sz="900" b="0" i="0" u="none" strike="noStrike" baseline="0">
                <a:solidFill>
                  <a:srgbClr val="000000"/>
                </a:solidFill>
                <a:latin typeface="宋体"/>
                <a:ea typeface="宋体"/>
              </a:rPr>
              <a:t>全部</a:t>
            </a:r>
            <a:r>
              <a:rPr lang="en-US" altLang="zh-CN" sz="900" b="0" i="0" u="none" strike="noStrike" baseline="0">
                <a:solidFill>
                  <a:srgbClr val="000000"/>
                </a:solidFill>
                <a:latin typeface="宋体"/>
                <a:ea typeface="宋体"/>
              </a:rPr>
              <a:t>A</a:t>
            </a:r>
            <a:r>
              <a:rPr lang="zh-CN" altLang="en-US" sz="900" b="0" i="0" u="none" strike="noStrike" baseline="0">
                <a:solidFill>
                  <a:srgbClr val="000000"/>
                </a:solidFill>
                <a:latin typeface="宋体"/>
                <a:ea typeface="宋体"/>
              </a:rPr>
              <a:t>股估值</a:t>
            </a:r>
            <a:r>
              <a:rPr lang="en-US" altLang="zh-CN" sz="900" b="0" i="0" u="none" strike="noStrike" baseline="0">
                <a:solidFill>
                  <a:srgbClr val="000000"/>
                </a:solidFill>
                <a:latin typeface="宋体"/>
                <a:ea typeface="宋体"/>
              </a:rPr>
              <a:t>(TTM)</a:t>
            </a:r>
          </a:p>
        </c:rich>
      </c:tx>
      <c:layout>
        <c:manualLayout>
          <c:xMode val="edge"/>
          <c:yMode val="edge"/>
          <c:x val="0.41928251121076465"/>
          <c:y val="1.9011406844106463E-2"/>
        </c:manualLayout>
      </c:layout>
      <c:spPr>
        <a:noFill/>
        <a:ln w="25400">
          <a:noFill/>
        </a:ln>
      </c:spPr>
    </c:title>
    <c:plotArea>
      <c:layout>
        <c:manualLayout>
          <c:layoutTarget val="inner"/>
          <c:xMode val="edge"/>
          <c:yMode val="edge"/>
          <c:x val="4.9327354260089683E-2"/>
          <c:y val="0.10266159695817532"/>
          <c:w val="0.89237668161434958"/>
          <c:h val="0.66539923954373237"/>
        </c:manualLayout>
      </c:layout>
      <c:lineChart>
        <c:grouping val="standard"/>
        <c:ser>
          <c:idx val="1"/>
          <c:order val="0"/>
          <c:tx>
            <c:v>PB</c:v>
          </c:tx>
          <c:spPr>
            <a:ln w="25400">
              <a:solidFill>
                <a:srgbClr val="000080"/>
              </a:solidFill>
              <a:prstDash val="solid"/>
            </a:ln>
          </c:spPr>
          <c:marker>
            <c:symbol val="none"/>
          </c:marker>
          <c:cat>
            <c:numRef>
              <c:f>'安信证券_数据产品_策略数据周报（2011年12月26日）.xls'!ttmx</c:f>
              <c:numCache>
                <c:formatCode>yyyy/m/d</c:formatCode>
                <c:ptCount val="108"/>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pt idx="96">
                  <c:v>40544</c:v>
                </c:pt>
                <c:pt idx="97">
                  <c:v>40575</c:v>
                </c:pt>
                <c:pt idx="98">
                  <c:v>40603</c:v>
                </c:pt>
                <c:pt idx="99">
                  <c:v>40634</c:v>
                </c:pt>
                <c:pt idx="100">
                  <c:v>40664</c:v>
                </c:pt>
                <c:pt idx="101">
                  <c:v>40695</c:v>
                </c:pt>
                <c:pt idx="102">
                  <c:v>40725</c:v>
                </c:pt>
                <c:pt idx="103">
                  <c:v>40756</c:v>
                </c:pt>
                <c:pt idx="104">
                  <c:v>40787</c:v>
                </c:pt>
                <c:pt idx="105">
                  <c:v>40817</c:v>
                </c:pt>
                <c:pt idx="106">
                  <c:v>40848</c:v>
                </c:pt>
                <c:pt idx="107">
                  <c:v>40900</c:v>
                </c:pt>
              </c:numCache>
            </c:numRef>
          </c:cat>
          <c:val>
            <c:numRef>
              <c:f>'安信证券_数据产品_策略数据周报（2011年12月26日）.xls'!ttmy2</c:f>
              <c:numCache>
                <c:formatCode>0.00</c:formatCode>
                <c:ptCount val="108"/>
                <c:pt idx="0">
                  <c:v>2.6032861451976252</c:v>
                </c:pt>
                <c:pt idx="1">
                  <c:v>2.8530164486782597</c:v>
                </c:pt>
                <c:pt idx="2">
                  <c:v>2.8785738746959741</c:v>
                </c:pt>
                <c:pt idx="3">
                  <c:v>2.8186247191540965</c:v>
                </c:pt>
                <c:pt idx="4">
                  <c:v>2.8068785204524067</c:v>
                </c:pt>
                <c:pt idx="5">
                  <c:v>2.9216201546895237</c:v>
                </c:pt>
                <c:pt idx="6">
                  <c:v>2.6744987105415685</c:v>
                </c:pt>
                <c:pt idx="7">
                  <c:v>2.6496799050843678</c:v>
                </c:pt>
                <c:pt idx="8">
                  <c:v>2.6031785414829547</c:v>
                </c:pt>
                <c:pt idx="9">
                  <c:v>2.3852709010960407</c:v>
                </c:pt>
                <c:pt idx="10">
                  <c:v>2.3399839692001128</c:v>
                </c:pt>
                <c:pt idx="11">
                  <c:v>2.4686419637637127</c:v>
                </c:pt>
                <c:pt idx="12">
                  <c:v>2.4857759012612921</c:v>
                </c:pt>
                <c:pt idx="13">
                  <c:v>2.6455773711862292</c:v>
                </c:pt>
                <c:pt idx="14">
                  <c:v>2.8444792023289072</c:v>
                </c:pt>
                <c:pt idx="15">
                  <c:v>2.8745166799536586</c:v>
                </c:pt>
                <c:pt idx="16">
                  <c:v>2.5945517851335516</c:v>
                </c:pt>
                <c:pt idx="17">
                  <c:v>2.5740433359648396</c:v>
                </c:pt>
                <c:pt idx="18">
                  <c:v>2.2950600680793092</c:v>
                </c:pt>
                <c:pt idx="19">
                  <c:v>2.2188055083105955</c:v>
                </c:pt>
                <c:pt idx="20">
                  <c:v>2.1121606352267976</c:v>
                </c:pt>
                <c:pt idx="21">
                  <c:v>2.1854824604734939</c:v>
                </c:pt>
                <c:pt idx="22">
                  <c:v>2.0388539051940606</c:v>
                </c:pt>
                <c:pt idx="23">
                  <c:v>2.0851177092456412</c:v>
                </c:pt>
                <c:pt idx="24">
                  <c:v>1.9475881630664804</c:v>
                </c:pt>
                <c:pt idx="25">
                  <c:v>1.8335435108251259</c:v>
                </c:pt>
                <c:pt idx="26">
                  <c:v>2.0073593490855002</c:v>
                </c:pt>
                <c:pt idx="27">
                  <c:v>1.8323689952333129</c:v>
                </c:pt>
                <c:pt idx="28">
                  <c:v>1.7286984268615961</c:v>
                </c:pt>
                <c:pt idx="29">
                  <c:v>1.5590263494398853</c:v>
                </c:pt>
                <c:pt idx="30">
                  <c:v>1.5436556856438739</c:v>
                </c:pt>
                <c:pt idx="31">
                  <c:v>1.5895369647774693</c:v>
                </c:pt>
                <c:pt idx="32">
                  <c:v>1.7224404248911112</c:v>
                </c:pt>
                <c:pt idx="33">
                  <c:v>1.6488675672220103</c:v>
                </c:pt>
                <c:pt idx="34">
                  <c:v>1.5414556163611335</c:v>
                </c:pt>
                <c:pt idx="35">
                  <c:v>1.5289343817890491</c:v>
                </c:pt>
                <c:pt idx="36">
                  <c:v>1.5667744984871865</c:v>
                </c:pt>
                <c:pt idx="37">
                  <c:v>1.6965946220182899</c:v>
                </c:pt>
                <c:pt idx="38">
                  <c:v>1.7366984312613101</c:v>
                </c:pt>
                <c:pt idx="39">
                  <c:v>1.6651991605167937</c:v>
                </c:pt>
                <c:pt idx="40">
                  <c:v>1.8182858668624715</c:v>
                </c:pt>
                <c:pt idx="41">
                  <c:v>2.1226032797365582</c:v>
                </c:pt>
                <c:pt idx="42">
                  <c:v>2.0915002445646822</c:v>
                </c:pt>
                <c:pt idx="43">
                  <c:v>1.9202814107594879</c:v>
                </c:pt>
                <c:pt idx="44">
                  <c:v>1.9748045993218921</c:v>
                </c:pt>
                <c:pt idx="45">
                  <c:v>2.0451002570028072</c:v>
                </c:pt>
                <c:pt idx="46">
                  <c:v>2.105226331139626</c:v>
                </c:pt>
                <c:pt idx="47">
                  <c:v>2.3912101949004385</c:v>
                </c:pt>
                <c:pt idx="48">
                  <c:v>2.5764119814193007</c:v>
                </c:pt>
                <c:pt idx="49">
                  <c:v>3.0667364419551992</c:v>
                </c:pt>
                <c:pt idx="50">
                  <c:v>3.2264641707229802</c:v>
                </c:pt>
                <c:pt idx="51">
                  <c:v>3.5823578763320891</c:v>
                </c:pt>
                <c:pt idx="52">
                  <c:v>4.6021706298334655</c:v>
                </c:pt>
                <c:pt idx="53">
                  <c:v>4.9795228476801592</c:v>
                </c:pt>
                <c:pt idx="54">
                  <c:v>4.6840077467636076</c:v>
                </c:pt>
                <c:pt idx="55">
                  <c:v>5.342447077118929</c:v>
                </c:pt>
                <c:pt idx="56">
                  <c:v>6.4186190325632104</c:v>
                </c:pt>
                <c:pt idx="57">
                  <c:v>6.1875099883050675</c:v>
                </c:pt>
                <c:pt idx="58">
                  <c:v>6.3203952261419083</c:v>
                </c:pt>
                <c:pt idx="59">
                  <c:v>5.4883393248001413</c:v>
                </c:pt>
                <c:pt idx="60">
                  <c:v>5.7651253646136702</c:v>
                </c:pt>
                <c:pt idx="61">
                  <c:v>4.9094791912782432</c:v>
                </c:pt>
                <c:pt idx="62">
                  <c:v>5.1441851940758365</c:v>
                </c:pt>
                <c:pt idx="63">
                  <c:v>3.9417574747336777</c:v>
                </c:pt>
                <c:pt idx="64">
                  <c:v>4.3580327646356301</c:v>
                </c:pt>
                <c:pt idx="65">
                  <c:v>4.0312444967539598</c:v>
                </c:pt>
                <c:pt idx="66">
                  <c:v>3.005947673118865</c:v>
                </c:pt>
                <c:pt idx="67">
                  <c:v>3.2484483290141402</c:v>
                </c:pt>
                <c:pt idx="68">
                  <c:v>2.6692183064783701</c:v>
                </c:pt>
                <c:pt idx="69">
                  <c:v>2.4788694960678721</c:v>
                </c:pt>
                <c:pt idx="70">
                  <c:v>1.8702425989874181</c:v>
                </c:pt>
                <c:pt idx="71">
                  <c:v>2.0795961953822224</c:v>
                </c:pt>
                <c:pt idx="72">
                  <c:v>1.9773886264604703</c:v>
                </c:pt>
                <c:pt idx="73">
                  <c:v>2.156388890119346</c:v>
                </c:pt>
                <c:pt idx="74">
                  <c:v>2.263206330574794</c:v>
                </c:pt>
                <c:pt idx="75">
                  <c:v>2.5276490978889159</c:v>
                </c:pt>
                <c:pt idx="76">
                  <c:v>2.6103379746570252</c:v>
                </c:pt>
                <c:pt idx="77">
                  <c:v>2.8571189277026003</c:v>
                </c:pt>
                <c:pt idx="78">
                  <c:v>3.1947006701484582</c:v>
                </c:pt>
                <c:pt idx="79">
                  <c:v>3.623070964557412</c:v>
                </c:pt>
                <c:pt idx="80">
                  <c:v>2.864468620503168</c:v>
                </c:pt>
                <c:pt idx="81">
                  <c:v>2.8795689080768128</c:v>
                </c:pt>
                <c:pt idx="82">
                  <c:v>3.1169201455424802</c:v>
                </c:pt>
                <c:pt idx="83">
                  <c:v>3.3927715936024465</c:v>
                </c:pt>
                <c:pt idx="84">
                  <c:v>3.3043854966610677</c:v>
                </c:pt>
                <c:pt idx="85">
                  <c:v>2.9737859465424212</c:v>
                </c:pt>
                <c:pt idx="86">
                  <c:v>3.1437866290227872</c:v>
                </c:pt>
                <c:pt idx="87">
                  <c:v>3.0922141560146228</c:v>
                </c:pt>
                <c:pt idx="88">
                  <c:v>2.8217806716088547</c:v>
                </c:pt>
                <c:pt idx="89">
                  <c:v>2.5433560445837742</c:v>
                </c:pt>
                <c:pt idx="90">
                  <c:v>2.7178307374754658</c:v>
                </c:pt>
                <c:pt idx="91">
                  <c:v>3.1546748241700637</c:v>
                </c:pt>
                <c:pt idx="92">
                  <c:v>2.6212790073862311</c:v>
                </c:pt>
                <c:pt idx="93">
                  <c:v>2.6624916773673633</c:v>
                </c:pt>
                <c:pt idx="94">
                  <c:v>2.9412596642069397</c:v>
                </c:pt>
                <c:pt idx="95">
                  <c:v>2.7329008505150592</c:v>
                </c:pt>
                <c:pt idx="96">
                  <c:v>2.5742286281267868</c:v>
                </c:pt>
                <c:pt idx="97">
                  <c:v>2.5457198618538057</c:v>
                </c:pt>
                <c:pt idx="98">
                  <c:v>2.6623531890918333</c:v>
                </c:pt>
                <c:pt idx="99">
                  <c:v>2.7334248118967452</c:v>
                </c:pt>
                <c:pt idx="100">
                  <c:v>2.6195343262605397</c:v>
                </c:pt>
                <c:pt idx="101">
                  <c:v>2.4746138964742537</c:v>
                </c:pt>
                <c:pt idx="102">
                  <c:v>2.5051509094616833</c:v>
                </c:pt>
                <c:pt idx="103">
                  <c:v>2.4725623748686925</c:v>
                </c:pt>
                <c:pt idx="104">
                  <c:v>2.3387074082989638</c:v>
                </c:pt>
                <c:pt idx="105">
                  <c:v>2.1476635091266782</c:v>
                </c:pt>
                <c:pt idx="106">
                  <c:v>2.1305537256316782</c:v>
                </c:pt>
                <c:pt idx="107">
                  <c:v>1.8979963821763408</c:v>
                </c:pt>
              </c:numCache>
            </c:numRef>
          </c:val>
        </c:ser>
        <c:marker val="1"/>
        <c:axId val="367686400"/>
        <c:axId val="367687936"/>
      </c:lineChart>
      <c:lineChart>
        <c:grouping val="standard"/>
        <c:ser>
          <c:idx val="2"/>
          <c:order val="1"/>
          <c:tx>
            <c:v>PE(右轴)</c:v>
          </c:tx>
          <c:spPr>
            <a:ln w="25400">
              <a:solidFill>
                <a:srgbClr val="808080"/>
              </a:solidFill>
              <a:prstDash val="solid"/>
            </a:ln>
          </c:spPr>
          <c:marker>
            <c:symbol val="none"/>
          </c:marker>
          <c:cat>
            <c:numRef>
              <c:f>'安信证券_数据产品_策略数据周报（2011年12月26日）.xls'!ttmx</c:f>
              <c:numCache>
                <c:formatCode>yyyy/m/d</c:formatCode>
                <c:ptCount val="108"/>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pt idx="96">
                  <c:v>40544</c:v>
                </c:pt>
                <c:pt idx="97">
                  <c:v>40575</c:v>
                </c:pt>
                <c:pt idx="98">
                  <c:v>40603</c:v>
                </c:pt>
                <c:pt idx="99">
                  <c:v>40634</c:v>
                </c:pt>
                <c:pt idx="100">
                  <c:v>40664</c:v>
                </c:pt>
                <c:pt idx="101">
                  <c:v>40695</c:v>
                </c:pt>
                <c:pt idx="102">
                  <c:v>40725</c:v>
                </c:pt>
                <c:pt idx="103">
                  <c:v>40756</c:v>
                </c:pt>
                <c:pt idx="104">
                  <c:v>40787</c:v>
                </c:pt>
                <c:pt idx="105">
                  <c:v>40817</c:v>
                </c:pt>
                <c:pt idx="106">
                  <c:v>40848</c:v>
                </c:pt>
                <c:pt idx="107">
                  <c:v>40900</c:v>
                </c:pt>
              </c:numCache>
            </c:numRef>
          </c:cat>
          <c:val>
            <c:numRef>
              <c:f>'安信证券_数据产品_策略数据周报（2011年12月26日）.xls'!ttmy1</c:f>
              <c:numCache>
                <c:formatCode>0.00</c:formatCode>
                <c:ptCount val="108"/>
                <c:pt idx="0">
                  <c:v>38.152063344685899</c:v>
                </c:pt>
                <c:pt idx="1">
                  <c:v>41.811947746965927</c:v>
                </c:pt>
                <c:pt idx="2">
                  <c:v>42.186500708865118</c:v>
                </c:pt>
                <c:pt idx="3">
                  <c:v>36.625373777513538</c:v>
                </c:pt>
                <c:pt idx="4">
                  <c:v>36.472742987401332</c:v>
                </c:pt>
                <c:pt idx="5">
                  <c:v>37.963702466050307</c:v>
                </c:pt>
                <c:pt idx="6">
                  <c:v>34.662352795095174</c:v>
                </c:pt>
                <c:pt idx="7">
                  <c:v>34.340693193121886</c:v>
                </c:pt>
                <c:pt idx="8">
                  <c:v>33.738020750524413</c:v>
                </c:pt>
                <c:pt idx="9">
                  <c:v>29.412928203234657</c:v>
                </c:pt>
                <c:pt idx="10">
                  <c:v>28.854492146438091</c:v>
                </c:pt>
                <c:pt idx="11">
                  <c:v>30.440982114991527</c:v>
                </c:pt>
                <c:pt idx="12">
                  <c:v>29.605628138164427</c:v>
                </c:pt>
                <c:pt idx="13">
                  <c:v>31.508866033474778</c:v>
                </c:pt>
                <c:pt idx="14">
                  <c:v>33.877789815309754</c:v>
                </c:pt>
                <c:pt idx="15">
                  <c:v>31.955058627084831</c:v>
                </c:pt>
                <c:pt idx="16">
                  <c:v>28.842780764899363</c:v>
                </c:pt>
                <c:pt idx="17">
                  <c:v>28.614795065561953</c:v>
                </c:pt>
                <c:pt idx="18">
                  <c:v>23.568158347592593</c:v>
                </c:pt>
                <c:pt idx="19">
                  <c:v>22.785094076486619</c:v>
                </c:pt>
                <c:pt idx="20">
                  <c:v>21.689949208273589</c:v>
                </c:pt>
                <c:pt idx="21">
                  <c:v>21.337110127776995</c:v>
                </c:pt>
                <c:pt idx="22">
                  <c:v>19.905559114004028</c:v>
                </c:pt>
                <c:pt idx="23">
                  <c:v>20.357237816455967</c:v>
                </c:pt>
                <c:pt idx="24">
                  <c:v>19.060317702214903</c:v>
                </c:pt>
                <c:pt idx="25">
                  <c:v>17.944205299613213</c:v>
                </c:pt>
                <c:pt idx="26">
                  <c:v>19.645275968323389</c:v>
                </c:pt>
                <c:pt idx="27">
                  <c:v>18.258089014038525</c:v>
                </c:pt>
                <c:pt idx="28">
                  <c:v>17.225094857080649</c:v>
                </c:pt>
                <c:pt idx="29">
                  <c:v>15.53444854030651</c:v>
                </c:pt>
                <c:pt idx="30">
                  <c:v>15.322968377039604</c:v>
                </c:pt>
                <c:pt idx="31">
                  <c:v>15.77840503678213</c:v>
                </c:pt>
                <c:pt idx="32">
                  <c:v>17.097660059427259</c:v>
                </c:pt>
                <c:pt idx="33">
                  <c:v>17.255805711883237</c:v>
                </c:pt>
                <c:pt idx="34">
                  <c:v>16.131713157675044</c:v>
                </c:pt>
                <c:pt idx="35">
                  <c:v>16.000675350064608</c:v>
                </c:pt>
                <c:pt idx="36">
                  <c:v>16.8390975821086</c:v>
                </c:pt>
                <c:pt idx="37">
                  <c:v>18.23435499175654</c:v>
                </c:pt>
                <c:pt idx="38">
                  <c:v>18.665375510605543</c:v>
                </c:pt>
                <c:pt idx="39">
                  <c:v>18.876819071428127</c:v>
                </c:pt>
                <c:pt idx="40">
                  <c:v>20.612221134104757</c:v>
                </c:pt>
                <c:pt idx="41">
                  <c:v>24.061985510232891</c:v>
                </c:pt>
                <c:pt idx="42">
                  <c:v>22.396724121497495</c:v>
                </c:pt>
                <c:pt idx="43">
                  <c:v>20.563235937546729</c:v>
                </c:pt>
                <c:pt idx="44">
                  <c:v>21.147094732509814</c:v>
                </c:pt>
                <c:pt idx="45">
                  <c:v>19.973585775018758</c:v>
                </c:pt>
                <c:pt idx="46">
                  <c:v>20.560810433064216</c:v>
                </c:pt>
                <c:pt idx="47">
                  <c:v>23.353887796161075</c:v>
                </c:pt>
                <c:pt idx="48">
                  <c:v>21.174802095323685</c:v>
                </c:pt>
                <c:pt idx="49">
                  <c:v>25.204640292483582</c:v>
                </c:pt>
                <c:pt idx="50">
                  <c:v>26.517397363241351</c:v>
                </c:pt>
                <c:pt idx="51">
                  <c:v>26.4816298407431</c:v>
                </c:pt>
                <c:pt idx="52">
                  <c:v>34.020324962053813</c:v>
                </c:pt>
                <c:pt idx="53">
                  <c:v>36.809801082968441</c:v>
                </c:pt>
                <c:pt idx="54">
                  <c:v>30.9893911257799</c:v>
                </c:pt>
                <c:pt idx="55">
                  <c:v>35.345625155297903</c:v>
                </c:pt>
                <c:pt idx="56">
                  <c:v>42.465577864364526</c:v>
                </c:pt>
                <c:pt idx="57">
                  <c:v>40.186543129077258</c:v>
                </c:pt>
                <c:pt idx="58">
                  <c:v>41.049604094092345</c:v>
                </c:pt>
                <c:pt idx="59">
                  <c:v>35.645580435419554</c:v>
                </c:pt>
                <c:pt idx="60">
                  <c:v>37.801214715368118</c:v>
                </c:pt>
                <c:pt idx="61">
                  <c:v>32.190848474736825</c:v>
                </c:pt>
                <c:pt idx="62">
                  <c:v>33.729786736374194</c:v>
                </c:pt>
                <c:pt idx="63">
                  <c:v>24.90556295116204</c:v>
                </c:pt>
                <c:pt idx="64">
                  <c:v>27.53575278504249</c:v>
                </c:pt>
                <c:pt idx="65">
                  <c:v>25.470976900275829</c:v>
                </c:pt>
                <c:pt idx="66">
                  <c:v>18.004973488543143</c:v>
                </c:pt>
                <c:pt idx="67">
                  <c:v>19.457499731562617</c:v>
                </c:pt>
                <c:pt idx="68">
                  <c:v>15.988037740328444</c:v>
                </c:pt>
                <c:pt idx="69">
                  <c:v>15.713696916272957</c:v>
                </c:pt>
                <c:pt idx="70">
                  <c:v>11.855575861096504</c:v>
                </c:pt>
                <c:pt idx="71">
                  <c:v>13.182680401007977</c:v>
                </c:pt>
                <c:pt idx="72">
                  <c:v>16.013421387619907</c:v>
                </c:pt>
                <c:pt idx="73">
                  <c:v>17.463013345471573</c:v>
                </c:pt>
                <c:pt idx="74">
                  <c:v>18.328049516242888</c:v>
                </c:pt>
                <c:pt idx="75">
                  <c:v>23.072893331817042</c:v>
                </c:pt>
                <c:pt idx="76">
                  <c:v>23.827694160378165</c:v>
                </c:pt>
                <c:pt idx="77">
                  <c:v>26.080360723430893</c:v>
                </c:pt>
                <c:pt idx="78">
                  <c:v>29.611636385785012</c:v>
                </c:pt>
                <c:pt idx="79">
                  <c:v>33.582194727928517</c:v>
                </c:pt>
                <c:pt idx="80">
                  <c:v>26.550720078851629</c:v>
                </c:pt>
                <c:pt idx="81">
                  <c:v>25.890020440900052</c:v>
                </c:pt>
                <c:pt idx="82">
                  <c:v>28.024030282589429</c:v>
                </c:pt>
                <c:pt idx="83">
                  <c:v>30.504193062821187</c:v>
                </c:pt>
                <c:pt idx="84">
                  <c:v>24.06688405886603</c:v>
                </c:pt>
                <c:pt idx="85">
                  <c:v>21.6590230357927</c:v>
                </c:pt>
                <c:pt idx="86">
                  <c:v>22.89719174199163</c:v>
                </c:pt>
                <c:pt idx="87">
                  <c:v>21.467766852746795</c:v>
                </c:pt>
                <c:pt idx="88">
                  <c:v>19.590276258796081</c:v>
                </c:pt>
                <c:pt idx="89">
                  <c:v>17.657324541266739</c:v>
                </c:pt>
                <c:pt idx="90">
                  <c:v>19.219847677140987</c:v>
                </c:pt>
                <c:pt idx="91">
                  <c:v>22.309104373357886</c:v>
                </c:pt>
                <c:pt idx="92">
                  <c:v>17.119137741980001</c:v>
                </c:pt>
                <c:pt idx="93">
                  <c:v>17.388376605791589</c:v>
                </c:pt>
                <c:pt idx="94">
                  <c:v>18.989267150910599</c:v>
                </c:pt>
                <c:pt idx="95">
                  <c:v>17.642483106770129</c:v>
                </c:pt>
                <c:pt idx="96">
                  <c:v>15.602159657993575</c:v>
                </c:pt>
                <c:pt idx="97">
                  <c:v>15.429370684169148</c:v>
                </c:pt>
                <c:pt idx="98">
                  <c:v>16.136274404036158</c:v>
                </c:pt>
                <c:pt idx="99">
                  <c:v>16.72229689155116</c:v>
                </c:pt>
                <c:pt idx="100">
                  <c:v>16.75991827721359</c:v>
                </c:pt>
                <c:pt idx="101">
                  <c:v>15.832709751802152</c:v>
                </c:pt>
                <c:pt idx="102">
                  <c:v>16.028087165630591</c:v>
                </c:pt>
                <c:pt idx="103">
                  <c:v>15.831962930295543</c:v>
                </c:pt>
                <c:pt idx="104">
                  <c:v>14.504664461248627</c:v>
                </c:pt>
                <c:pt idx="105">
                  <c:v>13.320215848718634</c:v>
                </c:pt>
                <c:pt idx="106">
                  <c:v>13.216841164469798</c:v>
                </c:pt>
                <c:pt idx="107">
                  <c:v>11.77502739869697</c:v>
                </c:pt>
              </c:numCache>
            </c:numRef>
          </c:val>
        </c:ser>
        <c:marker val="1"/>
        <c:axId val="368467968"/>
        <c:axId val="368470272"/>
      </c:lineChart>
      <c:dateAx>
        <c:axId val="367686400"/>
        <c:scaling>
          <c:orientation val="minMax"/>
        </c:scaling>
        <c:axPos val="b"/>
        <c:numFmt formatCode="yyyy\/mm" sourceLinked="0"/>
        <c:majorTickMark val="in"/>
        <c:tickLblPos val="nextTo"/>
        <c:spPr>
          <a:ln w="3175">
            <a:solidFill>
              <a:srgbClr val="333333"/>
            </a:solidFill>
            <a:prstDash val="solid"/>
          </a:ln>
        </c:spPr>
        <c:txPr>
          <a:bodyPr rot="-5400000" vert="horz"/>
          <a:lstStyle/>
          <a:p>
            <a:pPr>
              <a:defRPr sz="800" b="0" i="0" u="none" strike="noStrike" baseline="0">
                <a:solidFill>
                  <a:srgbClr val="000000"/>
                </a:solidFill>
                <a:latin typeface="Arial Narrow"/>
                <a:ea typeface="Arial Narrow"/>
                <a:cs typeface="Arial Narrow"/>
              </a:defRPr>
            </a:pPr>
            <a:endParaRPr lang="zh-CN"/>
          </a:p>
        </c:txPr>
        <c:crossAx val="367687936"/>
        <c:crosses val="autoZero"/>
        <c:auto val="1"/>
        <c:lblOffset val="100"/>
        <c:baseTimeUnit val="days"/>
        <c:majorUnit val="6"/>
        <c:majorTimeUnit val="months"/>
        <c:minorUnit val="3"/>
        <c:minorTimeUnit val="months"/>
      </c:dateAx>
      <c:valAx>
        <c:axId val="367687936"/>
        <c:scaling>
          <c:orientation val="minMax"/>
          <c:max val="7"/>
          <c:min val="1"/>
        </c:scaling>
        <c:axPos val="l"/>
        <c:majorGridlines>
          <c:spPr>
            <a:ln w="3175">
              <a:solidFill>
                <a:srgbClr val="C0C0C0"/>
              </a:solidFill>
              <a:prstDash val="sysDash"/>
            </a:ln>
          </c:spPr>
        </c:majorGridlines>
        <c:numFmt formatCode="0" sourceLinked="0"/>
        <c:majorTickMark val="in"/>
        <c:tickLblPos val="nextTo"/>
        <c:spPr>
          <a:ln w="3175">
            <a:solidFill>
              <a:srgbClr val="333333"/>
            </a:solidFill>
            <a:prstDash val="solid"/>
          </a:ln>
        </c:spPr>
        <c:txPr>
          <a:bodyPr rot="0" vert="horz"/>
          <a:lstStyle/>
          <a:p>
            <a:pPr rtl="0">
              <a:defRPr sz="800" b="0" i="0" u="none" strike="noStrike" baseline="0">
                <a:solidFill>
                  <a:srgbClr val="000000"/>
                </a:solidFill>
                <a:latin typeface="Arial Narrow"/>
                <a:ea typeface="Arial Narrow"/>
                <a:cs typeface="Arial Narrow"/>
              </a:defRPr>
            </a:pPr>
            <a:endParaRPr lang="zh-CN"/>
          </a:p>
        </c:txPr>
        <c:crossAx val="367686400"/>
        <c:crosses val="autoZero"/>
        <c:crossBetween val="between"/>
        <c:majorUnit val="1"/>
      </c:valAx>
      <c:dateAx>
        <c:axId val="368467968"/>
        <c:scaling>
          <c:orientation val="minMax"/>
        </c:scaling>
        <c:delete val="1"/>
        <c:axPos val="b"/>
        <c:numFmt formatCode="yyyy/m/d" sourceLinked="1"/>
        <c:tickLblPos val="none"/>
        <c:crossAx val="368470272"/>
        <c:crosses val="autoZero"/>
        <c:auto val="1"/>
        <c:lblOffset val="100"/>
      </c:dateAx>
      <c:valAx>
        <c:axId val="368470272"/>
        <c:scaling>
          <c:orientation val="minMax"/>
          <c:max val="50"/>
        </c:scaling>
        <c:axPos val="r"/>
        <c:numFmt formatCode="0" sourceLinked="0"/>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宋体"/>
                <a:ea typeface="宋体"/>
                <a:cs typeface="宋体"/>
              </a:defRPr>
            </a:pPr>
            <a:endParaRPr lang="zh-CN"/>
          </a:p>
        </c:txPr>
        <c:crossAx val="368467968"/>
        <c:crosses val="max"/>
        <c:crossBetween val="between"/>
        <c:majorUnit val="10"/>
      </c:valAx>
      <c:spPr>
        <a:noFill/>
        <a:ln w="25400">
          <a:noFill/>
        </a:ln>
      </c:spPr>
    </c:plotArea>
    <c:legend>
      <c:legendPos val="r"/>
      <c:layout>
        <c:manualLayout>
          <c:xMode val="edge"/>
          <c:yMode val="edge"/>
          <c:x val="9.1928251121076263E-2"/>
          <c:y val="0.11787072243346022"/>
          <c:w val="0.29339530567218181"/>
          <c:h val="0.22012639127947947"/>
        </c:manualLayout>
      </c:layout>
      <c:spPr>
        <a:noFill/>
        <a:ln w="25400">
          <a:noFill/>
        </a:ln>
      </c:spPr>
      <c:txPr>
        <a:bodyPr/>
        <a:lstStyle/>
        <a:p>
          <a:pPr>
            <a:defRPr sz="755" b="0" i="0" u="none" strike="noStrike" baseline="0">
              <a:solidFill>
                <a:srgbClr val="000000"/>
              </a:solidFill>
              <a:latin typeface="宋体"/>
              <a:ea typeface="宋体"/>
              <a:cs typeface="宋体"/>
            </a:defRPr>
          </a:pPr>
          <a:endParaRPr lang="zh-CN"/>
        </a:p>
      </c:txPr>
    </c:legend>
    <c:plotVisOnly val="1"/>
    <c:dispBlanksAs val="gap"/>
  </c:chart>
  <c:spPr>
    <a:solidFill>
      <a:srgbClr val="FFFFFF"/>
    </a:solidFill>
    <a:ln w="3175">
      <a:solidFill>
        <a:srgbClr val="C0C0C0"/>
      </a:solidFill>
      <a:prstDash val="solid"/>
    </a:ln>
  </c:spPr>
  <c:txPr>
    <a:bodyPr/>
    <a:lstStyle/>
    <a:p>
      <a:pPr>
        <a:defRPr sz="1000" b="1" i="0" u="none" strike="noStrike" baseline="0">
          <a:solidFill>
            <a:srgbClr val="000000"/>
          </a:solidFill>
          <a:latin typeface="宋体"/>
          <a:ea typeface="宋体"/>
          <a:cs typeface="宋体"/>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layout>
        <c:manualLayout>
          <c:xMode val="edge"/>
          <c:yMode val="edge"/>
          <c:x val="0.45436893203883538"/>
          <c:y val="2.0000000000000011E-2"/>
        </c:manualLayout>
      </c:layout>
      <c:spPr>
        <a:noFill/>
        <a:ln w="25400">
          <a:noFill/>
        </a:ln>
      </c:spPr>
      <c:txPr>
        <a:bodyPr/>
        <a:lstStyle/>
        <a:p>
          <a:pPr>
            <a:defRPr sz="900" b="0" i="0" u="none" strike="noStrike" baseline="0">
              <a:solidFill>
                <a:srgbClr val="000000"/>
              </a:solidFill>
              <a:latin typeface="宋体"/>
              <a:ea typeface="宋体"/>
              <a:cs typeface="宋体"/>
            </a:defRPr>
          </a:pPr>
          <a:endParaRPr lang="zh-CN"/>
        </a:p>
      </c:txPr>
    </c:title>
    <c:plotArea>
      <c:layout>
        <c:manualLayout>
          <c:layoutTarget val="inner"/>
          <c:xMode val="edge"/>
          <c:yMode val="edge"/>
          <c:x val="0.10938511326860872"/>
          <c:y val="6.0000000000000032E-2"/>
          <c:w val="0.86407766990291257"/>
          <c:h val="0.7760015156279606"/>
        </c:manualLayout>
      </c:layout>
      <c:scatterChart>
        <c:scatterStyle val="lineMarker"/>
        <c:ser>
          <c:idx val="0"/>
          <c:order val="0"/>
          <c:tx>
            <c:v>ROE-PB</c:v>
          </c:tx>
          <c:spPr>
            <a:ln w="28575">
              <a:noFill/>
            </a:ln>
          </c:spPr>
          <c:marker>
            <c:symbol val="diamond"/>
            <c:size val="5"/>
            <c:spPr>
              <a:solidFill>
                <a:srgbClr val="000080"/>
              </a:solidFill>
              <a:ln>
                <a:solidFill>
                  <a:srgbClr val="000080"/>
                </a:solidFill>
                <a:prstDash val="solid"/>
              </a:ln>
            </c:spPr>
          </c:marker>
          <c:dLbls>
            <c:dLbl>
              <c:idx val="0"/>
              <c:tx>
                <c:strRef>
                  <c:f>股票!$CC$4</c:f>
                  <c:strCache>
                    <c:ptCount val="1"/>
                    <c:pt idx="0">
                      <c:v>电气设备</c:v>
                    </c:pt>
                  </c:strCache>
                </c:strRef>
              </c:tx>
              <c:spPr>
                <a:noFill/>
                <a:ln w="25400">
                  <a:noFill/>
                </a:ln>
              </c:spPr>
              <c:txPr>
                <a:bodyPr/>
                <a:lstStyle/>
                <a:p>
                  <a:pPr>
                    <a:defRPr/>
                  </a:pPr>
                  <a:endParaRPr lang="zh-CN"/>
                </a:p>
              </c:txPr>
            </c:dLbl>
            <c:dLbl>
              <c:idx val="1"/>
              <c:layout>
                <c:manualLayout>
                  <c:x val="-6.4724919093851183E-2"/>
                  <c:y val="-3.2000000000000042E-2"/>
                </c:manualLayout>
              </c:layout>
              <c:tx>
                <c:strRef>
                  <c:f>股票!$CD$4</c:f>
                  <c:strCache>
                    <c:ptCount val="1"/>
                    <c:pt idx="0">
                      <c:v>机械</c:v>
                    </c:pt>
                  </c:strCache>
                </c:strRef>
              </c:tx>
              <c:spPr>
                <a:noFill/>
                <a:ln w="25400">
                  <a:noFill/>
                </a:ln>
              </c:spPr>
              <c:txPr>
                <a:bodyPr/>
                <a:lstStyle/>
                <a:p>
                  <a:pPr>
                    <a:defRPr/>
                  </a:pPr>
                  <a:endParaRPr lang="zh-CN"/>
                </a:p>
              </c:txPr>
              <c:dLblPos val="r"/>
            </c:dLbl>
            <c:dLbl>
              <c:idx val="2"/>
              <c:layout>
                <c:manualLayout>
                  <c:x val="-5.4368932038835485E-2"/>
                  <c:y val="-4.8000000000000063E-2"/>
                </c:manualLayout>
              </c:layout>
              <c:tx>
                <c:strRef>
                  <c:f>股票!$CE$4</c:f>
                  <c:strCache>
                    <c:ptCount val="1"/>
                    <c:pt idx="0">
                      <c:v>医药</c:v>
                    </c:pt>
                  </c:strCache>
                </c:strRef>
              </c:tx>
              <c:spPr>
                <a:noFill/>
                <a:ln w="25400">
                  <a:noFill/>
                </a:ln>
              </c:spPr>
              <c:txPr>
                <a:bodyPr/>
                <a:lstStyle/>
                <a:p>
                  <a:pPr>
                    <a:defRPr/>
                  </a:pPr>
                  <a:endParaRPr lang="zh-CN"/>
                </a:p>
              </c:txPr>
              <c:dLblPos val="r"/>
            </c:dLbl>
            <c:dLbl>
              <c:idx val="3"/>
              <c:layout>
                <c:manualLayout>
                  <c:x val="-7.7669902912621533E-2"/>
                  <c:y val="-1.6000000000000021E-2"/>
                </c:manualLayout>
              </c:layout>
              <c:tx>
                <c:strRef>
                  <c:f>股票!$CF$4</c:f>
                  <c:strCache>
                    <c:ptCount val="1"/>
                    <c:pt idx="0">
                      <c:v>化工</c:v>
                    </c:pt>
                  </c:strCache>
                </c:strRef>
              </c:tx>
              <c:spPr>
                <a:noFill/>
                <a:ln w="25400">
                  <a:noFill/>
                </a:ln>
              </c:spPr>
              <c:txPr>
                <a:bodyPr/>
                <a:lstStyle/>
                <a:p>
                  <a:pPr>
                    <a:defRPr/>
                  </a:pPr>
                  <a:endParaRPr lang="zh-CN"/>
                </a:p>
              </c:txPr>
              <c:dLblPos val="r"/>
            </c:dLbl>
            <c:dLbl>
              <c:idx val="4"/>
              <c:tx>
                <c:strRef>
                  <c:f>股票!$CG$4</c:f>
                  <c:strCache>
                    <c:ptCount val="1"/>
                    <c:pt idx="0">
                      <c:v>建材</c:v>
                    </c:pt>
                  </c:strCache>
                </c:strRef>
              </c:tx>
              <c:spPr>
                <a:noFill/>
                <a:ln w="25400">
                  <a:noFill/>
                </a:ln>
              </c:spPr>
              <c:txPr>
                <a:bodyPr/>
                <a:lstStyle/>
                <a:p>
                  <a:pPr>
                    <a:defRPr/>
                  </a:pPr>
                  <a:endParaRPr lang="zh-CN"/>
                </a:p>
              </c:txPr>
            </c:dLbl>
            <c:dLbl>
              <c:idx val="5"/>
              <c:layout>
                <c:manualLayout>
                  <c:x val="-1.0355987055016228E-2"/>
                  <c:y val="-3.2000000000000042E-2"/>
                </c:manualLayout>
              </c:layout>
              <c:tx>
                <c:strRef>
                  <c:f>股票!$CH$4</c:f>
                  <c:strCache>
                    <c:ptCount val="1"/>
                    <c:pt idx="0">
                      <c:v>建筑</c:v>
                    </c:pt>
                  </c:strCache>
                </c:strRef>
              </c:tx>
              <c:spPr>
                <a:noFill/>
                <a:ln w="25400">
                  <a:noFill/>
                </a:ln>
              </c:spPr>
              <c:txPr>
                <a:bodyPr/>
                <a:lstStyle/>
                <a:p>
                  <a:pPr>
                    <a:defRPr/>
                  </a:pPr>
                  <a:endParaRPr lang="zh-CN"/>
                </a:p>
              </c:txPr>
              <c:dLblPos val="r"/>
            </c:dLbl>
            <c:dLbl>
              <c:idx val="6"/>
              <c:tx>
                <c:strRef>
                  <c:f>股票!$CI$4</c:f>
                  <c:strCache>
                    <c:ptCount val="1"/>
                    <c:pt idx="0">
                      <c:v>造纸</c:v>
                    </c:pt>
                  </c:strCache>
                </c:strRef>
              </c:tx>
              <c:spPr>
                <a:noFill/>
                <a:ln w="25400">
                  <a:noFill/>
                </a:ln>
              </c:spPr>
              <c:txPr>
                <a:bodyPr/>
                <a:lstStyle/>
                <a:p>
                  <a:pPr>
                    <a:defRPr/>
                  </a:pPr>
                  <a:endParaRPr lang="zh-CN"/>
                </a:p>
              </c:txPr>
            </c:dLbl>
            <c:dLbl>
              <c:idx val="7"/>
              <c:tx>
                <c:strRef>
                  <c:f>股票!$CJ$4</c:f>
                  <c:strCache>
                    <c:ptCount val="1"/>
                    <c:pt idx="0">
                      <c:v>计算机应用</c:v>
                    </c:pt>
                  </c:strCache>
                </c:strRef>
              </c:tx>
              <c:spPr>
                <a:noFill/>
                <a:ln w="25400">
                  <a:noFill/>
                </a:ln>
              </c:spPr>
              <c:txPr>
                <a:bodyPr/>
                <a:lstStyle/>
                <a:p>
                  <a:pPr>
                    <a:defRPr/>
                  </a:pPr>
                  <a:endParaRPr lang="zh-CN"/>
                </a:p>
              </c:txPr>
            </c:dLbl>
            <c:dLbl>
              <c:idx val="8"/>
              <c:layout>
                <c:manualLayout>
                  <c:x val="-1.035598705501618E-2"/>
                  <c:y val="0"/>
                </c:manualLayout>
              </c:layout>
              <c:tx>
                <c:strRef>
                  <c:f>股票!$CK$4</c:f>
                  <c:strCache>
                    <c:ptCount val="1"/>
                    <c:pt idx="0">
                      <c:v>航空航运</c:v>
                    </c:pt>
                  </c:strCache>
                </c:strRef>
              </c:tx>
              <c:spPr>
                <a:noFill/>
                <a:ln w="25400">
                  <a:noFill/>
                </a:ln>
              </c:spPr>
              <c:txPr>
                <a:bodyPr/>
                <a:lstStyle/>
                <a:p>
                  <a:pPr>
                    <a:defRPr/>
                  </a:pPr>
                  <a:endParaRPr lang="zh-CN"/>
                </a:p>
              </c:txPr>
              <c:dLblPos val="r"/>
            </c:dLbl>
            <c:dLbl>
              <c:idx val="9"/>
              <c:layout>
                <c:manualLayout>
                  <c:x val="-0.10873786407767012"/>
                  <c:y val="3.7333333333333406E-2"/>
                </c:manualLayout>
              </c:layout>
              <c:tx>
                <c:strRef>
                  <c:f>股票!$CL$4</c:f>
                  <c:strCache>
                    <c:ptCount val="1"/>
                    <c:pt idx="0">
                      <c:v>交运设施</c:v>
                    </c:pt>
                  </c:strCache>
                </c:strRef>
              </c:tx>
              <c:spPr>
                <a:noFill/>
                <a:ln w="25400">
                  <a:noFill/>
                </a:ln>
              </c:spPr>
              <c:txPr>
                <a:bodyPr/>
                <a:lstStyle/>
                <a:p>
                  <a:pPr>
                    <a:defRPr/>
                  </a:pPr>
                  <a:endParaRPr lang="zh-CN"/>
                </a:p>
              </c:txPr>
              <c:dLblPos val="r"/>
            </c:dLbl>
            <c:dLbl>
              <c:idx val="10"/>
              <c:tx>
                <c:strRef>
                  <c:f>股票!$CM$4</c:f>
                  <c:strCache>
                    <c:ptCount val="1"/>
                    <c:pt idx="0">
                      <c:v>信息设备</c:v>
                    </c:pt>
                  </c:strCache>
                </c:strRef>
              </c:tx>
              <c:spPr>
                <a:noFill/>
                <a:ln w="25400">
                  <a:noFill/>
                </a:ln>
              </c:spPr>
              <c:txPr>
                <a:bodyPr/>
                <a:lstStyle/>
                <a:p>
                  <a:pPr>
                    <a:defRPr/>
                  </a:pPr>
                  <a:endParaRPr lang="zh-CN"/>
                </a:p>
              </c:txPr>
            </c:dLbl>
            <c:dLbl>
              <c:idx val="11"/>
              <c:layout>
                <c:manualLayout>
                  <c:x val="-7.7669902912621781E-3"/>
                  <c:y val="-1.6000000000000021E-2"/>
                </c:manualLayout>
              </c:layout>
              <c:tx>
                <c:strRef>
                  <c:f>股票!$CN$4</c:f>
                  <c:strCache>
                    <c:ptCount val="1"/>
                    <c:pt idx="0">
                      <c:v>零售</c:v>
                    </c:pt>
                  </c:strCache>
                </c:strRef>
              </c:tx>
              <c:spPr>
                <a:noFill/>
                <a:ln w="25400">
                  <a:noFill/>
                </a:ln>
              </c:spPr>
              <c:txPr>
                <a:bodyPr/>
                <a:lstStyle/>
                <a:p>
                  <a:pPr>
                    <a:defRPr/>
                  </a:pPr>
                  <a:endParaRPr lang="zh-CN"/>
                </a:p>
              </c:txPr>
              <c:dLblPos val="r"/>
            </c:dLbl>
            <c:dLbl>
              <c:idx val="12"/>
              <c:tx>
                <c:strRef>
                  <c:f>股票!$CO$4</c:f>
                  <c:strCache>
                    <c:ptCount val="1"/>
                    <c:pt idx="0">
                      <c:v>银行</c:v>
                    </c:pt>
                  </c:strCache>
                </c:strRef>
              </c:tx>
              <c:spPr>
                <a:noFill/>
                <a:ln w="25400">
                  <a:noFill/>
                </a:ln>
              </c:spPr>
              <c:txPr>
                <a:bodyPr/>
                <a:lstStyle/>
                <a:p>
                  <a:pPr>
                    <a:defRPr/>
                  </a:pPr>
                  <a:endParaRPr lang="zh-CN"/>
                </a:p>
              </c:txPr>
            </c:dLbl>
            <c:dLbl>
              <c:idx val="13"/>
              <c:layout>
                <c:manualLayout>
                  <c:x val="0"/>
                  <c:y val="-4.8000000000000001E-2"/>
                </c:manualLayout>
              </c:layout>
              <c:tx>
                <c:strRef>
                  <c:f>股票!$CP$4</c:f>
                  <c:strCache>
                    <c:ptCount val="1"/>
                    <c:pt idx="0">
                      <c:v>食品饮料</c:v>
                    </c:pt>
                  </c:strCache>
                </c:strRef>
              </c:tx>
              <c:spPr>
                <a:noFill/>
                <a:ln w="25400">
                  <a:noFill/>
                </a:ln>
              </c:spPr>
              <c:txPr>
                <a:bodyPr/>
                <a:lstStyle/>
                <a:p>
                  <a:pPr>
                    <a:defRPr/>
                  </a:pPr>
                  <a:endParaRPr lang="zh-CN"/>
                </a:p>
              </c:txPr>
              <c:dLblPos val="r"/>
            </c:dLbl>
            <c:dLbl>
              <c:idx val="14"/>
              <c:tx>
                <c:strRef>
                  <c:f>股票!$CQ$4</c:f>
                  <c:strCache>
                    <c:ptCount val="1"/>
                    <c:pt idx="0">
                      <c:v>视听器材</c:v>
                    </c:pt>
                  </c:strCache>
                </c:strRef>
              </c:tx>
              <c:spPr>
                <a:noFill/>
                <a:ln w="25400">
                  <a:noFill/>
                </a:ln>
              </c:spPr>
              <c:txPr>
                <a:bodyPr/>
                <a:lstStyle/>
                <a:p>
                  <a:pPr>
                    <a:defRPr/>
                  </a:pPr>
                  <a:endParaRPr lang="zh-CN"/>
                </a:p>
              </c:txPr>
            </c:dLbl>
            <c:dLbl>
              <c:idx val="15"/>
              <c:tx>
                <c:strRef>
                  <c:f>股票!$CR$4</c:f>
                  <c:strCache>
                    <c:ptCount val="1"/>
                    <c:pt idx="0">
                      <c:v>白电</c:v>
                    </c:pt>
                  </c:strCache>
                </c:strRef>
              </c:tx>
              <c:spPr>
                <a:noFill/>
                <a:ln w="25400">
                  <a:noFill/>
                </a:ln>
              </c:spPr>
              <c:txPr>
                <a:bodyPr/>
                <a:lstStyle/>
                <a:p>
                  <a:pPr>
                    <a:defRPr/>
                  </a:pPr>
                  <a:endParaRPr lang="zh-CN"/>
                </a:p>
              </c:txPr>
            </c:dLbl>
            <c:dLbl>
              <c:idx val="16"/>
              <c:layout>
                <c:manualLayout>
                  <c:x val="-2.5889967637540666E-3"/>
                  <c:y val="-1.6000000000000021E-2"/>
                </c:manualLayout>
              </c:layout>
              <c:tx>
                <c:strRef>
                  <c:f>股票!$CS$4</c:f>
                  <c:strCache>
                    <c:ptCount val="1"/>
                    <c:pt idx="0">
                      <c:v>电子元器件</c:v>
                    </c:pt>
                  </c:strCache>
                </c:strRef>
              </c:tx>
              <c:spPr>
                <a:noFill/>
                <a:ln w="25400">
                  <a:noFill/>
                </a:ln>
              </c:spPr>
              <c:txPr>
                <a:bodyPr/>
                <a:lstStyle/>
                <a:p>
                  <a:pPr>
                    <a:defRPr/>
                  </a:pPr>
                  <a:endParaRPr lang="zh-CN"/>
                </a:p>
              </c:txPr>
              <c:dLblPos val="r"/>
            </c:dLbl>
            <c:dLbl>
              <c:idx val="17"/>
              <c:layout>
                <c:manualLayout>
                  <c:x val="4.7464392356114553E-17"/>
                  <c:y val="2.1333333333333392E-2"/>
                </c:manualLayout>
              </c:layout>
              <c:tx>
                <c:strRef>
                  <c:f>股票!$CT$4</c:f>
                  <c:strCache>
                    <c:ptCount val="1"/>
                    <c:pt idx="0">
                      <c:v>汽车零部件</c:v>
                    </c:pt>
                  </c:strCache>
                </c:strRef>
              </c:tx>
              <c:spPr>
                <a:noFill/>
                <a:ln w="25400">
                  <a:noFill/>
                </a:ln>
              </c:spPr>
              <c:txPr>
                <a:bodyPr/>
                <a:lstStyle/>
                <a:p>
                  <a:pPr>
                    <a:defRPr/>
                  </a:pPr>
                  <a:endParaRPr lang="zh-CN"/>
                </a:p>
              </c:txPr>
              <c:dLblPos val="r"/>
            </c:dLbl>
            <c:dLbl>
              <c:idx val="18"/>
              <c:layout>
                <c:manualLayout>
                  <c:x val="-0.12427184466019429"/>
                  <c:y val="0"/>
                </c:manualLayout>
              </c:layout>
              <c:tx>
                <c:strRef>
                  <c:f>股票!$CU$4</c:f>
                  <c:strCache>
                    <c:ptCount val="1"/>
                    <c:pt idx="0">
                      <c:v>汽车整车</c:v>
                    </c:pt>
                  </c:strCache>
                </c:strRef>
              </c:tx>
              <c:spPr>
                <a:noFill/>
                <a:ln w="25400">
                  <a:noFill/>
                </a:ln>
              </c:spPr>
              <c:txPr>
                <a:bodyPr/>
                <a:lstStyle/>
                <a:p>
                  <a:pPr>
                    <a:defRPr/>
                  </a:pPr>
                  <a:endParaRPr lang="zh-CN"/>
                </a:p>
              </c:txPr>
              <c:dLblPos val="r"/>
            </c:dLbl>
            <c:dLbl>
              <c:idx val="19"/>
              <c:layout>
                <c:manualLayout>
                  <c:x val="-2.5889967637540666E-3"/>
                  <c:y val="2.1333333333333392E-2"/>
                </c:manualLayout>
              </c:layout>
              <c:tx>
                <c:strRef>
                  <c:f>股票!$CV$4</c:f>
                  <c:strCache>
                    <c:ptCount val="1"/>
                    <c:pt idx="0">
                      <c:v>煤炭</c:v>
                    </c:pt>
                  </c:strCache>
                </c:strRef>
              </c:tx>
              <c:spPr>
                <a:noFill/>
                <a:ln w="25400">
                  <a:noFill/>
                </a:ln>
              </c:spPr>
              <c:txPr>
                <a:bodyPr/>
                <a:lstStyle/>
                <a:p>
                  <a:pPr>
                    <a:defRPr/>
                  </a:pPr>
                  <a:endParaRPr lang="zh-CN"/>
                </a:p>
              </c:txPr>
              <c:dLblPos val="r"/>
            </c:dLbl>
            <c:dLbl>
              <c:idx val="20"/>
              <c:layout>
                <c:manualLayout>
                  <c:x val="-3.1067961165048542E-2"/>
                  <c:y val="4.8000000000000001E-2"/>
                </c:manualLayout>
              </c:layout>
              <c:tx>
                <c:strRef>
                  <c:f>股票!$CW$4</c:f>
                  <c:strCache>
                    <c:ptCount val="1"/>
                    <c:pt idx="0">
                      <c:v>电力</c:v>
                    </c:pt>
                  </c:strCache>
                </c:strRef>
              </c:tx>
              <c:spPr>
                <a:noFill/>
                <a:ln w="25400">
                  <a:noFill/>
                </a:ln>
              </c:spPr>
              <c:txPr>
                <a:bodyPr/>
                <a:lstStyle/>
                <a:p>
                  <a:pPr>
                    <a:defRPr/>
                  </a:pPr>
                  <a:endParaRPr lang="zh-CN"/>
                </a:p>
              </c:txPr>
              <c:dLblPos val="r"/>
            </c:dLbl>
            <c:dLbl>
              <c:idx val="21"/>
              <c:tx>
                <c:strRef>
                  <c:f>股票!$CX$4</c:f>
                  <c:strCache>
                    <c:ptCount val="1"/>
                    <c:pt idx="0">
                      <c:v>有色</c:v>
                    </c:pt>
                  </c:strCache>
                </c:strRef>
              </c:tx>
              <c:spPr>
                <a:noFill/>
                <a:ln w="25400">
                  <a:noFill/>
                </a:ln>
              </c:spPr>
              <c:txPr>
                <a:bodyPr/>
                <a:lstStyle/>
                <a:p>
                  <a:pPr>
                    <a:defRPr/>
                  </a:pPr>
                  <a:endParaRPr lang="zh-CN"/>
                </a:p>
              </c:txPr>
            </c:dLbl>
            <c:dLbl>
              <c:idx val="22"/>
              <c:layout>
                <c:manualLayout>
                  <c:x val="-1.2944983818770227E-2"/>
                  <c:y val="-2.1333333333333392E-2"/>
                </c:manualLayout>
              </c:layout>
              <c:tx>
                <c:strRef>
                  <c:f>股票!$CY$4</c:f>
                  <c:strCache>
                    <c:ptCount val="1"/>
                    <c:pt idx="0">
                      <c:v>钢铁</c:v>
                    </c:pt>
                  </c:strCache>
                </c:strRef>
              </c:tx>
              <c:spPr>
                <a:noFill/>
                <a:ln w="25400">
                  <a:noFill/>
                </a:ln>
              </c:spPr>
              <c:txPr>
                <a:bodyPr/>
                <a:lstStyle/>
                <a:p>
                  <a:pPr>
                    <a:defRPr/>
                  </a:pPr>
                  <a:endParaRPr lang="zh-CN"/>
                </a:p>
              </c:txPr>
              <c:dLblPos val="r"/>
            </c:dLbl>
            <c:dLbl>
              <c:idx val="23"/>
              <c:layout>
                <c:manualLayout>
                  <c:x val="-0.12686084142394818"/>
                  <c:y val="-4.8000000000000001E-2"/>
                </c:manualLayout>
              </c:layout>
              <c:tx>
                <c:strRef>
                  <c:f>股票!$CZ$4</c:f>
                  <c:strCache>
                    <c:ptCount val="1"/>
                    <c:pt idx="0">
                      <c:v>房地产开发</c:v>
                    </c:pt>
                  </c:strCache>
                </c:strRef>
              </c:tx>
              <c:spPr>
                <a:noFill/>
                <a:ln w="25400">
                  <a:noFill/>
                </a:ln>
              </c:spPr>
              <c:txPr>
                <a:bodyPr/>
                <a:lstStyle/>
                <a:p>
                  <a:pPr>
                    <a:defRPr/>
                  </a:pPr>
                  <a:endParaRPr lang="zh-CN"/>
                </a:p>
              </c:txPr>
              <c:dLblPos val="r"/>
            </c:dLbl>
            <c:dLbl>
              <c:idx val="24"/>
              <c:layout>
                <c:manualLayout>
                  <c:x val="-0.11650505822694512"/>
                  <c:y val="5.3333333333333809E-3"/>
                </c:manualLayout>
              </c:layout>
              <c:tx>
                <c:strRef>
                  <c:f>股票!$DA$4</c:f>
                  <c:strCache>
                    <c:ptCount val="1"/>
                    <c:pt idx="0">
                      <c:v>纺织服装</c:v>
                    </c:pt>
                  </c:strCache>
                </c:strRef>
              </c:tx>
              <c:spPr>
                <a:noFill/>
                <a:ln w="25400">
                  <a:noFill/>
                </a:ln>
              </c:spPr>
              <c:txPr>
                <a:bodyPr/>
                <a:lstStyle/>
                <a:p>
                  <a:pPr>
                    <a:defRPr/>
                  </a:pPr>
                  <a:endParaRPr lang="zh-CN"/>
                </a:p>
              </c:txPr>
              <c:dLblPos val="r"/>
            </c:dLbl>
            <c:dLbl>
              <c:idx val="25"/>
              <c:tx>
                <c:strRef>
                  <c:f>股票!$DB$4</c:f>
                  <c:strCache>
                    <c:ptCount val="1"/>
                    <c:pt idx="0">
                      <c:v>餐饮旅游</c:v>
                    </c:pt>
                  </c:strCache>
                </c:strRef>
              </c:tx>
              <c:spPr>
                <a:noFill/>
                <a:ln w="25400">
                  <a:noFill/>
                </a:ln>
              </c:spPr>
              <c:txPr>
                <a:bodyPr/>
                <a:lstStyle/>
                <a:p>
                  <a:pPr>
                    <a:defRPr/>
                  </a:pPr>
                  <a:endParaRPr lang="zh-CN"/>
                </a:p>
              </c:txPr>
            </c:dLbl>
            <c:dLbl>
              <c:idx val="26"/>
              <c:tx>
                <c:strRef>
                  <c:f>股票!$DC$4</c:f>
                  <c:strCache>
                    <c:ptCount val="1"/>
                    <c:pt idx="0">
                      <c:v>保险</c:v>
                    </c:pt>
                  </c:strCache>
                </c:strRef>
              </c:tx>
              <c:spPr>
                <a:noFill/>
                <a:ln w="25400">
                  <a:noFill/>
                </a:ln>
              </c:spPr>
              <c:txPr>
                <a:bodyPr/>
                <a:lstStyle/>
                <a:p>
                  <a:pPr>
                    <a:defRPr/>
                  </a:pPr>
                  <a:endParaRPr lang="zh-CN"/>
                </a:p>
              </c:txPr>
            </c:dLbl>
            <c:dLbl>
              <c:idx val="27"/>
              <c:layout>
                <c:manualLayout>
                  <c:x val="-7.2491909385113323E-2"/>
                  <c:y val="4.2666666666666714E-2"/>
                </c:manualLayout>
              </c:layout>
              <c:tx>
                <c:strRef>
                  <c:f>股票!$DD$4</c:f>
                  <c:strCache>
                    <c:ptCount val="1"/>
                    <c:pt idx="0">
                      <c:v>证券</c:v>
                    </c:pt>
                  </c:strCache>
                </c:strRef>
              </c:tx>
              <c:spPr>
                <a:noFill/>
                <a:ln w="25400">
                  <a:noFill/>
                </a:ln>
              </c:spPr>
              <c:txPr>
                <a:bodyPr/>
                <a:lstStyle/>
                <a:p>
                  <a:pPr>
                    <a:defRPr/>
                  </a:pPr>
                  <a:endParaRPr lang="zh-CN"/>
                </a:p>
              </c:txPr>
              <c:dLblPos val="r"/>
            </c:dLbl>
            <c:delete val="1"/>
          </c:dLbls>
          <c:xVal>
            <c:numRef>
              <c:f>股票!$DG$112:$EH$112</c:f>
              <c:numCache>
                <c:formatCode>0.00</c:formatCode>
                <c:ptCount val="28"/>
                <c:pt idx="0">
                  <c:v>3.773216690288046</c:v>
                </c:pt>
                <c:pt idx="1">
                  <c:v>2.5671849771036692</c:v>
                </c:pt>
                <c:pt idx="2">
                  <c:v>3.7272161222457902</c:v>
                </c:pt>
                <c:pt idx="3">
                  <c:v>1.6134121499328431</c:v>
                </c:pt>
                <c:pt idx="4">
                  <c:v>2.3155602363182739</c:v>
                </c:pt>
                <c:pt idx="5">
                  <c:v>1.5507037900634417</c:v>
                </c:pt>
                <c:pt idx="6">
                  <c:v>1.4302431181003616</c:v>
                </c:pt>
                <c:pt idx="7">
                  <c:v>3.8200307612968203</c:v>
                </c:pt>
                <c:pt idx="8">
                  <c:v>1.3448710153546182</c:v>
                </c:pt>
                <c:pt idx="9">
                  <c:v>1.2692827945287701</c:v>
                </c:pt>
                <c:pt idx="10">
                  <c:v>2.3923959712061547</c:v>
                </c:pt>
                <c:pt idx="11">
                  <c:v>2.7225130710060199</c:v>
                </c:pt>
                <c:pt idx="12">
                  <c:v>1.5056032123756209</c:v>
                </c:pt>
                <c:pt idx="13">
                  <c:v>6.647895527865602</c:v>
                </c:pt>
                <c:pt idx="14">
                  <c:v>1.3557569397590641</c:v>
                </c:pt>
                <c:pt idx="15">
                  <c:v>2.5636879690318755</c:v>
                </c:pt>
                <c:pt idx="16">
                  <c:v>2.4534832679703249</c:v>
                </c:pt>
                <c:pt idx="17">
                  <c:v>2.3888201318959554</c:v>
                </c:pt>
                <c:pt idx="18">
                  <c:v>1.7738008491516857</c:v>
                </c:pt>
                <c:pt idx="19">
                  <c:v>2.1701697048659851</c:v>
                </c:pt>
                <c:pt idx="20">
                  <c:v>1.4283559998265831</c:v>
                </c:pt>
                <c:pt idx="21">
                  <c:v>2.6823895890898166</c:v>
                </c:pt>
                <c:pt idx="22">
                  <c:v>0.93379967371934236</c:v>
                </c:pt>
                <c:pt idx="23">
                  <c:v>1.5698014599905377</c:v>
                </c:pt>
                <c:pt idx="24">
                  <c:v>2.4624649172282167</c:v>
                </c:pt>
                <c:pt idx="25">
                  <c:v>3.0281458757789199</c:v>
                </c:pt>
                <c:pt idx="26">
                  <c:v>2.2380671939067747</c:v>
                </c:pt>
                <c:pt idx="27">
                  <c:v>1.7724650082948166</c:v>
                </c:pt>
              </c:numCache>
            </c:numRef>
          </c:xVal>
          <c:yVal>
            <c:numRef>
              <c:f>股票!$CC$40:$DD$40</c:f>
              <c:numCache>
                <c:formatCode>0.00</c:formatCode>
                <c:ptCount val="28"/>
                <c:pt idx="0">
                  <c:v>0.10096463942644318</c:v>
                </c:pt>
                <c:pt idx="1">
                  <c:v>9.3048105316213076E-2</c:v>
                </c:pt>
                <c:pt idx="2">
                  <c:v>0.12088324886187519</c:v>
                </c:pt>
                <c:pt idx="3">
                  <c:v>0.13085607980355479</c:v>
                </c:pt>
                <c:pt idx="4">
                  <c:v>0.21552474102744498</c:v>
                </c:pt>
                <c:pt idx="5">
                  <c:v>0.10301008889223655</c:v>
                </c:pt>
                <c:pt idx="6">
                  <c:v>1.9026661409749557E-2</c:v>
                </c:pt>
                <c:pt idx="7">
                  <c:v>0.12399441352465669</c:v>
                </c:pt>
                <c:pt idx="8">
                  <c:v>6.1988711011040386E-2</c:v>
                </c:pt>
                <c:pt idx="9">
                  <c:v>9.4959939696053472E-2</c:v>
                </c:pt>
                <c:pt idx="10">
                  <c:v>5.7247400175700063E-2</c:v>
                </c:pt>
                <c:pt idx="11">
                  <c:v>0.13056447051469594</c:v>
                </c:pt>
                <c:pt idx="12">
                  <c:v>0.21693013324483687</c:v>
                </c:pt>
                <c:pt idx="13">
                  <c:v>0.21650812651519108</c:v>
                </c:pt>
                <c:pt idx="14">
                  <c:v>3.5344830621543442E-2</c:v>
                </c:pt>
                <c:pt idx="15">
                  <c:v>0.19739570731330858</c:v>
                </c:pt>
                <c:pt idx="16">
                  <c:v>9.738797642714767E-4</c:v>
                </c:pt>
                <c:pt idx="17">
                  <c:v>0.18557107079280824</c:v>
                </c:pt>
                <c:pt idx="18">
                  <c:v>0.17239606662926671</c:v>
                </c:pt>
                <c:pt idx="19">
                  <c:v>0.17261703314044075</c:v>
                </c:pt>
                <c:pt idx="20">
                  <c:v>1.3577889263752325E-2</c:v>
                </c:pt>
                <c:pt idx="21">
                  <c:v>9.8709313556804248E-2</c:v>
                </c:pt>
                <c:pt idx="22">
                  <c:v>4.6999121326848414E-2</c:v>
                </c:pt>
                <c:pt idx="23">
                  <c:v>9.8583570690791295E-2</c:v>
                </c:pt>
                <c:pt idx="24">
                  <c:v>8.3795915489163736E-2</c:v>
                </c:pt>
                <c:pt idx="25">
                  <c:v>7.4334847340490423E-2</c:v>
                </c:pt>
                <c:pt idx="26">
                  <c:v>0.13253593839586272</c:v>
                </c:pt>
                <c:pt idx="27">
                  <c:v>0.10358012473921523</c:v>
                </c:pt>
              </c:numCache>
            </c:numRef>
          </c:yVal>
        </c:ser>
        <c:axId val="368481792"/>
        <c:axId val="368483328"/>
      </c:scatterChart>
      <c:valAx>
        <c:axId val="368481792"/>
        <c:scaling>
          <c:orientation val="minMax"/>
          <c:max val="8"/>
          <c:min val="1"/>
        </c:scaling>
        <c:axPos val="b"/>
        <c:numFmt formatCode="0" sourceLinked="0"/>
        <c:majorTickMark val="cross"/>
        <c:tickLblPos val="nextTo"/>
        <c:spPr>
          <a:ln w="3175">
            <a:solidFill>
              <a:srgbClr val="000000"/>
            </a:solidFill>
            <a:prstDash val="solid"/>
          </a:ln>
        </c:spPr>
        <c:txPr>
          <a:bodyPr rot="0" vert="horz"/>
          <a:lstStyle/>
          <a:p>
            <a:pPr>
              <a:defRPr sz="900" b="0" i="0" u="none" strike="noStrike" baseline="0">
                <a:solidFill>
                  <a:srgbClr val="000000"/>
                </a:solidFill>
                <a:latin typeface="宋体"/>
                <a:ea typeface="宋体"/>
                <a:cs typeface="宋体"/>
              </a:defRPr>
            </a:pPr>
            <a:endParaRPr lang="zh-CN"/>
          </a:p>
        </c:txPr>
        <c:crossAx val="368483328"/>
        <c:crossesAt val="0"/>
        <c:crossBetween val="midCat"/>
      </c:valAx>
      <c:valAx>
        <c:axId val="368483328"/>
        <c:scaling>
          <c:orientation val="minMax"/>
          <c:max val="0.25"/>
          <c:min val="0"/>
        </c:scaling>
        <c:axPos val="l"/>
        <c:majorGridlines>
          <c:spPr>
            <a:ln w="3175">
              <a:solidFill>
                <a:srgbClr val="C0C0C0"/>
              </a:solidFill>
              <a:prstDash val="sysDash"/>
            </a:ln>
          </c:spPr>
        </c:majorGridlines>
        <c:numFmt formatCode="0.00" sourceLinked="1"/>
        <c:majorTickMark val="cross"/>
        <c:tickLblPos val="nextTo"/>
        <c:spPr>
          <a:ln w="3175">
            <a:solidFill>
              <a:srgbClr val="000000"/>
            </a:solidFill>
            <a:prstDash val="solid"/>
          </a:ln>
        </c:spPr>
        <c:txPr>
          <a:bodyPr rot="0" vert="horz"/>
          <a:lstStyle/>
          <a:p>
            <a:pPr>
              <a:defRPr sz="900" b="0" i="0" u="none" strike="noStrike" baseline="0">
                <a:solidFill>
                  <a:srgbClr val="000000"/>
                </a:solidFill>
                <a:latin typeface="宋体"/>
                <a:ea typeface="宋体"/>
                <a:cs typeface="宋体"/>
              </a:defRPr>
            </a:pPr>
            <a:endParaRPr lang="zh-CN"/>
          </a:p>
        </c:txPr>
        <c:crossAx val="368481792"/>
        <c:crosses val="autoZero"/>
        <c:crossBetween val="midCat"/>
        <c:majorUnit val="0.05"/>
      </c:valAx>
      <c:spPr>
        <a:solidFill>
          <a:srgbClr val="FFFFFF"/>
        </a:solidFill>
        <a:ln w="25400">
          <a:noFill/>
        </a:ln>
      </c:spPr>
    </c:plotArea>
    <c:plotVisOnly val="1"/>
    <c:dispBlanksAs val="gap"/>
  </c:chart>
  <c:spPr>
    <a:solidFill>
      <a:srgbClr val="FFFFFF"/>
    </a:solidFill>
    <a:ln w="3175">
      <a:solidFill>
        <a:srgbClr val="C0C0C0"/>
      </a:solidFill>
      <a:prstDash val="solid"/>
    </a:ln>
  </c:spPr>
  <c:txPr>
    <a:bodyPr/>
    <a:lstStyle/>
    <a:p>
      <a:pPr>
        <a:defRPr sz="900" b="0" i="0" u="none" strike="noStrike" baseline="0">
          <a:solidFill>
            <a:srgbClr val="000000"/>
          </a:solidFill>
          <a:latin typeface="宋体"/>
          <a:ea typeface="宋体"/>
          <a:cs typeface="宋体"/>
        </a:defRPr>
      </a:pPr>
      <a:endParaRPr lang="zh-CN"/>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7.7689318594098791E-2"/>
          <c:y val="5.5172413793103482E-2"/>
          <c:w val="0.79681352404203565"/>
          <c:h val="0.7724137931034486"/>
        </c:manualLayout>
      </c:layout>
      <c:lineChart>
        <c:grouping val="standard"/>
        <c:ser>
          <c:idx val="1"/>
          <c:order val="1"/>
          <c:tx>
            <c:strRef>
              <c:f>稀土价格!$BB$2</c:f>
              <c:strCache>
                <c:ptCount val="1"/>
                <c:pt idx="0">
                  <c:v>毛坯烧结钕铁硼(N35)</c:v>
                </c:pt>
              </c:strCache>
            </c:strRef>
          </c:tx>
          <c:spPr>
            <a:ln w="12700">
              <a:solidFill>
                <a:srgbClr val="00CCFF"/>
              </a:solidFill>
              <a:prstDash val="solid"/>
            </a:ln>
          </c:spPr>
          <c:marker>
            <c:symbol val="none"/>
          </c:marker>
          <c:cat>
            <c:numRef>
              <c:f>国信有色数据库.xls!date81</c:f>
              <c:numCache>
                <c:formatCode>[$-409]dd\-mmm\-yy;@</c:formatCode>
                <c:ptCount val="800"/>
                <c:pt idx="0">
                  <c:v>40900</c:v>
                </c:pt>
                <c:pt idx="1">
                  <c:v>40899</c:v>
                </c:pt>
                <c:pt idx="2">
                  <c:v>40898</c:v>
                </c:pt>
                <c:pt idx="3">
                  <c:v>40897</c:v>
                </c:pt>
                <c:pt idx="4">
                  <c:v>40896</c:v>
                </c:pt>
                <c:pt idx="5">
                  <c:v>40893</c:v>
                </c:pt>
                <c:pt idx="6">
                  <c:v>40892</c:v>
                </c:pt>
                <c:pt idx="7">
                  <c:v>40891</c:v>
                </c:pt>
                <c:pt idx="8">
                  <c:v>40890</c:v>
                </c:pt>
                <c:pt idx="9">
                  <c:v>40889</c:v>
                </c:pt>
                <c:pt idx="10">
                  <c:v>40886</c:v>
                </c:pt>
                <c:pt idx="11">
                  <c:v>40885</c:v>
                </c:pt>
                <c:pt idx="12">
                  <c:v>40884</c:v>
                </c:pt>
                <c:pt idx="13">
                  <c:v>40883</c:v>
                </c:pt>
                <c:pt idx="14">
                  <c:v>40882</c:v>
                </c:pt>
                <c:pt idx="15">
                  <c:v>40879</c:v>
                </c:pt>
                <c:pt idx="16">
                  <c:v>40878</c:v>
                </c:pt>
                <c:pt idx="17">
                  <c:v>40877</c:v>
                </c:pt>
                <c:pt idx="18">
                  <c:v>40876</c:v>
                </c:pt>
                <c:pt idx="19">
                  <c:v>40875</c:v>
                </c:pt>
                <c:pt idx="20">
                  <c:v>40872</c:v>
                </c:pt>
                <c:pt idx="21">
                  <c:v>40871</c:v>
                </c:pt>
                <c:pt idx="22">
                  <c:v>40870</c:v>
                </c:pt>
                <c:pt idx="23">
                  <c:v>40869</c:v>
                </c:pt>
                <c:pt idx="24">
                  <c:v>40868</c:v>
                </c:pt>
                <c:pt idx="25">
                  <c:v>40865</c:v>
                </c:pt>
                <c:pt idx="26">
                  <c:v>40864</c:v>
                </c:pt>
                <c:pt idx="27">
                  <c:v>40863</c:v>
                </c:pt>
                <c:pt idx="28">
                  <c:v>40862</c:v>
                </c:pt>
                <c:pt idx="29">
                  <c:v>40861</c:v>
                </c:pt>
                <c:pt idx="30">
                  <c:v>40858</c:v>
                </c:pt>
                <c:pt idx="31">
                  <c:v>40857</c:v>
                </c:pt>
                <c:pt idx="32">
                  <c:v>40856</c:v>
                </c:pt>
                <c:pt idx="33">
                  <c:v>40855</c:v>
                </c:pt>
                <c:pt idx="34">
                  <c:v>40854</c:v>
                </c:pt>
                <c:pt idx="35">
                  <c:v>40851</c:v>
                </c:pt>
                <c:pt idx="36">
                  <c:v>40850</c:v>
                </c:pt>
                <c:pt idx="37">
                  <c:v>40849</c:v>
                </c:pt>
                <c:pt idx="38">
                  <c:v>40848</c:v>
                </c:pt>
                <c:pt idx="39">
                  <c:v>40847</c:v>
                </c:pt>
                <c:pt idx="40">
                  <c:v>40844</c:v>
                </c:pt>
                <c:pt idx="41">
                  <c:v>40843</c:v>
                </c:pt>
                <c:pt idx="42">
                  <c:v>40842</c:v>
                </c:pt>
                <c:pt idx="43">
                  <c:v>40841</c:v>
                </c:pt>
                <c:pt idx="44">
                  <c:v>40840</c:v>
                </c:pt>
                <c:pt idx="45">
                  <c:v>40837</c:v>
                </c:pt>
                <c:pt idx="46">
                  <c:v>40836</c:v>
                </c:pt>
                <c:pt idx="47">
                  <c:v>40835</c:v>
                </c:pt>
                <c:pt idx="48">
                  <c:v>40834</c:v>
                </c:pt>
                <c:pt idx="49">
                  <c:v>40833</c:v>
                </c:pt>
                <c:pt idx="50">
                  <c:v>40830</c:v>
                </c:pt>
                <c:pt idx="51">
                  <c:v>40829</c:v>
                </c:pt>
                <c:pt idx="52">
                  <c:v>40828</c:v>
                </c:pt>
                <c:pt idx="53">
                  <c:v>40827</c:v>
                </c:pt>
                <c:pt idx="54">
                  <c:v>40826</c:v>
                </c:pt>
                <c:pt idx="55">
                  <c:v>40825</c:v>
                </c:pt>
                <c:pt idx="56">
                  <c:v>40824</c:v>
                </c:pt>
                <c:pt idx="57">
                  <c:v>40816</c:v>
                </c:pt>
                <c:pt idx="58">
                  <c:v>40815</c:v>
                </c:pt>
                <c:pt idx="59">
                  <c:v>40814</c:v>
                </c:pt>
                <c:pt idx="60">
                  <c:v>40813</c:v>
                </c:pt>
                <c:pt idx="61">
                  <c:v>40812</c:v>
                </c:pt>
                <c:pt idx="62">
                  <c:v>40809</c:v>
                </c:pt>
                <c:pt idx="63">
                  <c:v>40808</c:v>
                </c:pt>
                <c:pt idx="64">
                  <c:v>40807</c:v>
                </c:pt>
                <c:pt idx="65">
                  <c:v>40806</c:v>
                </c:pt>
                <c:pt idx="66">
                  <c:v>40805</c:v>
                </c:pt>
                <c:pt idx="67">
                  <c:v>40802</c:v>
                </c:pt>
                <c:pt idx="68">
                  <c:v>40801</c:v>
                </c:pt>
                <c:pt idx="69">
                  <c:v>40800</c:v>
                </c:pt>
                <c:pt idx="70">
                  <c:v>40799</c:v>
                </c:pt>
                <c:pt idx="71">
                  <c:v>40795</c:v>
                </c:pt>
                <c:pt idx="72">
                  <c:v>40794</c:v>
                </c:pt>
                <c:pt idx="73">
                  <c:v>40793</c:v>
                </c:pt>
                <c:pt idx="74">
                  <c:v>40792</c:v>
                </c:pt>
                <c:pt idx="75">
                  <c:v>40791</c:v>
                </c:pt>
                <c:pt idx="76">
                  <c:v>40788</c:v>
                </c:pt>
                <c:pt idx="77">
                  <c:v>40787</c:v>
                </c:pt>
                <c:pt idx="78">
                  <c:v>40786</c:v>
                </c:pt>
                <c:pt idx="79">
                  <c:v>40785</c:v>
                </c:pt>
                <c:pt idx="80">
                  <c:v>40784</c:v>
                </c:pt>
                <c:pt idx="81">
                  <c:v>40781</c:v>
                </c:pt>
                <c:pt idx="82">
                  <c:v>40780</c:v>
                </c:pt>
                <c:pt idx="83">
                  <c:v>40779</c:v>
                </c:pt>
                <c:pt idx="84">
                  <c:v>40778</c:v>
                </c:pt>
                <c:pt idx="85">
                  <c:v>40777</c:v>
                </c:pt>
                <c:pt idx="86">
                  <c:v>40774</c:v>
                </c:pt>
                <c:pt idx="87">
                  <c:v>40773</c:v>
                </c:pt>
                <c:pt idx="88">
                  <c:v>40772</c:v>
                </c:pt>
                <c:pt idx="89">
                  <c:v>40771</c:v>
                </c:pt>
                <c:pt idx="90">
                  <c:v>40770</c:v>
                </c:pt>
                <c:pt idx="91">
                  <c:v>40767</c:v>
                </c:pt>
                <c:pt idx="92">
                  <c:v>40766</c:v>
                </c:pt>
                <c:pt idx="93">
                  <c:v>40765</c:v>
                </c:pt>
                <c:pt idx="94">
                  <c:v>40764</c:v>
                </c:pt>
                <c:pt idx="95">
                  <c:v>40763</c:v>
                </c:pt>
                <c:pt idx="96">
                  <c:v>40760</c:v>
                </c:pt>
                <c:pt idx="97">
                  <c:v>40759</c:v>
                </c:pt>
                <c:pt idx="98">
                  <c:v>40758</c:v>
                </c:pt>
                <c:pt idx="99">
                  <c:v>40757</c:v>
                </c:pt>
                <c:pt idx="100">
                  <c:v>40756</c:v>
                </c:pt>
                <c:pt idx="101">
                  <c:v>40753</c:v>
                </c:pt>
                <c:pt idx="102">
                  <c:v>40752</c:v>
                </c:pt>
                <c:pt idx="103">
                  <c:v>40751</c:v>
                </c:pt>
                <c:pt idx="104">
                  <c:v>40750</c:v>
                </c:pt>
                <c:pt idx="105">
                  <c:v>40749</c:v>
                </c:pt>
                <c:pt idx="106">
                  <c:v>40746</c:v>
                </c:pt>
                <c:pt idx="107">
                  <c:v>40745</c:v>
                </c:pt>
                <c:pt idx="108">
                  <c:v>40744</c:v>
                </c:pt>
                <c:pt idx="109">
                  <c:v>40743</c:v>
                </c:pt>
                <c:pt idx="110">
                  <c:v>40742</c:v>
                </c:pt>
                <c:pt idx="111">
                  <c:v>40739</c:v>
                </c:pt>
                <c:pt idx="112">
                  <c:v>40738</c:v>
                </c:pt>
                <c:pt idx="113">
                  <c:v>40737</c:v>
                </c:pt>
                <c:pt idx="114">
                  <c:v>40736</c:v>
                </c:pt>
                <c:pt idx="115">
                  <c:v>40735</c:v>
                </c:pt>
                <c:pt idx="116">
                  <c:v>40732</c:v>
                </c:pt>
                <c:pt idx="117">
                  <c:v>40731</c:v>
                </c:pt>
                <c:pt idx="118">
                  <c:v>40730</c:v>
                </c:pt>
                <c:pt idx="119">
                  <c:v>40729</c:v>
                </c:pt>
                <c:pt idx="120">
                  <c:v>40728</c:v>
                </c:pt>
                <c:pt idx="121">
                  <c:v>40725</c:v>
                </c:pt>
                <c:pt idx="122">
                  <c:v>40724</c:v>
                </c:pt>
                <c:pt idx="123">
                  <c:v>40723</c:v>
                </c:pt>
                <c:pt idx="124">
                  <c:v>40722</c:v>
                </c:pt>
                <c:pt idx="125">
                  <c:v>40721</c:v>
                </c:pt>
                <c:pt idx="126">
                  <c:v>40718</c:v>
                </c:pt>
                <c:pt idx="127">
                  <c:v>40717</c:v>
                </c:pt>
                <c:pt idx="128">
                  <c:v>40716</c:v>
                </c:pt>
                <c:pt idx="129">
                  <c:v>40715</c:v>
                </c:pt>
                <c:pt idx="130">
                  <c:v>40714</c:v>
                </c:pt>
                <c:pt idx="131">
                  <c:v>40711</c:v>
                </c:pt>
                <c:pt idx="132">
                  <c:v>40710</c:v>
                </c:pt>
                <c:pt idx="133">
                  <c:v>40709</c:v>
                </c:pt>
                <c:pt idx="134">
                  <c:v>40708</c:v>
                </c:pt>
                <c:pt idx="135">
                  <c:v>40707</c:v>
                </c:pt>
                <c:pt idx="136">
                  <c:v>40704</c:v>
                </c:pt>
                <c:pt idx="137">
                  <c:v>40703</c:v>
                </c:pt>
                <c:pt idx="138">
                  <c:v>40702</c:v>
                </c:pt>
                <c:pt idx="139">
                  <c:v>40701</c:v>
                </c:pt>
                <c:pt idx="140">
                  <c:v>40697</c:v>
                </c:pt>
                <c:pt idx="141">
                  <c:v>40696</c:v>
                </c:pt>
                <c:pt idx="142">
                  <c:v>40695</c:v>
                </c:pt>
                <c:pt idx="143">
                  <c:v>40694</c:v>
                </c:pt>
                <c:pt idx="144">
                  <c:v>40693</c:v>
                </c:pt>
                <c:pt idx="145">
                  <c:v>40690</c:v>
                </c:pt>
                <c:pt idx="146">
                  <c:v>40689</c:v>
                </c:pt>
                <c:pt idx="147">
                  <c:v>40688</c:v>
                </c:pt>
                <c:pt idx="148">
                  <c:v>40687</c:v>
                </c:pt>
                <c:pt idx="149">
                  <c:v>40686</c:v>
                </c:pt>
                <c:pt idx="150" formatCode="[$-409]d/mmm/yy;@">
                  <c:v>40683</c:v>
                </c:pt>
                <c:pt idx="151">
                  <c:v>40682</c:v>
                </c:pt>
                <c:pt idx="152" formatCode="[$-409]d/mmm/yy;@">
                  <c:v>40681</c:v>
                </c:pt>
                <c:pt idx="153">
                  <c:v>40680</c:v>
                </c:pt>
                <c:pt idx="154" formatCode="[$-409]d/mmm/yy;@">
                  <c:v>40679</c:v>
                </c:pt>
                <c:pt idx="155">
                  <c:v>40676</c:v>
                </c:pt>
                <c:pt idx="156" formatCode="[$-409]d/mmm/yy;@">
                  <c:v>40675</c:v>
                </c:pt>
                <c:pt idx="157">
                  <c:v>40674</c:v>
                </c:pt>
                <c:pt idx="158" formatCode="[$-409]d/mmm/yy;@">
                  <c:v>40673</c:v>
                </c:pt>
                <c:pt idx="159">
                  <c:v>40672</c:v>
                </c:pt>
                <c:pt idx="160">
                  <c:v>40669</c:v>
                </c:pt>
                <c:pt idx="161">
                  <c:v>40668</c:v>
                </c:pt>
                <c:pt idx="162">
                  <c:v>40667</c:v>
                </c:pt>
                <c:pt idx="163">
                  <c:v>40666</c:v>
                </c:pt>
                <c:pt idx="164">
                  <c:v>40662</c:v>
                </c:pt>
                <c:pt idx="165">
                  <c:v>40661</c:v>
                </c:pt>
                <c:pt idx="166">
                  <c:v>40660</c:v>
                </c:pt>
                <c:pt idx="167">
                  <c:v>40659</c:v>
                </c:pt>
                <c:pt idx="168">
                  <c:v>40658</c:v>
                </c:pt>
                <c:pt idx="169">
                  <c:v>40655</c:v>
                </c:pt>
                <c:pt idx="170">
                  <c:v>40654</c:v>
                </c:pt>
                <c:pt idx="171">
                  <c:v>40653</c:v>
                </c:pt>
                <c:pt idx="172">
                  <c:v>40652</c:v>
                </c:pt>
                <c:pt idx="173">
                  <c:v>40651</c:v>
                </c:pt>
                <c:pt idx="174">
                  <c:v>40648</c:v>
                </c:pt>
                <c:pt idx="175">
                  <c:v>40647</c:v>
                </c:pt>
                <c:pt idx="176">
                  <c:v>40646</c:v>
                </c:pt>
                <c:pt idx="177">
                  <c:v>40645</c:v>
                </c:pt>
                <c:pt idx="178">
                  <c:v>40644</c:v>
                </c:pt>
                <c:pt idx="179">
                  <c:v>40641</c:v>
                </c:pt>
                <c:pt idx="180" formatCode="[$-409]d\-mmm\-yy;@">
                  <c:v>40640</c:v>
                </c:pt>
                <c:pt idx="181" formatCode="[$-409]d\-mmm\-yy;@">
                  <c:v>40639</c:v>
                </c:pt>
                <c:pt idx="182" formatCode="[$-409]d\-mmm\-yy;@">
                  <c:v>40635</c:v>
                </c:pt>
                <c:pt idx="183">
                  <c:v>40634</c:v>
                </c:pt>
                <c:pt idx="184">
                  <c:v>40633</c:v>
                </c:pt>
                <c:pt idx="185">
                  <c:v>40632</c:v>
                </c:pt>
                <c:pt idx="186">
                  <c:v>40631</c:v>
                </c:pt>
                <c:pt idx="187">
                  <c:v>40630</c:v>
                </c:pt>
                <c:pt idx="188">
                  <c:v>40627</c:v>
                </c:pt>
                <c:pt idx="189">
                  <c:v>40626</c:v>
                </c:pt>
                <c:pt idx="190" formatCode="[$-409]d\-mmm\-yy;@">
                  <c:v>40625</c:v>
                </c:pt>
                <c:pt idx="191" formatCode="[$-409]d\-mmm\-yy;@">
                  <c:v>40624</c:v>
                </c:pt>
                <c:pt idx="192" formatCode="[$-409]d\-mmm\-yy;@">
                  <c:v>40623</c:v>
                </c:pt>
                <c:pt idx="193" formatCode="[$-409]d\-mmm\-yy;@">
                  <c:v>40620</c:v>
                </c:pt>
                <c:pt idx="194" formatCode="[$-409]d\-mmm\-yy;@">
                  <c:v>40619</c:v>
                </c:pt>
                <c:pt idx="195" formatCode="[$-409]d\-mmm\-yy;@">
                  <c:v>40618</c:v>
                </c:pt>
                <c:pt idx="196" formatCode="[$-409]d\-mmm\-yy;@">
                  <c:v>40617</c:v>
                </c:pt>
                <c:pt idx="197" formatCode="[$-409]d\-mmm\-yy;@">
                  <c:v>40616</c:v>
                </c:pt>
                <c:pt idx="198" formatCode="[$-409]d\-mmm\-yy;@">
                  <c:v>40613</c:v>
                </c:pt>
                <c:pt idx="199" formatCode="[$-409]d\-mmm\-yy;@">
                  <c:v>40612</c:v>
                </c:pt>
                <c:pt idx="200" formatCode="[$-409]d\-mmm\-yy;@">
                  <c:v>40611</c:v>
                </c:pt>
                <c:pt idx="201" formatCode="[$-409]d\-mmm\-yy;@">
                  <c:v>40610</c:v>
                </c:pt>
                <c:pt idx="202" formatCode="[$-409]d\-mmm\-yy;@">
                  <c:v>40609</c:v>
                </c:pt>
                <c:pt idx="203" formatCode="[$-409]d\-mmm\-yy;@">
                  <c:v>40606</c:v>
                </c:pt>
                <c:pt idx="204" formatCode="[$-409]d\-mmm\-yy;@">
                  <c:v>40605</c:v>
                </c:pt>
                <c:pt idx="205">
                  <c:v>40604</c:v>
                </c:pt>
                <c:pt idx="206">
                  <c:v>40603</c:v>
                </c:pt>
                <c:pt idx="207">
                  <c:v>40602</c:v>
                </c:pt>
                <c:pt idx="208">
                  <c:v>40599</c:v>
                </c:pt>
                <c:pt idx="209">
                  <c:v>40598</c:v>
                </c:pt>
                <c:pt idx="210">
                  <c:v>40597</c:v>
                </c:pt>
                <c:pt idx="211">
                  <c:v>40596</c:v>
                </c:pt>
                <c:pt idx="212">
                  <c:v>40595</c:v>
                </c:pt>
                <c:pt idx="213">
                  <c:v>40592</c:v>
                </c:pt>
                <c:pt idx="214">
                  <c:v>40591</c:v>
                </c:pt>
                <c:pt idx="215">
                  <c:v>40590</c:v>
                </c:pt>
                <c:pt idx="216">
                  <c:v>40589</c:v>
                </c:pt>
                <c:pt idx="217">
                  <c:v>40588</c:v>
                </c:pt>
                <c:pt idx="218">
                  <c:v>40585</c:v>
                </c:pt>
                <c:pt idx="219">
                  <c:v>40584</c:v>
                </c:pt>
                <c:pt idx="220">
                  <c:v>40583</c:v>
                </c:pt>
                <c:pt idx="221">
                  <c:v>40574</c:v>
                </c:pt>
                <c:pt idx="222">
                  <c:v>40573</c:v>
                </c:pt>
                <c:pt idx="223">
                  <c:v>40571</c:v>
                </c:pt>
                <c:pt idx="224">
                  <c:v>40570</c:v>
                </c:pt>
                <c:pt idx="225">
                  <c:v>40569</c:v>
                </c:pt>
                <c:pt idx="226">
                  <c:v>40568</c:v>
                </c:pt>
                <c:pt idx="227">
                  <c:v>40567</c:v>
                </c:pt>
                <c:pt idx="228">
                  <c:v>40564</c:v>
                </c:pt>
                <c:pt idx="229">
                  <c:v>40563</c:v>
                </c:pt>
                <c:pt idx="230">
                  <c:v>40562</c:v>
                </c:pt>
                <c:pt idx="231">
                  <c:v>40561</c:v>
                </c:pt>
                <c:pt idx="232">
                  <c:v>40560</c:v>
                </c:pt>
                <c:pt idx="233">
                  <c:v>40557</c:v>
                </c:pt>
                <c:pt idx="234">
                  <c:v>40556</c:v>
                </c:pt>
                <c:pt idx="235">
                  <c:v>40555</c:v>
                </c:pt>
                <c:pt idx="236">
                  <c:v>40554</c:v>
                </c:pt>
                <c:pt idx="237">
                  <c:v>40553</c:v>
                </c:pt>
                <c:pt idx="238">
                  <c:v>40550</c:v>
                </c:pt>
                <c:pt idx="239">
                  <c:v>40549</c:v>
                </c:pt>
                <c:pt idx="240">
                  <c:v>40548</c:v>
                </c:pt>
                <c:pt idx="241">
                  <c:v>40547</c:v>
                </c:pt>
                <c:pt idx="242">
                  <c:v>40543</c:v>
                </c:pt>
                <c:pt idx="243">
                  <c:v>40541</c:v>
                </c:pt>
                <c:pt idx="244">
                  <c:v>40539</c:v>
                </c:pt>
                <c:pt idx="245">
                  <c:v>40536</c:v>
                </c:pt>
                <c:pt idx="246">
                  <c:v>40534</c:v>
                </c:pt>
                <c:pt idx="247">
                  <c:v>40532</c:v>
                </c:pt>
                <c:pt idx="248">
                  <c:v>40529</c:v>
                </c:pt>
                <c:pt idx="249">
                  <c:v>40527</c:v>
                </c:pt>
                <c:pt idx="250">
                  <c:v>40525</c:v>
                </c:pt>
                <c:pt idx="251">
                  <c:v>40522</c:v>
                </c:pt>
                <c:pt idx="252">
                  <c:v>40520</c:v>
                </c:pt>
                <c:pt idx="253">
                  <c:v>40518</c:v>
                </c:pt>
                <c:pt idx="254">
                  <c:v>40515</c:v>
                </c:pt>
                <c:pt idx="255">
                  <c:v>40513</c:v>
                </c:pt>
                <c:pt idx="256">
                  <c:v>40511</c:v>
                </c:pt>
                <c:pt idx="257">
                  <c:v>40508</c:v>
                </c:pt>
                <c:pt idx="258">
                  <c:v>40506</c:v>
                </c:pt>
                <c:pt idx="259">
                  <c:v>40504</c:v>
                </c:pt>
                <c:pt idx="260">
                  <c:v>40501</c:v>
                </c:pt>
                <c:pt idx="261">
                  <c:v>40499</c:v>
                </c:pt>
                <c:pt idx="262">
                  <c:v>40497</c:v>
                </c:pt>
                <c:pt idx="263">
                  <c:v>40494</c:v>
                </c:pt>
                <c:pt idx="264">
                  <c:v>40492</c:v>
                </c:pt>
                <c:pt idx="265">
                  <c:v>40490</c:v>
                </c:pt>
                <c:pt idx="266">
                  <c:v>40487</c:v>
                </c:pt>
                <c:pt idx="267">
                  <c:v>40485</c:v>
                </c:pt>
                <c:pt idx="268">
                  <c:v>40483</c:v>
                </c:pt>
                <c:pt idx="269">
                  <c:v>40480</c:v>
                </c:pt>
                <c:pt idx="270">
                  <c:v>40478</c:v>
                </c:pt>
                <c:pt idx="271">
                  <c:v>40476</c:v>
                </c:pt>
                <c:pt idx="272">
                  <c:v>40473</c:v>
                </c:pt>
                <c:pt idx="273">
                  <c:v>40471</c:v>
                </c:pt>
                <c:pt idx="274">
                  <c:v>40469</c:v>
                </c:pt>
                <c:pt idx="275">
                  <c:v>40466</c:v>
                </c:pt>
                <c:pt idx="276">
                  <c:v>40464</c:v>
                </c:pt>
                <c:pt idx="277">
                  <c:v>40462</c:v>
                </c:pt>
                <c:pt idx="278">
                  <c:v>40459</c:v>
                </c:pt>
                <c:pt idx="279">
                  <c:v>40450</c:v>
                </c:pt>
                <c:pt idx="280">
                  <c:v>40448</c:v>
                </c:pt>
                <c:pt idx="281">
                  <c:v>40441</c:v>
                </c:pt>
                <c:pt idx="282">
                  <c:v>40438</c:v>
                </c:pt>
                <c:pt idx="283">
                  <c:v>40436</c:v>
                </c:pt>
                <c:pt idx="284">
                  <c:v>40434</c:v>
                </c:pt>
                <c:pt idx="285">
                  <c:v>40431</c:v>
                </c:pt>
                <c:pt idx="286">
                  <c:v>40429</c:v>
                </c:pt>
                <c:pt idx="287">
                  <c:v>40427</c:v>
                </c:pt>
                <c:pt idx="288">
                  <c:v>40424</c:v>
                </c:pt>
                <c:pt idx="289">
                  <c:v>40422</c:v>
                </c:pt>
                <c:pt idx="290">
                  <c:v>40420</c:v>
                </c:pt>
                <c:pt idx="291">
                  <c:v>40417</c:v>
                </c:pt>
                <c:pt idx="292">
                  <c:v>40415</c:v>
                </c:pt>
                <c:pt idx="293">
                  <c:v>40413</c:v>
                </c:pt>
                <c:pt idx="294">
                  <c:v>40410</c:v>
                </c:pt>
                <c:pt idx="295">
                  <c:v>40408</c:v>
                </c:pt>
                <c:pt idx="296">
                  <c:v>40406</c:v>
                </c:pt>
                <c:pt idx="297">
                  <c:v>40403</c:v>
                </c:pt>
                <c:pt idx="298">
                  <c:v>40401</c:v>
                </c:pt>
                <c:pt idx="299">
                  <c:v>40399</c:v>
                </c:pt>
                <c:pt idx="300">
                  <c:v>40396</c:v>
                </c:pt>
                <c:pt idx="301">
                  <c:v>40394</c:v>
                </c:pt>
                <c:pt idx="302">
                  <c:v>40392</c:v>
                </c:pt>
                <c:pt idx="303">
                  <c:v>40389</c:v>
                </c:pt>
                <c:pt idx="304">
                  <c:v>40387</c:v>
                </c:pt>
                <c:pt idx="305">
                  <c:v>40385</c:v>
                </c:pt>
                <c:pt idx="306">
                  <c:v>40382</c:v>
                </c:pt>
                <c:pt idx="307">
                  <c:v>40380</c:v>
                </c:pt>
                <c:pt idx="308">
                  <c:v>40378</c:v>
                </c:pt>
                <c:pt idx="309">
                  <c:v>40375</c:v>
                </c:pt>
                <c:pt idx="310">
                  <c:v>40373</c:v>
                </c:pt>
                <c:pt idx="311">
                  <c:v>40371</c:v>
                </c:pt>
                <c:pt idx="312">
                  <c:v>40368</c:v>
                </c:pt>
                <c:pt idx="313">
                  <c:v>40366</c:v>
                </c:pt>
                <c:pt idx="314">
                  <c:v>40364</c:v>
                </c:pt>
                <c:pt idx="315">
                  <c:v>40361</c:v>
                </c:pt>
                <c:pt idx="316">
                  <c:v>40359</c:v>
                </c:pt>
                <c:pt idx="317">
                  <c:v>40357</c:v>
                </c:pt>
                <c:pt idx="318">
                  <c:v>40354</c:v>
                </c:pt>
                <c:pt idx="319">
                  <c:v>40352</c:v>
                </c:pt>
                <c:pt idx="320">
                  <c:v>40350</c:v>
                </c:pt>
                <c:pt idx="321">
                  <c:v>40349</c:v>
                </c:pt>
                <c:pt idx="322">
                  <c:v>40347</c:v>
                </c:pt>
                <c:pt idx="323">
                  <c:v>40340</c:v>
                </c:pt>
                <c:pt idx="324">
                  <c:v>40338</c:v>
                </c:pt>
                <c:pt idx="325">
                  <c:v>40336</c:v>
                </c:pt>
                <c:pt idx="326">
                  <c:v>40333</c:v>
                </c:pt>
                <c:pt idx="327">
                  <c:v>40331</c:v>
                </c:pt>
                <c:pt idx="328">
                  <c:v>40329</c:v>
                </c:pt>
                <c:pt idx="329">
                  <c:v>40326</c:v>
                </c:pt>
                <c:pt idx="330">
                  <c:v>40324</c:v>
                </c:pt>
                <c:pt idx="331">
                  <c:v>40322</c:v>
                </c:pt>
                <c:pt idx="332">
                  <c:v>40319</c:v>
                </c:pt>
                <c:pt idx="333">
                  <c:v>40317</c:v>
                </c:pt>
                <c:pt idx="334">
                  <c:v>40315</c:v>
                </c:pt>
                <c:pt idx="335">
                  <c:v>40312</c:v>
                </c:pt>
                <c:pt idx="336">
                  <c:v>40310</c:v>
                </c:pt>
                <c:pt idx="337">
                  <c:v>40308</c:v>
                </c:pt>
                <c:pt idx="338">
                  <c:v>40305</c:v>
                </c:pt>
                <c:pt idx="339">
                  <c:v>40303</c:v>
                </c:pt>
                <c:pt idx="340">
                  <c:v>40298</c:v>
                </c:pt>
                <c:pt idx="341">
                  <c:v>40296</c:v>
                </c:pt>
                <c:pt idx="342">
                  <c:v>40294</c:v>
                </c:pt>
                <c:pt idx="343">
                  <c:v>40291</c:v>
                </c:pt>
                <c:pt idx="344">
                  <c:v>40289</c:v>
                </c:pt>
                <c:pt idx="345">
                  <c:v>40287</c:v>
                </c:pt>
                <c:pt idx="346">
                  <c:v>40284</c:v>
                </c:pt>
                <c:pt idx="347">
                  <c:v>40282</c:v>
                </c:pt>
                <c:pt idx="348">
                  <c:v>40280</c:v>
                </c:pt>
                <c:pt idx="349">
                  <c:v>40277</c:v>
                </c:pt>
                <c:pt idx="350">
                  <c:v>40275</c:v>
                </c:pt>
                <c:pt idx="351">
                  <c:v>40270</c:v>
                </c:pt>
                <c:pt idx="352">
                  <c:v>40268</c:v>
                </c:pt>
                <c:pt idx="353">
                  <c:v>40266</c:v>
                </c:pt>
                <c:pt idx="354">
                  <c:v>40263</c:v>
                </c:pt>
                <c:pt idx="355">
                  <c:v>40261</c:v>
                </c:pt>
                <c:pt idx="356">
                  <c:v>40259</c:v>
                </c:pt>
                <c:pt idx="357">
                  <c:v>40257</c:v>
                </c:pt>
                <c:pt idx="358">
                  <c:v>40254</c:v>
                </c:pt>
                <c:pt idx="359">
                  <c:v>40252</c:v>
                </c:pt>
                <c:pt idx="360">
                  <c:v>40249</c:v>
                </c:pt>
                <c:pt idx="361">
                  <c:v>40247</c:v>
                </c:pt>
                <c:pt idx="362">
                  <c:v>40245</c:v>
                </c:pt>
                <c:pt idx="363">
                  <c:v>40242</c:v>
                </c:pt>
                <c:pt idx="364">
                  <c:v>40240</c:v>
                </c:pt>
                <c:pt idx="365">
                  <c:v>40238</c:v>
                </c:pt>
                <c:pt idx="366">
                  <c:v>40235</c:v>
                </c:pt>
                <c:pt idx="367">
                  <c:v>40233</c:v>
                </c:pt>
                <c:pt idx="368">
                  <c:v>40231</c:v>
                </c:pt>
                <c:pt idx="369">
                  <c:v>40219</c:v>
                </c:pt>
                <c:pt idx="370">
                  <c:v>40217</c:v>
                </c:pt>
                <c:pt idx="371">
                  <c:v>40214</c:v>
                </c:pt>
                <c:pt idx="372">
                  <c:v>40212</c:v>
                </c:pt>
                <c:pt idx="373">
                  <c:v>40210</c:v>
                </c:pt>
                <c:pt idx="374">
                  <c:v>40207</c:v>
                </c:pt>
                <c:pt idx="375">
                  <c:v>40205</c:v>
                </c:pt>
                <c:pt idx="376">
                  <c:v>40203</c:v>
                </c:pt>
                <c:pt idx="377">
                  <c:v>40200</c:v>
                </c:pt>
                <c:pt idx="378">
                  <c:v>40198</c:v>
                </c:pt>
                <c:pt idx="379">
                  <c:v>40196</c:v>
                </c:pt>
                <c:pt idx="380">
                  <c:v>40193</c:v>
                </c:pt>
                <c:pt idx="381">
                  <c:v>40191</c:v>
                </c:pt>
                <c:pt idx="382">
                  <c:v>40189</c:v>
                </c:pt>
                <c:pt idx="383">
                  <c:v>40186</c:v>
                </c:pt>
                <c:pt idx="384">
                  <c:v>40184</c:v>
                </c:pt>
                <c:pt idx="385">
                  <c:v>40182</c:v>
                </c:pt>
                <c:pt idx="386">
                  <c:v>40177</c:v>
                </c:pt>
                <c:pt idx="387">
                  <c:v>40175</c:v>
                </c:pt>
                <c:pt idx="388">
                  <c:v>40172</c:v>
                </c:pt>
                <c:pt idx="389">
                  <c:v>40170</c:v>
                </c:pt>
                <c:pt idx="390">
                  <c:v>40168</c:v>
                </c:pt>
                <c:pt idx="391">
                  <c:v>40165</c:v>
                </c:pt>
                <c:pt idx="392">
                  <c:v>40163</c:v>
                </c:pt>
                <c:pt idx="393">
                  <c:v>40161</c:v>
                </c:pt>
                <c:pt idx="394">
                  <c:v>40158</c:v>
                </c:pt>
                <c:pt idx="395">
                  <c:v>40156</c:v>
                </c:pt>
                <c:pt idx="396">
                  <c:v>40154</c:v>
                </c:pt>
                <c:pt idx="397">
                  <c:v>40151</c:v>
                </c:pt>
                <c:pt idx="398">
                  <c:v>40149</c:v>
                </c:pt>
                <c:pt idx="399">
                  <c:v>40147</c:v>
                </c:pt>
                <c:pt idx="400">
                  <c:v>40144</c:v>
                </c:pt>
                <c:pt idx="401">
                  <c:v>40142</c:v>
                </c:pt>
                <c:pt idx="402">
                  <c:v>40140</c:v>
                </c:pt>
                <c:pt idx="403">
                  <c:v>40137</c:v>
                </c:pt>
                <c:pt idx="404">
                  <c:v>40135</c:v>
                </c:pt>
                <c:pt idx="405">
                  <c:v>40133</c:v>
                </c:pt>
                <c:pt idx="406">
                  <c:v>40130</c:v>
                </c:pt>
                <c:pt idx="407">
                  <c:v>40128</c:v>
                </c:pt>
                <c:pt idx="408">
                  <c:v>40126</c:v>
                </c:pt>
                <c:pt idx="409">
                  <c:v>40123</c:v>
                </c:pt>
                <c:pt idx="410">
                  <c:v>40121</c:v>
                </c:pt>
                <c:pt idx="411">
                  <c:v>40119</c:v>
                </c:pt>
                <c:pt idx="412">
                  <c:v>40116</c:v>
                </c:pt>
                <c:pt idx="413">
                  <c:v>40114</c:v>
                </c:pt>
                <c:pt idx="414">
                  <c:v>40112</c:v>
                </c:pt>
                <c:pt idx="415">
                  <c:v>40109</c:v>
                </c:pt>
                <c:pt idx="416">
                  <c:v>40107</c:v>
                </c:pt>
                <c:pt idx="417">
                  <c:v>40105</c:v>
                </c:pt>
                <c:pt idx="418">
                  <c:v>40102</c:v>
                </c:pt>
                <c:pt idx="419">
                  <c:v>40100</c:v>
                </c:pt>
                <c:pt idx="420">
                  <c:v>40098</c:v>
                </c:pt>
                <c:pt idx="421">
                  <c:v>40095</c:v>
                </c:pt>
                <c:pt idx="422">
                  <c:v>40086</c:v>
                </c:pt>
                <c:pt idx="423">
                  <c:v>40084</c:v>
                </c:pt>
                <c:pt idx="424">
                  <c:v>40081</c:v>
                </c:pt>
                <c:pt idx="425">
                  <c:v>40079</c:v>
                </c:pt>
                <c:pt idx="426">
                  <c:v>40077</c:v>
                </c:pt>
                <c:pt idx="427">
                  <c:v>40074</c:v>
                </c:pt>
                <c:pt idx="428">
                  <c:v>40072</c:v>
                </c:pt>
                <c:pt idx="429">
                  <c:v>40070</c:v>
                </c:pt>
                <c:pt idx="430">
                  <c:v>40067</c:v>
                </c:pt>
                <c:pt idx="431">
                  <c:v>40065</c:v>
                </c:pt>
                <c:pt idx="432">
                  <c:v>40063</c:v>
                </c:pt>
                <c:pt idx="433">
                  <c:v>40060</c:v>
                </c:pt>
                <c:pt idx="434">
                  <c:v>40058</c:v>
                </c:pt>
                <c:pt idx="435">
                  <c:v>40056</c:v>
                </c:pt>
                <c:pt idx="436">
                  <c:v>40053</c:v>
                </c:pt>
                <c:pt idx="437">
                  <c:v>40051</c:v>
                </c:pt>
                <c:pt idx="438">
                  <c:v>40049</c:v>
                </c:pt>
                <c:pt idx="439">
                  <c:v>40046</c:v>
                </c:pt>
                <c:pt idx="440">
                  <c:v>40044</c:v>
                </c:pt>
                <c:pt idx="441">
                  <c:v>40042</c:v>
                </c:pt>
                <c:pt idx="442">
                  <c:v>40039</c:v>
                </c:pt>
                <c:pt idx="443">
                  <c:v>40037</c:v>
                </c:pt>
                <c:pt idx="444">
                  <c:v>40035</c:v>
                </c:pt>
                <c:pt idx="445">
                  <c:v>40032</c:v>
                </c:pt>
                <c:pt idx="446">
                  <c:v>40030</c:v>
                </c:pt>
                <c:pt idx="447">
                  <c:v>40028</c:v>
                </c:pt>
                <c:pt idx="448">
                  <c:v>40025</c:v>
                </c:pt>
                <c:pt idx="449">
                  <c:v>40023</c:v>
                </c:pt>
                <c:pt idx="450">
                  <c:v>40021</c:v>
                </c:pt>
                <c:pt idx="451">
                  <c:v>40018</c:v>
                </c:pt>
                <c:pt idx="452">
                  <c:v>40016</c:v>
                </c:pt>
                <c:pt idx="453">
                  <c:v>40014</c:v>
                </c:pt>
                <c:pt idx="454">
                  <c:v>40011</c:v>
                </c:pt>
                <c:pt idx="455">
                  <c:v>40009</c:v>
                </c:pt>
                <c:pt idx="456">
                  <c:v>40007</c:v>
                </c:pt>
                <c:pt idx="457">
                  <c:v>40004</c:v>
                </c:pt>
                <c:pt idx="458">
                  <c:v>40002</c:v>
                </c:pt>
                <c:pt idx="459">
                  <c:v>40000</c:v>
                </c:pt>
                <c:pt idx="460">
                  <c:v>39997</c:v>
                </c:pt>
                <c:pt idx="461">
                  <c:v>39995</c:v>
                </c:pt>
                <c:pt idx="462">
                  <c:v>39993</c:v>
                </c:pt>
                <c:pt idx="463">
                  <c:v>39990</c:v>
                </c:pt>
                <c:pt idx="464">
                  <c:v>39988</c:v>
                </c:pt>
                <c:pt idx="465">
                  <c:v>39986</c:v>
                </c:pt>
                <c:pt idx="466">
                  <c:v>39983</c:v>
                </c:pt>
                <c:pt idx="467">
                  <c:v>39981</c:v>
                </c:pt>
                <c:pt idx="468">
                  <c:v>39979</c:v>
                </c:pt>
                <c:pt idx="469">
                  <c:v>39976</c:v>
                </c:pt>
                <c:pt idx="470">
                  <c:v>39974</c:v>
                </c:pt>
                <c:pt idx="471">
                  <c:v>39972</c:v>
                </c:pt>
                <c:pt idx="472">
                  <c:v>39969</c:v>
                </c:pt>
                <c:pt idx="473">
                  <c:v>39967</c:v>
                </c:pt>
                <c:pt idx="474">
                  <c:v>39965</c:v>
                </c:pt>
                <c:pt idx="475">
                  <c:v>39960</c:v>
                </c:pt>
                <c:pt idx="476">
                  <c:v>39958</c:v>
                </c:pt>
                <c:pt idx="477">
                  <c:v>39955</c:v>
                </c:pt>
                <c:pt idx="478">
                  <c:v>39953</c:v>
                </c:pt>
                <c:pt idx="479">
                  <c:v>39951</c:v>
                </c:pt>
                <c:pt idx="480">
                  <c:v>39948</c:v>
                </c:pt>
                <c:pt idx="481">
                  <c:v>39946</c:v>
                </c:pt>
                <c:pt idx="482">
                  <c:v>39944</c:v>
                </c:pt>
                <c:pt idx="483">
                  <c:v>39941</c:v>
                </c:pt>
                <c:pt idx="484">
                  <c:v>39939</c:v>
                </c:pt>
                <c:pt idx="485">
                  <c:v>39937</c:v>
                </c:pt>
                <c:pt idx="486">
                  <c:v>39932</c:v>
                </c:pt>
                <c:pt idx="487">
                  <c:v>39930</c:v>
                </c:pt>
                <c:pt idx="488">
                  <c:v>39927</c:v>
                </c:pt>
                <c:pt idx="489">
                  <c:v>39925</c:v>
                </c:pt>
                <c:pt idx="490">
                  <c:v>39923</c:v>
                </c:pt>
                <c:pt idx="491">
                  <c:v>39920</c:v>
                </c:pt>
                <c:pt idx="492">
                  <c:v>39918</c:v>
                </c:pt>
                <c:pt idx="493">
                  <c:v>39916</c:v>
                </c:pt>
                <c:pt idx="494">
                  <c:v>39911</c:v>
                </c:pt>
                <c:pt idx="495">
                  <c:v>39904</c:v>
                </c:pt>
                <c:pt idx="496">
                  <c:v>39902</c:v>
                </c:pt>
                <c:pt idx="497">
                  <c:v>39899</c:v>
                </c:pt>
                <c:pt idx="498">
                  <c:v>39897</c:v>
                </c:pt>
              </c:numCache>
            </c:numRef>
          </c:cat>
          <c:val>
            <c:numRef>
              <c:f>国信有色数据库.xls!data82</c:f>
              <c:numCache>
                <c:formatCode>_ * #,##0.0_ ;_ * \-#,##0.0_ ;_ * "-"??_ ;_ @_ </c:formatCode>
                <c:ptCount val="800"/>
                <c:pt idx="0">
                  <c:v>223</c:v>
                </c:pt>
                <c:pt idx="1">
                  <c:v>223</c:v>
                </c:pt>
                <c:pt idx="2">
                  <c:v>223</c:v>
                </c:pt>
                <c:pt idx="3">
                  <c:v>223</c:v>
                </c:pt>
                <c:pt idx="4">
                  <c:v>223</c:v>
                </c:pt>
                <c:pt idx="5">
                  <c:v>223</c:v>
                </c:pt>
                <c:pt idx="6">
                  <c:v>223</c:v>
                </c:pt>
                <c:pt idx="7">
                  <c:v>223</c:v>
                </c:pt>
                <c:pt idx="8">
                  <c:v>223</c:v>
                </c:pt>
                <c:pt idx="9">
                  <c:v>223</c:v>
                </c:pt>
                <c:pt idx="10">
                  <c:v>228</c:v>
                </c:pt>
                <c:pt idx="11">
                  <c:v>228</c:v>
                </c:pt>
                <c:pt idx="12">
                  <c:v>228</c:v>
                </c:pt>
                <c:pt idx="13">
                  <c:v>228</c:v>
                </c:pt>
                <c:pt idx="14">
                  <c:v>228</c:v>
                </c:pt>
                <c:pt idx="15">
                  <c:v>238</c:v>
                </c:pt>
                <c:pt idx="16">
                  <c:v>243</c:v>
                </c:pt>
                <c:pt idx="17">
                  <c:v>243</c:v>
                </c:pt>
                <c:pt idx="18">
                  <c:v>253</c:v>
                </c:pt>
                <c:pt idx="19">
                  <c:v>263</c:v>
                </c:pt>
                <c:pt idx="20">
                  <c:v>273</c:v>
                </c:pt>
                <c:pt idx="21">
                  <c:v>283</c:v>
                </c:pt>
                <c:pt idx="22">
                  <c:v>293</c:v>
                </c:pt>
                <c:pt idx="23">
                  <c:v>303</c:v>
                </c:pt>
                <c:pt idx="24">
                  <c:v>313</c:v>
                </c:pt>
                <c:pt idx="25">
                  <c:v>323</c:v>
                </c:pt>
                <c:pt idx="26">
                  <c:v>323</c:v>
                </c:pt>
                <c:pt idx="27">
                  <c:v>328</c:v>
                </c:pt>
                <c:pt idx="28">
                  <c:v>333</c:v>
                </c:pt>
                <c:pt idx="29">
                  <c:v>338</c:v>
                </c:pt>
                <c:pt idx="30">
                  <c:v>343</c:v>
                </c:pt>
                <c:pt idx="31">
                  <c:v>348</c:v>
                </c:pt>
                <c:pt idx="32">
                  <c:v>358</c:v>
                </c:pt>
                <c:pt idx="33">
                  <c:v>368</c:v>
                </c:pt>
                <c:pt idx="34">
                  <c:v>373</c:v>
                </c:pt>
                <c:pt idx="35">
                  <c:v>373</c:v>
                </c:pt>
                <c:pt idx="36">
                  <c:v>373</c:v>
                </c:pt>
                <c:pt idx="37">
                  <c:v>378</c:v>
                </c:pt>
                <c:pt idx="38">
                  <c:v>383</c:v>
                </c:pt>
                <c:pt idx="39">
                  <c:v>383</c:v>
                </c:pt>
                <c:pt idx="40">
                  <c:v>388</c:v>
                </c:pt>
                <c:pt idx="41">
                  <c:v>388</c:v>
                </c:pt>
                <c:pt idx="42">
                  <c:v>393</c:v>
                </c:pt>
                <c:pt idx="43">
                  <c:v>393</c:v>
                </c:pt>
                <c:pt idx="44">
                  <c:v>393</c:v>
                </c:pt>
                <c:pt idx="45">
                  <c:v>398</c:v>
                </c:pt>
                <c:pt idx="46">
                  <c:v>398</c:v>
                </c:pt>
                <c:pt idx="47">
                  <c:v>403</c:v>
                </c:pt>
                <c:pt idx="48">
                  <c:v>403</c:v>
                </c:pt>
                <c:pt idx="49">
                  <c:v>408</c:v>
                </c:pt>
                <c:pt idx="50">
                  <c:v>408</c:v>
                </c:pt>
                <c:pt idx="51">
                  <c:v>408</c:v>
                </c:pt>
                <c:pt idx="52">
                  <c:v>408</c:v>
                </c:pt>
                <c:pt idx="53">
                  <c:v>413</c:v>
                </c:pt>
                <c:pt idx="54">
                  <c:v>413</c:v>
                </c:pt>
                <c:pt idx="55">
                  <c:v>413</c:v>
                </c:pt>
                <c:pt idx="56">
                  <c:v>413</c:v>
                </c:pt>
                <c:pt idx="57">
                  <c:v>413</c:v>
                </c:pt>
                <c:pt idx="58">
                  <c:v>413</c:v>
                </c:pt>
                <c:pt idx="59">
                  <c:v>413</c:v>
                </c:pt>
                <c:pt idx="60">
                  <c:v>413</c:v>
                </c:pt>
                <c:pt idx="61">
                  <c:v>413</c:v>
                </c:pt>
                <c:pt idx="62">
                  <c:v>413</c:v>
                </c:pt>
                <c:pt idx="63">
                  <c:v>413</c:v>
                </c:pt>
                <c:pt idx="64">
                  <c:v>413</c:v>
                </c:pt>
                <c:pt idx="65">
                  <c:v>413</c:v>
                </c:pt>
                <c:pt idx="66">
                  <c:v>413</c:v>
                </c:pt>
                <c:pt idx="67">
                  <c:v>413</c:v>
                </c:pt>
                <c:pt idx="68">
                  <c:v>413</c:v>
                </c:pt>
                <c:pt idx="69">
                  <c:v>413</c:v>
                </c:pt>
                <c:pt idx="70">
                  <c:v>413</c:v>
                </c:pt>
                <c:pt idx="71">
                  <c:v>413</c:v>
                </c:pt>
                <c:pt idx="72">
                  <c:v>413</c:v>
                </c:pt>
                <c:pt idx="73">
                  <c:v>413</c:v>
                </c:pt>
                <c:pt idx="74">
                  <c:v>418</c:v>
                </c:pt>
                <c:pt idx="75">
                  <c:v>418</c:v>
                </c:pt>
                <c:pt idx="76">
                  <c:v>418</c:v>
                </c:pt>
                <c:pt idx="77">
                  <c:v>418</c:v>
                </c:pt>
                <c:pt idx="78">
                  <c:v>418</c:v>
                </c:pt>
                <c:pt idx="79">
                  <c:v>418</c:v>
                </c:pt>
                <c:pt idx="80">
                  <c:v>418</c:v>
                </c:pt>
                <c:pt idx="81">
                  <c:v>418</c:v>
                </c:pt>
                <c:pt idx="82">
                  <c:v>418</c:v>
                </c:pt>
                <c:pt idx="83">
                  <c:v>418</c:v>
                </c:pt>
                <c:pt idx="84">
                  <c:v>418</c:v>
                </c:pt>
                <c:pt idx="85">
                  <c:v>418</c:v>
                </c:pt>
                <c:pt idx="86">
                  <c:v>418</c:v>
                </c:pt>
                <c:pt idx="87">
                  <c:v>418</c:v>
                </c:pt>
                <c:pt idx="88">
                  <c:v>418</c:v>
                </c:pt>
                <c:pt idx="89">
                  <c:v>418</c:v>
                </c:pt>
                <c:pt idx="90">
                  <c:v>418</c:v>
                </c:pt>
                <c:pt idx="91">
                  <c:v>418</c:v>
                </c:pt>
                <c:pt idx="92">
                  <c:v>418</c:v>
                </c:pt>
                <c:pt idx="93">
                  <c:v>428</c:v>
                </c:pt>
                <c:pt idx="94">
                  <c:v>428</c:v>
                </c:pt>
                <c:pt idx="95">
                  <c:v>428</c:v>
                </c:pt>
                <c:pt idx="96">
                  <c:v>438</c:v>
                </c:pt>
                <c:pt idx="97">
                  <c:v>438</c:v>
                </c:pt>
                <c:pt idx="98">
                  <c:v>458</c:v>
                </c:pt>
                <c:pt idx="99">
                  <c:v>458</c:v>
                </c:pt>
                <c:pt idx="100">
                  <c:v>478</c:v>
                </c:pt>
                <c:pt idx="101">
                  <c:v>478</c:v>
                </c:pt>
                <c:pt idx="102">
                  <c:v>478</c:v>
                </c:pt>
                <c:pt idx="103">
                  <c:v>478</c:v>
                </c:pt>
                <c:pt idx="104">
                  <c:v>498</c:v>
                </c:pt>
                <c:pt idx="105">
                  <c:v>548</c:v>
                </c:pt>
                <c:pt idx="106">
                  <c:v>548</c:v>
                </c:pt>
                <c:pt idx="107">
                  <c:v>548</c:v>
                </c:pt>
                <c:pt idx="108">
                  <c:v>558</c:v>
                </c:pt>
                <c:pt idx="109">
                  <c:v>628</c:v>
                </c:pt>
                <c:pt idx="110">
                  <c:v>608</c:v>
                </c:pt>
                <c:pt idx="111">
                  <c:v>628</c:v>
                </c:pt>
                <c:pt idx="112">
                  <c:v>628</c:v>
                </c:pt>
                <c:pt idx="113">
                  <c:v>628</c:v>
                </c:pt>
                <c:pt idx="114">
                  <c:v>628</c:v>
                </c:pt>
                <c:pt idx="115">
                  <c:v>628</c:v>
                </c:pt>
                <c:pt idx="116">
                  <c:v>628</c:v>
                </c:pt>
                <c:pt idx="117">
                  <c:v>628</c:v>
                </c:pt>
                <c:pt idx="118">
                  <c:v>628</c:v>
                </c:pt>
                <c:pt idx="119">
                  <c:v>628</c:v>
                </c:pt>
                <c:pt idx="120">
                  <c:v>598</c:v>
                </c:pt>
                <c:pt idx="121">
                  <c:v>563</c:v>
                </c:pt>
                <c:pt idx="122">
                  <c:v>563</c:v>
                </c:pt>
                <c:pt idx="123">
                  <c:v>563</c:v>
                </c:pt>
                <c:pt idx="124">
                  <c:v>563</c:v>
                </c:pt>
                <c:pt idx="125">
                  <c:v>563</c:v>
                </c:pt>
                <c:pt idx="126">
                  <c:v>563</c:v>
                </c:pt>
                <c:pt idx="127">
                  <c:v>553</c:v>
                </c:pt>
                <c:pt idx="128">
                  <c:v>553</c:v>
                </c:pt>
                <c:pt idx="129">
                  <c:v>553</c:v>
                </c:pt>
                <c:pt idx="130">
                  <c:v>553</c:v>
                </c:pt>
                <c:pt idx="131">
                  <c:v>563</c:v>
                </c:pt>
                <c:pt idx="132">
                  <c:v>553</c:v>
                </c:pt>
                <c:pt idx="133">
                  <c:v>553</c:v>
                </c:pt>
                <c:pt idx="134">
                  <c:v>553</c:v>
                </c:pt>
                <c:pt idx="135">
                  <c:v>553</c:v>
                </c:pt>
                <c:pt idx="136">
                  <c:v>543</c:v>
                </c:pt>
                <c:pt idx="137">
                  <c:v>533</c:v>
                </c:pt>
                <c:pt idx="138">
                  <c:v>523</c:v>
                </c:pt>
                <c:pt idx="139">
                  <c:v>463</c:v>
                </c:pt>
                <c:pt idx="140">
                  <c:v>403</c:v>
                </c:pt>
                <c:pt idx="141">
                  <c:v>403</c:v>
                </c:pt>
                <c:pt idx="142">
                  <c:v>398</c:v>
                </c:pt>
                <c:pt idx="143">
                  <c:v>388</c:v>
                </c:pt>
                <c:pt idx="144">
                  <c:v>368</c:v>
                </c:pt>
                <c:pt idx="145">
                  <c:v>368</c:v>
                </c:pt>
                <c:pt idx="146">
                  <c:v>358</c:v>
                </c:pt>
                <c:pt idx="147">
                  <c:v>358</c:v>
                </c:pt>
                <c:pt idx="148">
                  <c:v>358</c:v>
                </c:pt>
                <c:pt idx="149">
                  <c:v>358</c:v>
                </c:pt>
                <c:pt idx="150">
                  <c:v>358</c:v>
                </c:pt>
                <c:pt idx="151">
                  <c:v>328</c:v>
                </c:pt>
                <c:pt idx="152">
                  <c:v>317.5</c:v>
                </c:pt>
                <c:pt idx="153">
                  <c:v>312.5</c:v>
                </c:pt>
                <c:pt idx="154">
                  <c:v>312.5</c:v>
                </c:pt>
                <c:pt idx="155">
                  <c:v>312.5</c:v>
                </c:pt>
                <c:pt idx="156">
                  <c:v>312.5</c:v>
                </c:pt>
                <c:pt idx="157">
                  <c:v>307.5</c:v>
                </c:pt>
                <c:pt idx="158">
                  <c:v>307.5</c:v>
                </c:pt>
                <c:pt idx="159">
                  <c:v>307.5</c:v>
                </c:pt>
                <c:pt idx="160">
                  <c:v>307.5</c:v>
                </c:pt>
                <c:pt idx="161">
                  <c:v>307.5</c:v>
                </c:pt>
                <c:pt idx="162">
                  <c:v>307.5</c:v>
                </c:pt>
                <c:pt idx="163">
                  <c:v>307.5</c:v>
                </c:pt>
                <c:pt idx="164">
                  <c:v>307.5</c:v>
                </c:pt>
                <c:pt idx="165">
                  <c:v>307.5</c:v>
                </c:pt>
                <c:pt idx="166">
                  <c:v>307.5</c:v>
                </c:pt>
                <c:pt idx="167">
                  <c:v>307.5</c:v>
                </c:pt>
                <c:pt idx="168">
                  <c:v>307.5</c:v>
                </c:pt>
                <c:pt idx="169">
                  <c:v>307.5</c:v>
                </c:pt>
                <c:pt idx="170">
                  <c:v>307.5</c:v>
                </c:pt>
                <c:pt idx="171">
                  <c:v>307.5</c:v>
                </c:pt>
                <c:pt idx="172">
                  <c:v>307.5</c:v>
                </c:pt>
                <c:pt idx="173">
                  <c:v>307.5</c:v>
                </c:pt>
                <c:pt idx="174">
                  <c:v>297.5</c:v>
                </c:pt>
                <c:pt idx="175">
                  <c:v>287.5</c:v>
                </c:pt>
                <c:pt idx="176">
                  <c:v>282.5</c:v>
                </c:pt>
                <c:pt idx="177">
                  <c:v>282.5</c:v>
                </c:pt>
                <c:pt idx="178">
                  <c:v>282.5</c:v>
                </c:pt>
                <c:pt idx="179">
                  <c:v>272.5</c:v>
                </c:pt>
                <c:pt idx="180">
                  <c:v>272.5</c:v>
                </c:pt>
                <c:pt idx="181">
                  <c:v>262.5</c:v>
                </c:pt>
                <c:pt idx="182">
                  <c:v>262.5</c:v>
                </c:pt>
                <c:pt idx="183">
                  <c:v>262.5</c:v>
                </c:pt>
                <c:pt idx="184">
                  <c:v>252.5</c:v>
                </c:pt>
                <c:pt idx="185">
                  <c:v>242.5</c:v>
                </c:pt>
                <c:pt idx="186">
                  <c:v>242.5</c:v>
                </c:pt>
                <c:pt idx="187">
                  <c:v>232.5</c:v>
                </c:pt>
                <c:pt idx="188">
                  <c:v>232.5</c:v>
                </c:pt>
                <c:pt idx="189">
                  <c:v>222.5</c:v>
                </c:pt>
                <c:pt idx="190">
                  <c:v>212.5</c:v>
                </c:pt>
                <c:pt idx="191">
                  <c:v>212.5</c:v>
                </c:pt>
                <c:pt idx="192">
                  <c:v>212.5</c:v>
                </c:pt>
                <c:pt idx="193">
                  <c:v>212.5</c:v>
                </c:pt>
                <c:pt idx="194">
                  <c:v>212.5</c:v>
                </c:pt>
                <c:pt idx="195">
                  <c:v>212.5</c:v>
                </c:pt>
                <c:pt idx="196">
                  <c:v>212.5</c:v>
                </c:pt>
                <c:pt idx="197">
                  <c:v>212.5</c:v>
                </c:pt>
                <c:pt idx="198">
                  <c:v>187.5</c:v>
                </c:pt>
                <c:pt idx="199">
                  <c:v>187.5</c:v>
                </c:pt>
                <c:pt idx="200">
                  <c:v>187.5</c:v>
                </c:pt>
                <c:pt idx="201">
                  <c:v>187.5</c:v>
                </c:pt>
                <c:pt idx="202">
                  <c:v>187.5</c:v>
                </c:pt>
                <c:pt idx="203">
                  <c:v>187.5</c:v>
                </c:pt>
                <c:pt idx="204">
                  <c:v>152.5</c:v>
                </c:pt>
                <c:pt idx="205">
                  <c:v>152.5</c:v>
                </c:pt>
                <c:pt idx="206">
                  <c:v>152.5</c:v>
                </c:pt>
                <c:pt idx="207">
                  <c:v>152.5</c:v>
                </c:pt>
                <c:pt idx="208">
                  <c:v>147.5</c:v>
                </c:pt>
                <c:pt idx="209">
                  <c:v>142.5</c:v>
                </c:pt>
                <c:pt idx="210">
                  <c:v>137.5</c:v>
                </c:pt>
                <c:pt idx="211">
                  <c:v>127.5</c:v>
                </c:pt>
                <c:pt idx="212">
                  <c:v>127.5</c:v>
                </c:pt>
                <c:pt idx="213">
                  <c:v>127.5</c:v>
                </c:pt>
                <c:pt idx="214">
                  <c:v>127.5</c:v>
                </c:pt>
                <c:pt idx="215">
                  <c:v>127.5</c:v>
                </c:pt>
                <c:pt idx="216">
                  <c:v>122.5</c:v>
                </c:pt>
                <c:pt idx="217">
                  <c:v>117.5</c:v>
                </c:pt>
                <c:pt idx="218">
                  <c:v>107.5</c:v>
                </c:pt>
                <c:pt idx="219">
                  <c:v>107.5</c:v>
                </c:pt>
                <c:pt idx="220">
                  <c:v>107.5</c:v>
                </c:pt>
                <c:pt idx="221">
                  <c:v>107.5</c:v>
                </c:pt>
                <c:pt idx="222">
                  <c:v>107.5</c:v>
                </c:pt>
                <c:pt idx="223">
                  <c:v>107.5</c:v>
                </c:pt>
                <c:pt idx="224">
                  <c:v>107.5</c:v>
                </c:pt>
                <c:pt idx="225">
                  <c:v>107.5</c:v>
                </c:pt>
                <c:pt idx="226">
                  <c:v>107.5</c:v>
                </c:pt>
                <c:pt idx="227">
                  <c:v>107.5</c:v>
                </c:pt>
                <c:pt idx="228">
                  <c:v>107.5</c:v>
                </c:pt>
                <c:pt idx="229">
                  <c:v>107.5</c:v>
                </c:pt>
                <c:pt idx="230">
                  <c:v>107.5</c:v>
                </c:pt>
                <c:pt idx="231">
                  <c:v>107.5</c:v>
                </c:pt>
                <c:pt idx="232">
                  <c:v>107.5</c:v>
                </c:pt>
                <c:pt idx="233">
                  <c:v>107.5</c:v>
                </c:pt>
                <c:pt idx="234">
                  <c:v>107.5</c:v>
                </c:pt>
                <c:pt idx="235">
                  <c:v>107.5</c:v>
                </c:pt>
                <c:pt idx="236">
                  <c:v>107.5</c:v>
                </c:pt>
                <c:pt idx="237">
                  <c:v>107.5</c:v>
                </c:pt>
                <c:pt idx="238">
                  <c:v>107.5</c:v>
                </c:pt>
                <c:pt idx="239">
                  <c:v>107.5</c:v>
                </c:pt>
                <c:pt idx="240">
                  <c:v>107.5</c:v>
                </c:pt>
                <c:pt idx="241">
                  <c:v>107.5</c:v>
                </c:pt>
                <c:pt idx="242">
                  <c:v>107.5</c:v>
                </c:pt>
                <c:pt idx="243">
                  <c:v>107.5</c:v>
                </c:pt>
                <c:pt idx="244">
                  <c:v>107.5</c:v>
                </c:pt>
                <c:pt idx="245">
                  <c:v>107.5</c:v>
                </c:pt>
                <c:pt idx="246">
                  <c:v>107.5</c:v>
                </c:pt>
                <c:pt idx="247">
                  <c:v>107.5</c:v>
                </c:pt>
                <c:pt idx="248">
                  <c:v>107.5</c:v>
                </c:pt>
                <c:pt idx="249">
                  <c:v>107.5</c:v>
                </c:pt>
                <c:pt idx="250">
                  <c:v>107.5</c:v>
                </c:pt>
                <c:pt idx="251">
                  <c:v>107.5</c:v>
                </c:pt>
                <c:pt idx="252">
                  <c:v>107.5</c:v>
                </c:pt>
                <c:pt idx="253">
                  <c:v>107.5</c:v>
                </c:pt>
                <c:pt idx="254">
                  <c:v>107.5</c:v>
                </c:pt>
                <c:pt idx="255">
                  <c:v>107.5</c:v>
                </c:pt>
                <c:pt idx="256">
                  <c:v>107.5</c:v>
                </c:pt>
                <c:pt idx="257">
                  <c:v>105.5</c:v>
                </c:pt>
                <c:pt idx="258">
                  <c:v>105.5</c:v>
                </c:pt>
                <c:pt idx="259">
                  <c:v>112.5</c:v>
                </c:pt>
                <c:pt idx="260">
                  <c:v>112.5</c:v>
                </c:pt>
                <c:pt idx="261">
                  <c:v>112.5</c:v>
                </c:pt>
                <c:pt idx="262">
                  <c:v>112.5</c:v>
                </c:pt>
                <c:pt idx="263">
                  <c:v>112.5</c:v>
                </c:pt>
                <c:pt idx="264">
                  <c:v>112.5</c:v>
                </c:pt>
                <c:pt idx="265">
                  <c:v>112.5</c:v>
                </c:pt>
                <c:pt idx="266">
                  <c:v>112.5</c:v>
                </c:pt>
                <c:pt idx="267">
                  <c:v>112.5</c:v>
                </c:pt>
                <c:pt idx="268">
                  <c:v>112.5</c:v>
                </c:pt>
                <c:pt idx="269">
                  <c:v>112.5</c:v>
                </c:pt>
                <c:pt idx="270">
                  <c:v>112.5</c:v>
                </c:pt>
                <c:pt idx="271">
                  <c:v>112.5</c:v>
                </c:pt>
                <c:pt idx="272">
                  <c:v>112.5</c:v>
                </c:pt>
                <c:pt idx="273">
                  <c:v>112.5</c:v>
                </c:pt>
                <c:pt idx="274">
                  <c:v>112.5</c:v>
                </c:pt>
                <c:pt idx="275">
                  <c:v>112.5</c:v>
                </c:pt>
                <c:pt idx="276">
                  <c:v>112.5</c:v>
                </c:pt>
                <c:pt idx="277">
                  <c:v>112.5</c:v>
                </c:pt>
                <c:pt idx="278">
                  <c:v>107.5</c:v>
                </c:pt>
                <c:pt idx="279">
                  <c:v>107.5</c:v>
                </c:pt>
                <c:pt idx="280">
                  <c:v>105.5</c:v>
                </c:pt>
                <c:pt idx="281">
                  <c:v>105.5</c:v>
                </c:pt>
                <c:pt idx="282">
                  <c:v>105.5</c:v>
                </c:pt>
                <c:pt idx="283">
                  <c:v>105.5</c:v>
                </c:pt>
                <c:pt idx="284">
                  <c:v>105.5</c:v>
                </c:pt>
                <c:pt idx="285">
                  <c:v>105.5</c:v>
                </c:pt>
                <c:pt idx="286">
                  <c:v>105.5</c:v>
                </c:pt>
                <c:pt idx="287">
                  <c:v>102.5</c:v>
                </c:pt>
                <c:pt idx="288">
                  <c:v>102.5</c:v>
                </c:pt>
                <c:pt idx="289">
                  <c:v>102.5</c:v>
                </c:pt>
                <c:pt idx="290">
                  <c:v>102.5</c:v>
                </c:pt>
                <c:pt idx="291">
                  <c:v>102.5</c:v>
                </c:pt>
                <c:pt idx="292">
                  <c:v>102.5</c:v>
                </c:pt>
                <c:pt idx="293">
                  <c:v>102.5</c:v>
                </c:pt>
                <c:pt idx="294">
                  <c:v>102.5</c:v>
                </c:pt>
                <c:pt idx="295">
                  <c:v>102.5</c:v>
                </c:pt>
                <c:pt idx="296">
                  <c:v>102.5</c:v>
                </c:pt>
                <c:pt idx="297">
                  <c:v>102.5</c:v>
                </c:pt>
                <c:pt idx="298">
                  <c:v>102.5</c:v>
                </c:pt>
                <c:pt idx="299">
                  <c:v>102.5</c:v>
                </c:pt>
                <c:pt idx="300">
                  <c:v>102.5</c:v>
                </c:pt>
                <c:pt idx="301">
                  <c:v>102.5</c:v>
                </c:pt>
                <c:pt idx="302">
                  <c:v>102.5</c:v>
                </c:pt>
                <c:pt idx="303">
                  <c:v>102.5</c:v>
                </c:pt>
                <c:pt idx="304">
                  <c:v>102.5</c:v>
                </c:pt>
                <c:pt idx="305">
                  <c:v>102.5</c:v>
                </c:pt>
                <c:pt idx="306">
                  <c:v>102.5</c:v>
                </c:pt>
                <c:pt idx="307">
                  <c:v>102.5</c:v>
                </c:pt>
                <c:pt idx="308">
                  <c:v>102.5</c:v>
                </c:pt>
                <c:pt idx="309">
                  <c:v>102.5</c:v>
                </c:pt>
                <c:pt idx="310">
                  <c:v>92.5</c:v>
                </c:pt>
                <c:pt idx="311">
                  <c:v>92.5</c:v>
                </c:pt>
                <c:pt idx="312">
                  <c:v>92.5</c:v>
                </c:pt>
                <c:pt idx="313">
                  <c:v>92.5</c:v>
                </c:pt>
                <c:pt idx="314">
                  <c:v>92.5</c:v>
                </c:pt>
                <c:pt idx="315">
                  <c:v>92.5</c:v>
                </c:pt>
                <c:pt idx="316">
                  <c:v>92.5</c:v>
                </c:pt>
                <c:pt idx="317">
                  <c:v>90.5</c:v>
                </c:pt>
                <c:pt idx="318">
                  <c:v>90.5</c:v>
                </c:pt>
                <c:pt idx="319">
                  <c:v>90.5</c:v>
                </c:pt>
                <c:pt idx="320">
                  <c:v>90.5</c:v>
                </c:pt>
                <c:pt idx="321">
                  <c:v>90.5</c:v>
                </c:pt>
                <c:pt idx="322">
                  <c:v>90.5</c:v>
                </c:pt>
                <c:pt idx="323">
                  <c:v>90.5</c:v>
                </c:pt>
                <c:pt idx="324">
                  <c:v>90.5</c:v>
                </c:pt>
                <c:pt idx="325">
                  <c:v>90.5</c:v>
                </c:pt>
                <c:pt idx="326">
                  <c:v>90.5</c:v>
                </c:pt>
                <c:pt idx="327">
                  <c:v>90.5</c:v>
                </c:pt>
                <c:pt idx="328">
                  <c:v>90.5</c:v>
                </c:pt>
                <c:pt idx="329">
                  <c:v>90.5</c:v>
                </c:pt>
                <c:pt idx="330">
                  <c:v>92.5</c:v>
                </c:pt>
                <c:pt idx="331">
                  <c:v>92.5</c:v>
                </c:pt>
                <c:pt idx="332">
                  <c:v>92.5</c:v>
                </c:pt>
                <c:pt idx="333">
                  <c:v>92.5</c:v>
                </c:pt>
                <c:pt idx="334">
                  <c:v>92.5</c:v>
                </c:pt>
                <c:pt idx="335">
                  <c:v>92.5</c:v>
                </c:pt>
                <c:pt idx="336">
                  <c:v>92.5</c:v>
                </c:pt>
                <c:pt idx="337">
                  <c:v>92.5</c:v>
                </c:pt>
                <c:pt idx="338">
                  <c:v>92.5</c:v>
                </c:pt>
                <c:pt idx="339">
                  <c:v>92.5</c:v>
                </c:pt>
                <c:pt idx="340">
                  <c:v>92.5</c:v>
                </c:pt>
                <c:pt idx="341">
                  <c:v>92.5</c:v>
                </c:pt>
                <c:pt idx="342">
                  <c:v>92.5</c:v>
                </c:pt>
                <c:pt idx="343">
                  <c:v>92.5</c:v>
                </c:pt>
                <c:pt idx="344">
                  <c:v>92.5</c:v>
                </c:pt>
                <c:pt idx="345">
                  <c:v>92.5</c:v>
                </c:pt>
                <c:pt idx="346">
                  <c:v>92.5</c:v>
                </c:pt>
                <c:pt idx="347">
                  <c:v>92.5</c:v>
                </c:pt>
                <c:pt idx="348">
                  <c:v>92.5</c:v>
                </c:pt>
                <c:pt idx="349">
                  <c:v>92.5</c:v>
                </c:pt>
                <c:pt idx="350">
                  <c:v>92.5</c:v>
                </c:pt>
                <c:pt idx="351">
                  <c:v>92.5</c:v>
                </c:pt>
                <c:pt idx="352">
                  <c:v>92.5</c:v>
                </c:pt>
                <c:pt idx="353">
                  <c:v>90.5</c:v>
                </c:pt>
                <c:pt idx="354">
                  <c:v>90.5</c:v>
                </c:pt>
                <c:pt idx="355">
                  <c:v>90.5</c:v>
                </c:pt>
                <c:pt idx="356">
                  <c:v>90.5</c:v>
                </c:pt>
                <c:pt idx="357">
                  <c:v>90.5</c:v>
                </c:pt>
                <c:pt idx="358">
                  <c:v>87.5</c:v>
                </c:pt>
                <c:pt idx="359">
                  <c:v>87.5</c:v>
                </c:pt>
                <c:pt idx="360">
                  <c:v>87.5</c:v>
                </c:pt>
                <c:pt idx="361">
                  <c:v>87.5</c:v>
                </c:pt>
                <c:pt idx="362">
                  <c:v>87.5</c:v>
                </c:pt>
                <c:pt idx="363">
                  <c:v>87.5</c:v>
                </c:pt>
                <c:pt idx="364">
                  <c:v>84.5</c:v>
                </c:pt>
                <c:pt idx="365">
                  <c:v>84.5</c:v>
                </c:pt>
                <c:pt idx="366">
                  <c:v>84.5</c:v>
                </c:pt>
                <c:pt idx="367">
                  <c:v>84.5</c:v>
                </c:pt>
                <c:pt idx="368">
                  <c:v>84.5</c:v>
                </c:pt>
                <c:pt idx="369">
                  <c:v>84.5</c:v>
                </c:pt>
                <c:pt idx="370">
                  <c:v>84.5</c:v>
                </c:pt>
                <c:pt idx="371">
                  <c:v>84.5</c:v>
                </c:pt>
                <c:pt idx="372">
                  <c:v>84.5</c:v>
                </c:pt>
                <c:pt idx="373">
                  <c:v>84.5</c:v>
                </c:pt>
                <c:pt idx="374">
                  <c:v>84.5</c:v>
                </c:pt>
                <c:pt idx="375">
                  <c:v>84.5</c:v>
                </c:pt>
                <c:pt idx="376">
                  <c:v>82.5</c:v>
                </c:pt>
                <c:pt idx="377">
                  <c:v>72.5</c:v>
                </c:pt>
                <c:pt idx="378">
                  <c:v>72.5</c:v>
                </c:pt>
                <c:pt idx="379">
                  <c:v>72.5</c:v>
                </c:pt>
                <c:pt idx="380">
                  <c:v>72.5</c:v>
                </c:pt>
                <c:pt idx="381">
                  <c:v>72.5</c:v>
                </c:pt>
                <c:pt idx="382">
                  <c:v>72.5</c:v>
                </c:pt>
                <c:pt idx="383">
                  <c:v>69.5</c:v>
                </c:pt>
                <c:pt idx="384">
                  <c:v>69.5</c:v>
                </c:pt>
                <c:pt idx="385">
                  <c:v>69.5</c:v>
                </c:pt>
                <c:pt idx="386">
                  <c:v>69.5</c:v>
                </c:pt>
                <c:pt idx="387">
                  <c:v>69.5</c:v>
                </c:pt>
                <c:pt idx="388">
                  <c:v>66.5</c:v>
                </c:pt>
                <c:pt idx="389">
                  <c:v>66.5</c:v>
                </c:pt>
                <c:pt idx="390">
                  <c:v>66.5</c:v>
                </c:pt>
                <c:pt idx="391">
                  <c:v>66.5</c:v>
                </c:pt>
                <c:pt idx="392">
                  <c:v>66.5</c:v>
                </c:pt>
                <c:pt idx="393">
                  <c:v>66.5</c:v>
                </c:pt>
                <c:pt idx="394">
                  <c:v>66.5</c:v>
                </c:pt>
                <c:pt idx="395">
                  <c:v>66.5</c:v>
                </c:pt>
                <c:pt idx="396">
                  <c:v>66.5</c:v>
                </c:pt>
                <c:pt idx="397">
                  <c:v>66.5</c:v>
                </c:pt>
                <c:pt idx="398">
                  <c:v>66.5</c:v>
                </c:pt>
                <c:pt idx="399">
                  <c:v>66.5</c:v>
                </c:pt>
                <c:pt idx="400">
                  <c:v>66.5</c:v>
                </c:pt>
                <c:pt idx="401">
                  <c:v>66.5</c:v>
                </c:pt>
                <c:pt idx="402">
                  <c:v>66.5</c:v>
                </c:pt>
                <c:pt idx="403">
                  <c:v>66.5</c:v>
                </c:pt>
                <c:pt idx="404">
                  <c:v>66.5</c:v>
                </c:pt>
                <c:pt idx="405">
                  <c:v>66.5</c:v>
                </c:pt>
                <c:pt idx="406">
                  <c:v>66.5</c:v>
                </c:pt>
                <c:pt idx="407">
                  <c:v>66.5</c:v>
                </c:pt>
                <c:pt idx="408">
                  <c:v>66.5</c:v>
                </c:pt>
                <c:pt idx="409">
                  <c:v>66.5</c:v>
                </c:pt>
                <c:pt idx="410">
                  <c:v>65.5</c:v>
                </c:pt>
                <c:pt idx="411">
                  <c:v>63.5</c:v>
                </c:pt>
                <c:pt idx="412">
                  <c:v>61.5</c:v>
                </c:pt>
                <c:pt idx="413">
                  <c:v>58.5</c:v>
                </c:pt>
                <c:pt idx="414">
                  <c:v>56.5</c:v>
                </c:pt>
                <c:pt idx="415">
                  <c:v>55.5</c:v>
                </c:pt>
                <c:pt idx="416">
                  <c:v>55.5</c:v>
                </c:pt>
                <c:pt idx="417">
                  <c:v>55.5</c:v>
                </c:pt>
                <c:pt idx="418">
                  <c:v>55.5</c:v>
                </c:pt>
                <c:pt idx="419">
                  <c:v>55.5</c:v>
                </c:pt>
                <c:pt idx="420">
                  <c:v>55.5</c:v>
                </c:pt>
                <c:pt idx="421">
                  <c:v>55.5</c:v>
                </c:pt>
                <c:pt idx="422">
                  <c:v>55.5</c:v>
                </c:pt>
                <c:pt idx="423">
                  <c:v>55.5</c:v>
                </c:pt>
                <c:pt idx="424">
                  <c:v>55.5</c:v>
                </c:pt>
                <c:pt idx="425">
                  <c:v>55.5</c:v>
                </c:pt>
                <c:pt idx="426">
                  <c:v>55.5</c:v>
                </c:pt>
                <c:pt idx="427">
                  <c:v>55.5</c:v>
                </c:pt>
                <c:pt idx="428">
                  <c:v>55.5</c:v>
                </c:pt>
                <c:pt idx="429">
                  <c:v>55.5</c:v>
                </c:pt>
                <c:pt idx="430">
                  <c:v>55.5</c:v>
                </c:pt>
                <c:pt idx="431">
                  <c:v>55.5</c:v>
                </c:pt>
                <c:pt idx="432">
                  <c:v>55.5</c:v>
                </c:pt>
                <c:pt idx="433">
                  <c:v>55.5</c:v>
                </c:pt>
                <c:pt idx="434">
                  <c:v>55.5</c:v>
                </c:pt>
                <c:pt idx="435">
                  <c:v>55.5</c:v>
                </c:pt>
                <c:pt idx="436">
                  <c:v>55.5</c:v>
                </c:pt>
                <c:pt idx="437">
                  <c:v>55.5</c:v>
                </c:pt>
                <c:pt idx="438">
                  <c:v>55.5</c:v>
                </c:pt>
                <c:pt idx="439">
                  <c:v>55.5</c:v>
                </c:pt>
                <c:pt idx="440">
                  <c:v>55.5</c:v>
                </c:pt>
                <c:pt idx="441">
                  <c:v>55.5</c:v>
                </c:pt>
                <c:pt idx="442">
                  <c:v>55.5</c:v>
                </c:pt>
                <c:pt idx="443">
                  <c:v>55.5</c:v>
                </c:pt>
                <c:pt idx="444">
                  <c:v>55.5</c:v>
                </c:pt>
                <c:pt idx="445">
                  <c:v>55.5</c:v>
                </c:pt>
                <c:pt idx="446">
                  <c:v>54.5</c:v>
                </c:pt>
                <c:pt idx="447">
                  <c:v>53.5</c:v>
                </c:pt>
                <c:pt idx="448">
                  <c:v>53.5</c:v>
                </c:pt>
                <c:pt idx="449">
                  <c:v>52.5</c:v>
                </c:pt>
                <c:pt idx="450">
                  <c:v>52.5</c:v>
                </c:pt>
                <c:pt idx="451">
                  <c:v>52.5</c:v>
                </c:pt>
                <c:pt idx="452">
                  <c:v>52.5</c:v>
                </c:pt>
                <c:pt idx="453">
                  <c:v>52.5</c:v>
                </c:pt>
                <c:pt idx="454">
                  <c:v>52.5</c:v>
                </c:pt>
                <c:pt idx="455">
                  <c:v>52.5</c:v>
                </c:pt>
                <c:pt idx="456">
                  <c:v>52.5</c:v>
                </c:pt>
                <c:pt idx="457">
                  <c:v>52.5</c:v>
                </c:pt>
                <c:pt idx="458">
                  <c:v>52.5</c:v>
                </c:pt>
                <c:pt idx="459">
                  <c:v>52.5</c:v>
                </c:pt>
                <c:pt idx="460">
                  <c:v>52.5</c:v>
                </c:pt>
                <c:pt idx="461">
                  <c:v>52.5</c:v>
                </c:pt>
                <c:pt idx="462">
                  <c:v>52.5</c:v>
                </c:pt>
                <c:pt idx="463">
                  <c:v>52.5</c:v>
                </c:pt>
                <c:pt idx="464">
                  <c:v>52.5</c:v>
                </c:pt>
                <c:pt idx="465">
                  <c:v>52.5</c:v>
                </c:pt>
                <c:pt idx="466">
                  <c:v>52.5</c:v>
                </c:pt>
                <c:pt idx="467">
                  <c:v>52.5</c:v>
                </c:pt>
                <c:pt idx="468">
                  <c:v>52.5</c:v>
                </c:pt>
                <c:pt idx="469">
                  <c:v>52.5</c:v>
                </c:pt>
                <c:pt idx="470">
                  <c:v>52.5</c:v>
                </c:pt>
                <c:pt idx="471">
                  <c:v>52.5</c:v>
                </c:pt>
                <c:pt idx="472">
                  <c:v>52.5</c:v>
                </c:pt>
                <c:pt idx="473">
                  <c:v>52.5</c:v>
                </c:pt>
                <c:pt idx="474">
                  <c:v>52.5</c:v>
                </c:pt>
                <c:pt idx="475">
                  <c:v>52.5</c:v>
                </c:pt>
                <c:pt idx="476">
                  <c:v>52.5</c:v>
                </c:pt>
                <c:pt idx="477">
                  <c:v>52.5</c:v>
                </c:pt>
                <c:pt idx="478">
                  <c:v>52.5</c:v>
                </c:pt>
                <c:pt idx="479">
                  <c:v>52.5</c:v>
                </c:pt>
                <c:pt idx="480">
                  <c:v>52.5</c:v>
                </c:pt>
                <c:pt idx="481">
                  <c:v>52.5</c:v>
                </c:pt>
                <c:pt idx="482">
                  <c:v>52.5</c:v>
                </c:pt>
                <c:pt idx="483">
                  <c:v>52.5</c:v>
                </c:pt>
                <c:pt idx="484">
                  <c:v>52.5</c:v>
                </c:pt>
                <c:pt idx="485">
                  <c:v>52.5</c:v>
                </c:pt>
                <c:pt idx="486">
                  <c:v>52.5</c:v>
                </c:pt>
                <c:pt idx="487">
                  <c:v>52.5</c:v>
                </c:pt>
                <c:pt idx="488">
                  <c:v>53.5</c:v>
                </c:pt>
                <c:pt idx="489">
                  <c:v>53.5</c:v>
                </c:pt>
                <c:pt idx="490">
                  <c:v>53.5</c:v>
                </c:pt>
                <c:pt idx="491">
                  <c:v>53.5</c:v>
                </c:pt>
                <c:pt idx="492">
                  <c:v>53.5</c:v>
                </c:pt>
                <c:pt idx="493">
                  <c:v>53.5</c:v>
                </c:pt>
                <c:pt idx="494">
                  <c:v>53.5</c:v>
                </c:pt>
                <c:pt idx="495">
                  <c:v>53.5</c:v>
                </c:pt>
                <c:pt idx="496">
                  <c:v>53.5</c:v>
                </c:pt>
                <c:pt idx="497">
                  <c:v>53.5</c:v>
                </c:pt>
                <c:pt idx="498">
                  <c:v>52.5</c:v>
                </c:pt>
              </c:numCache>
            </c:numRef>
          </c:val>
        </c:ser>
        <c:marker val="1"/>
        <c:axId val="354361728"/>
        <c:axId val="354363264"/>
      </c:lineChart>
      <c:lineChart>
        <c:grouping val="standard"/>
        <c:ser>
          <c:idx val="0"/>
          <c:order val="0"/>
          <c:tx>
            <c:strRef>
              <c:f>稀土价格!$AL$2</c:f>
              <c:strCache>
                <c:ptCount val="1"/>
                <c:pt idx="0">
                  <c:v>氧化镨钕</c:v>
                </c:pt>
              </c:strCache>
            </c:strRef>
          </c:tx>
          <c:spPr>
            <a:ln w="12700">
              <a:solidFill>
                <a:srgbClr val="333333"/>
              </a:solidFill>
              <a:prstDash val="solid"/>
            </a:ln>
          </c:spPr>
          <c:marker>
            <c:symbol val="none"/>
          </c:marker>
          <c:val>
            <c:numRef>
              <c:f>国信有色数据库.xls!data81</c:f>
              <c:numCache>
                <c:formatCode>_ * #,##0_ ;_ * \-#,##0_ ;_ * "-"??_ ;_ @_ </c:formatCode>
                <c:ptCount val="800"/>
                <c:pt idx="0">
                  <c:v>522000</c:v>
                </c:pt>
                <c:pt idx="1">
                  <c:v>527000</c:v>
                </c:pt>
                <c:pt idx="2">
                  <c:v>527000</c:v>
                </c:pt>
                <c:pt idx="3">
                  <c:v>527000</c:v>
                </c:pt>
                <c:pt idx="4">
                  <c:v>530000</c:v>
                </c:pt>
                <c:pt idx="5">
                  <c:v>533000</c:v>
                </c:pt>
                <c:pt idx="6">
                  <c:v>536000</c:v>
                </c:pt>
                <c:pt idx="7">
                  <c:v>538000</c:v>
                </c:pt>
                <c:pt idx="8">
                  <c:v>540000</c:v>
                </c:pt>
                <c:pt idx="9">
                  <c:v>545000</c:v>
                </c:pt>
                <c:pt idx="10">
                  <c:v>550000</c:v>
                </c:pt>
                <c:pt idx="11">
                  <c:v>560000</c:v>
                </c:pt>
                <c:pt idx="12">
                  <c:v>561000</c:v>
                </c:pt>
                <c:pt idx="13">
                  <c:v>564000</c:v>
                </c:pt>
                <c:pt idx="14">
                  <c:v>564000</c:v>
                </c:pt>
                <c:pt idx="15">
                  <c:v>569000</c:v>
                </c:pt>
                <c:pt idx="16">
                  <c:v>569000</c:v>
                </c:pt>
                <c:pt idx="17">
                  <c:v>572000</c:v>
                </c:pt>
                <c:pt idx="18">
                  <c:v>582000</c:v>
                </c:pt>
                <c:pt idx="19">
                  <c:v>602000</c:v>
                </c:pt>
                <c:pt idx="20">
                  <c:v>642000</c:v>
                </c:pt>
                <c:pt idx="21">
                  <c:v>642000</c:v>
                </c:pt>
                <c:pt idx="22">
                  <c:v>644000</c:v>
                </c:pt>
                <c:pt idx="23">
                  <c:v>644000</c:v>
                </c:pt>
                <c:pt idx="24">
                  <c:v>654000</c:v>
                </c:pt>
                <c:pt idx="25">
                  <c:v>659000</c:v>
                </c:pt>
                <c:pt idx="26">
                  <c:v>659000</c:v>
                </c:pt>
                <c:pt idx="27">
                  <c:v>664000</c:v>
                </c:pt>
                <c:pt idx="28">
                  <c:v>669000</c:v>
                </c:pt>
                <c:pt idx="29">
                  <c:v>669000</c:v>
                </c:pt>
                <c:pt idx="30">
                  <c:v>669000</c:v>
                </c:pt>
                <c:pt idx="31">
                  <c:v>669000</c:v>
                </c:pt>
                <c:pt idx="32">
                  <c:v>679000</c:v>
                </c:pt>
                <c:pt idx="33">
                  <c:v>689000</c:v>
                </c:pt>
                <c:pt idx="34">
                  <c:v>694000</c:v>
                </c:pt>
                <c:pt idx="35">
                  <c:v>699000</c:v>
                </c:pt>
                <c:pt idx="36">
                  <c:v>704000</c:v>
                </c:pt>
                <c:pt idx="37">
                  <c:v>714000</c:v>
                </c:pt>
                <c:pt idx="38">
                  <c:v>724000</c:v>
                </c:pt>
                <c:pt idx="39">
                  <c:v>729000</c:v>
                </c:pt>
                <c:pt idx="40">
                  <c:v>749000</c:v>
                </c:pt>
                <c:pt idx="41">
                  <c:v>749000</c:v>
                </c:pt>
                <c:pt idx="42">
                  <c:v>759000</c:v>
                </c:pt>
                <c:pt idx="43">
                  <c:v>759000</c:v>
                </c:pt>
                <c:pt idx="44">
                  <c:v>759000</c:v>
                </c:pt>
                <c:pt idx="45">
                  <c:v>779000</c:v>
                </c:pt>
                <c:pt idx="46">
                  <c:v>779000</c:v>
                </c:pt>
                <c:pt idx="47">
                  <c:v>779000</c:v>
                </c:pt>
                <c:pt idx="48">
                  <c:v>779000</c:v>
                </c:pt>
                <c:pt idx="49">
                  <c:v>779000</c:v>
                </c:pt>
                <c:pt idx="50">
                  <c:v>799000</c:v>
                </c:pt>
                <c:pt idx="51">
                  <c:v>799000</c:v>
                </c:pt>
                <c:pt idx="52">
                  <c:v>799000</c:v>
                </c:pt>
                <c:pt idx="53">
                  <c:v>799000</c:v>
                </c:pt>
                <c:pt idx="54">
                  <c:v>799000</c:v>
                </c:pt>
                <c:pt idx="55">
                  <c:v>829000</c:v>
                </c:pt>
                <c:pt idx="56">
                  <c:v>849000</c:v>
                </c:pt>
                <c:pt idx="57">
                  <c:v>849000</c:v>
                </c:pt>
                <c:pt idx="58">
                  <c:v>849000</c:v>
                </c:pt>
                <c:pt idx="59">
                  <c:v>849000</c:v>
                </c:pt>
                <c:pt idx="60">
                  <c:v>849000</c:v>
                </c:pt>
                <c:pt idx="61">
                  <c:v>889000</c:v>
                </c:pt>
                <c:pt idx="62">
                  <c:v>889000</c:v>
                </c:pt>
                <c:pt idx="63">
                  <c:v>889000</c:v>
                </c:pt>
                <c:pt idx="64">
                  <c:v>889000</c:v>
                </c:pt>
                <c:pt idx="65">
                  <c:v>939000</c:v>
                </c:pt>
                <c:pt idx="66">
                  <c:v>939000</c:v>
                </c:pt>
                <c:pt idx="67">
                  <c:v>939000</c:v>
                </c:pt>
                <c:pt idx="68">
                  <c:v>939000</c:v>
                </c:pt>
                <c:pt idx="69">
                  <c:v>939000</c:v>
                </c:pt>
                <c:pt idx="70">
                  <c:v>939000</c:v>
                </c:pt>
                <c:pt idx="71">
                  <c:v>939000</c:v>
                </c:pt>
                <c:pt idx="72">
                  <c:v>939000</c:v>
                </c:pt>
                <c:pt idx="73">
                  <c:v>939000</c:v>
                </c:pt>
                <c:pt idx="74">
                  <c:v>939000</c:v>
                </c:pt>
                <c:pt idx="75">
                  <c:v>949000</c:v>
                </c:pt>
                <c:pt idx="76">
                  <c:v>959000</c:v>
                </c:pt>
                <c:pt idx="77">
                  <c:v>959000</c:v>
                </c:pt>
                <c:pt idx="78">
                  <c:v>959000</c:v>
                </c:pt>
                <c:pt idx="79">
                  <c:v>979000</c:v>
                </c:pt>
                <c:pt idx="80">
                  <c:v>979000</c:v>
                </c:pt>
                <c:pt idx="81">
                  <c:v>979000</c:v>
                </c:pt>
                <c:pt idx="82">
                  <c:v>979000</c:v>
                </c:pt>
                <c:pt idx="83">
                  <c:v>979000</c:v>
                </c:pt>
                <c:pt idx="84">
                  <c:v>979000</c:v>
                </c:pt>
                <c:pt idx="85">
                  <c:v>979000</c:v>
                </c:pt>
                <c:pt idx="86">
                  <c:v>999000</c:v>
                </c:pt>
                <c:pt idx="87">
                  <c:v>999000</c:v>
                </c:pt>
                <c:pt idx="88">
                  <c:v>999000</c:v>
                </c:pt>
                <c:pt idx="89">
                  <c:v>1019000</c:v>
                </c:pt>
                <c:pt idx="90">
                  <c:v>1019000</c:v>
                </c:pt>
                <c:pt idx="91">
                  <c:v>1019000</c:v>
                </c:pt>
                <c:pt idx="92">
                  <c:v>1049000</c:v>
                </c:pt>
                <c:pt idx="93">
                  <c:v>1079000</c:v>
                </c:pt>
                <c:pt idx="94">
                  <c:v>1099000</c:v>
                </c:pt>
                <c:pt idx="95">
                  <c:v>1099000</c:v>
                </c:pt>
                <c:pt idx="96">
                  <c:v>1099000</c:v>
                </c:pt>
                <c:pt idx="97">
                  <c:v>1119000</c:v>
                </c:pt>
                <c:pt idx="98">
                  <c:v>1149000</c:v>
                </c:pt>
                <c:pt idx="99">
                  <c:v>1159000</c:v>
                </c:pt>
                <c:pt idx="100">
                  <c:v>1169000</c:v>
                </c:pt>
                <c:pt idx="101">
                  <c:v>1179000</c:v>
                </c:pt>
                <c:pt idx="102">
                  <c:v>1199000</c:v>
                </c:pt>
                <c:pt idx="103">
                  <c:v>1199000</c:v>
                </c:pt>
                <c:pt idx="104">
                  <c:v>1199000</c:v>
                </c:pt>
                <c:pt idx="105">
                  <c:v>1199000</c:v>
                </c:pt>
                <c:pt idx="106">
                  <c:v>1199000</c:v>
                </c:pt>
                <c:pt idx="107">
                  <c:v>1199000</c:v>
                </c:pt>
                <c:pt idx="108">
                  <c:v>1249000</c:v>
                </c:pt>
                <c:pt idx="109">
                  <c:v>1249000</c:v>
                </c:pt>
                <c:pt idx="110">
                  <c:v>1199000</c:v>
                </c:pt>
                <c:pt idx="111">
                  <c:v>1249000</c:v>
                </c:pt>
                <c:pt idx="112">
                  <c:v>1249000</c:v>
                </c:pt>
                <c:pt idx="113">
                  <c:v>1249000</c:v>
                </c:pt>
                <c:pt idx="114">
                  <c:v>1249000</c:v>
                </c:pt>
                <c:pt idx="115">
                  <c:v>1199000</c:v>
                </c:pt>
                <c:pt idx="116">
                  <c:v>1199000</c:v>
                </c:pt>
                <c:pt idx="117">
                  <c:v>1199000</c:v>
                </c:pt>
                <c:pt idx="118">
                  <c:v>1199000</c:v>
                </c:pt>
                <c:pt idx="119">
                  <c:v>1199000</c:v>
                </c:pt>
                <c:pt idx="120">
                  <c:v>1199000</c:v>
                </c:pt>
                <c:pt idx="121">
                  <c:v>1199000</c:v>
                </c:pt>
                <c:pt idx="122">
                  <c:v>1149000</c:v>
                </c:pt>
                <c:pt idx="123">
                  <c:v>1149000</c:v>
                </c:pt>
                <c:pt idx="124">
                  <c:v>1149000</c:v>
                </c:pt>
                <c:pt idx="125">
                  <c:v>1149000</c:v>
                </c:pt>
                <c:pt idx="126">
                  <c:v>1149000</c:v>
                </c:pt>
                <c:pt idx="127">
                  <c:v>1149000</c:v>
                </c:pt>
                <c:pt idx="128">
                  <c:v>1149000</c:v>
                </c:pt>
                <c:pt idx="129">
                  <c:v>1149000</c:v>
                </c:pt>
                <c:pt idx="130">
                  <c:v>1149000</c:v>
                </c:pt>
                <c:pt idx="131">
                  <c:v>1149000</c:v>
                </c:pt>
                <c:pt idx="132">
                  <c:v>1129000</c:v>
                </c:pt>
                <c:pt idx="133">
                  <c:v>1129000</c:v>
                </c:pt>
                <c:pt idx="134">
                  <c:v>1129000</c:v>
                </c:pt>
                <c:pt idx="135">
                  <c:v>1129000</c:v>
                </c:pt>
                <c:pt idx="136">
                  <c:v>1029000</c:v>
                </c:pt>
                <c:pt idx="137">
                  <c:v>1029000</c:v>
                </c:pt>
                <c:pt idx="138">
                  <c:v>1009000</c:v>
                </c:pt>
                <c:pt idx="139">
                  <c:v>999000</c:v>
                </c:pt>
                <c:pt idx="140">
                  <c:v>929000</c:v>
                </c:pt>
                <c:pt idx="141">
                  <c:v>919000</c:v>
                </c:pt>
                <c:pt idx="142">
                  <c:v>829000</c:v>
                </c:pt>
                <c:pt idx="143">
                  <c:v>764000</c:v>
                </c:pt>
                <c:pt idx="144">
                  <c:v>759000</c:v>
                </c:pt>
                <c:pt idx="145">
                  <c:v>749000</c:v>
                </c:pt>
                <c:pt idx="146">
                  <c:v>736000</c:v>
                </c:pt>
                <c:pt idx="147">
                  <c:v>726000</c:v>
                </c:pt>
                <c:pt idx="148">
                  <c:v>726000</c:v>
                </c:pt>
                <c:pt idx="149">
                  <c:v>726000</c:v>
                </c:pt>
                <c:pt idx="150">
                  <c:v>696000</c:v>
                </c:pt>
                <c:pt idx="151">
                  <c:v>666000</c:v>
                </c:pt>
                <c:pt idx="152">
                  <c:v>636000</c:v>
                </c:pt>
                <c:pt idx="153">
                  <c:v>636000</c:v>
                </c:pt>
                <c:pt idx="154">
                  <c:v>631000</c:v>
                </c:pt>
                <c:pt idx="155">
                  <c:v>631000</c:v>
                </c:pt>
                <c:pt idx="156">
                  <c:v>611000</c:v>
                </c:pt>
                <c:pt idx="157">
                  <c:v>581000</c:v>
                </c:pt>
                <c:pt idx="158">
                  <c:v>579000</c:v>
                </c:pt>
                <c:pt idx="159">
                  <c:v>579000</c:v>
                </c:pt>
                <c:pt idx="160">
                  <c:v>579000</c:v>
                </c:pt>
                <c:pt idx="161">
                  <c:v>579000</c:v>
                </c:pt>
                <c:pt idx="162">
                  <c:v>584000</c:v>
                </c:pt>
                <c:pt idx="163">
                  <c:v>584000</c:v>
                </c:pt>
                <c:pt idx="164">
                  <c:v>579000</c:v>
                </c:pt>
                <c:pt idx="165">
                  <c:v>579000</c:v>
                </c:pt>
                <c:pt idx="166">
                  <c:v>579000</c:v>
                </c:pt>
                <c:pt idx="167">
                  <c:v>579000</c:v>
                </c:pt>
                <c:pt idx="168">
                  <c:v>579000</c:v>
                </c:pt>
                <c:pt idx="169">
                  <c:v>569000</c:v>
                </c:pt>
                <c:pt idx="170">
                  <c:v>569000</c:v>
                </c:pt>
                <c:pt idx="171">
                  <c:v>569000</c:v>
                </c:pt>
                <c:pt idx="172">
                  <c:v>569000</c:v>
                </c:pt>
                <c:pt idx="173">
                  <c:v>569000</c:v>
                </c:pt>
                <c:pt idx="174">
                  <c:v>569000</c:v>
                </c:pt>
                <c:pt idx="175">
                  <c:v>564000</c:v>
                </c:pt>
                <c:pt idx="176">
                  <c:v>559000</c:v>
                </c:pt>
                <c:pt idx="177">
                  <c:v>559000</c:v>
                </c:pt>
                <c:pt idx="178">
                  <c:v>559000</c:v>
                </c:pt>
                <c:pt idx="179">
                  <c:v>551000</c:v>
                </c:pt>
                <c:pt idx="180">
                  <c:v>549000</c:v>
                </c:pt>
                <c:pt idx="181">
                  <c:v>549000</c:v>
                </c:pt>
                <c:pt idx="182">
                  <c:v>549000</c:v>
                </c:pt>
                <c:pt idx="183">
                  <c:v>549000</c:v>
                </c:pt>
                <c:pt idx="184">
                  <c:v>539000</c:v>
                </c:pt>
                <c:pt idx="185">
                  <c:v>499000</c:v>
                </c:pt>
                <c:pt idx="186">
                  <c:v>494000</c:v>
                </c:pt>
                <c:pt idx="187">
                  <c:v>474000</c:v>
                </c:pt>
                <c:pt idx="188">
                  <c:v>464000</c:v>
                </c:pt>
                <c:pt idx="189">
                  <c:v>459000</c:v>
                </c:pt>
                <c:pt idx="190">
                  <c:v>456000</c:v>
                </c:pt>
                <c:pt idx="191">
                  <c:v>451000</c:v>
                </c:pt>
                <c:pt idx="192">
                  <c:v>441000</c:v>
                </c:pt>
                <c:pt idx="193">
                  <c:v>439000</c:v>
                </c:pt>
                <c:pt idx="194">
                  <c:v>439000</c:v>
                </c:pt>
                <c:pt idx="195">
                  <c:v>439000</c:v>
                </c:pt>
                <c:pt idx="196">
                  <c:v>439000</c:v>
                </c:pt>
                <c:pt idx="197">
                  <c:v>436000</c:v>
                </c:pt>
                <c:pt idx="198">
                  <c:v>431000</c:v>
                </c:pt>
                <c:pt idx="199">
                  <c:v>411000</c:v>
                </c:pt>
                <c:pt idx="200">
                  <c:v>391000</c:v>
                </c:pt>
                <c:pt idx="201">
                  <c:v>381000</c:v>
                </c:pt>
                <c:pt idx="202">
                  <c:v>359000</c:v>
                </c:pt>
                <c:pt idx="203">
                  <c:v>329000</c:v>
                </c:pt>
                <c:pt idx="204">
                  <c:v>324000</c:v>
                </c:pt>
                <c:pt idx="205">
                  <c:v>314000</c:v>
                </c:pt>
                <c:pt idx="206">
                  <c:v>309000</c:v>
                </c:pt>
                <c:pt idx="207">
                  <c:v>304000</c:v>
                </c:pt>
                <c:pt idx="208">
                  <c:v>302000</c:v>
                </c:pt>
                <c:pt idx="209">
                  <c:v>282000</c:v>
                </c:pt>
                <c:pt idx="210">
                  <c:v>280000</c:v>
                </c:pt>
                <c:pt idx="211">
                  <c:v>279000</c:v>
                </c:pt>
                <c:pt idx="212">
                  <c:v>274000</c:v>
                </c:pt>
                <c:pt idx="213">
                  <c:v>267000</c:v>
                </c:pt>
                <c:pt idx="214">
                  <c:v>265000</c:v>
                </c:pt>
                <c:pt idx="215">
                  <c:v>264000</c:v>
                </c:pt>
                <c:pt idx="216">
                  <c:v>259000</c:v>
                </c:pt>
                <c:pt idx="217">
                  <c:v>254000</c:v>
                </c:pt>
                <c:pt idx="218">
                  <c:v>251000</c:v>
                </c:pt>
                <c:pt idx="219">
                  <c:v>249000</c:v>
                </c:pt>
                <c:pt idx="220">
                  <c:v>249000</c:v>
                </c:pt>
                <c:pt idx="221">
                  <c:v>249000</c:v>
                </c:pt>
                <c:pt idx="222">
                  <c:v>249000</c:v>
                </c:pt>
                <c:pt idx="223">
                  <c:v>249000</c:v>
                </c:pt>
                <c:pt idx="224">
                  <c:v>248000</c:v>
                </c:pt>
                <c:pt idx="225">
                  <c:v>248000</c:v>
                </c:pt>
                <c:pt idx="226">
                  <c:v>248000</c:v>
                </c:pt>
                <c:pt idx="227">
                  <c:v>248000</c:v>
                </c:pt>
                <c:pt idx="228">
                  <c:v>246000</c:v>
                </c:pt>
                <c:pt idx="229">
                  <c:v>246000</c:v>
                </c:pt>
                <c:pt idx="230">
                  <c:v>246000</c:v>
                </c:pt>
                <c:pt idx="231">
                  <c:v>245000</c:v>
                </c:pt>
                <c:pt idx="232">
                  <c:v>241000</c:v>
                </c:pt>
                <c:pt idx="233">
                  <c:v>233000</c:v>
                </c:pt>
                <c:pt idx="234">
                  <c:v>231000</c:v>
                </c:pt>
                <c:pt idx="235">
                  <c:v>230000</c:v>
                </c:pt>
                <c:pt idx="236">
                  <c:v>229000</c:v>
                </c:pt>
                <c:pt idx="237">
                  <c:v>219000</c:v>
                </c:pt>
                <c:pt idx="238">
                  <c:v>219000</c:v>
                </c:pt>
                <c:pt idx="239">
                  <c:v>217000</c:v>
                </c:pt>
                <c:pt idx="240">
                  <c:v>216000</c:v>
                </c:pt>
                <c:pt idx="241">
                  <c:v>214000</c:v>
                </c:pt>
                <c:pt idx="242">
                  <c:v>214000</c:v>
                </c:pt>
                <c:pt idx="243">
                  <c:v>212000</c:v>
                </c:pt>
                <c:pt idx="244">
                  <c:v>211000</c:v>
                </c:pt>
                <c:pt idx="245">
                  <c:v>209000</c:v>
                </c:pt>
                <c:pt idx="246">
                  <c:v>209000</c:v>
                </c:pt>
                <c:pt idx="247">
                  <c:v>209000</c:v>
                </c:pt>
                <c:pt idx="248">
                  <c:v>209000</c:v>
                </c:pt>
                <c:pt idx="249">
                  <c:v>209000</c:v>
                </c:pt>
                <c:pt idx="250">
                  <c:v>209000</c:v>
                </c:pt>
                <c:pt idx="251">
                  <c:v>209000</c:v>
                </c:pt>
                <c:pt idx="252">
                  <c:v>209000</c:v>
                </c:pt>
                <c:pt idx="253">
                  <c:v>205000</c:v>
                </c:pt>
                <c:pt idx="254">
                  <c:v>204000</c:v>
                </c:pt>
                <c:pt idx="255">
                  <c:v>204000</c:v>
                </c:pt>
                <c:pt idx="256">
                  <c:v>204000</c:v>
                </c:pt>
                <c:pt idx="257">
                  <c:v>204000</c:v>
                </c:pt>
                <c:pt idx="258">
                  <c:v>205000</c:v>
                </c:pt>
                <c:pt idx="259">
                  <c:v>205000</c:v>
                </c:pt>
                <c:pt idx="260">
                  <c:v>206000</c:v>
                </c:pt>
                <c:pt idx="261">
                  <c:v>209000</c:v>
                </c:pt>
                <c:pt idx="262">
                  <c:v>210000</c:v>
                </c:pt>
                <c:pt idx="263">
                  <c:v>210000</c:v>
                </c:pt>
                <c:pt idx="264">
                  <c:v>210000</c:v>
                </c:pt>
                <c:pt idx="265">
                  <c:v>210000</c:v>
                </c:pt>
                <c:pt idx="266">
                  <c:v>211000</c:v>
                </c:pt>
                <c:pt idx="267">
                  <c:v>211000</c:v>
                </c:pt>
                <c:pt idx="268">
                  <c:v>214000</c:v>
                </c:pt>
                <c:pt idx="269">
                  <c:v>217000</c:v>
                </c:pt>
                <c:pt idx="270">
                  <c:v>217000</c:v>
                </c:pt>
                <c:pt idx="271">
                  <c:v>218000</c:v>
                </c:pt>
                <c:pt idx="272">
                  <c:v>218000</c:v>
                </c:pt>
                <c:pt idx="273">
                  <c:v>220000</c:v>
                </c:pt>
                <c:pt idx="274">
                  <c:v>220000</c:v>
                </c:pt>
                <c:pt idx="275">
                  <c:v>220000</c:v>
                </c:pt>
                <c:pt idx="276">
                  <c:v>219000</c:v>
                </c:pt>
                <c:pt idx="277">
                  <c:v>215000</c:v>
                </c:pt>
                <c:pt idx="278">
                  <c:v>214500</c:v>
                </c:pt>
                <c:pt idx="279">
                  <c:v>214000</c:v>
                </c:pt>
                <c:pt idx="280">
                  <c:v>211000</c:v>
                </c:pt>
                <c:pt idx="281">
                  <c:v>209000</c:v>
                </c:pt>
                <c:pt idx="282">
                  <c:v>204000</c:v>
                </c:pt>
                <c:pt idx="283">
                  <c:v>204000</c:v>
                </c:pt>
                <c:pt idx="284">
                  <c:v>202000</c:v>
                </c:pt>
                <c:pt idx="285">
                  <c:v>201500</c:v>
                </c:pt>
                <c:pt idx="286">
                  <c:v>201000</c:v>
                </c:pt>
                <c:pt idx="287">
                  <c:v>200500</c:v>
                </c:pt>
                <c:pt idx="288">
                  <c:v>200000</c:v>
                </c:pt>
                <c:pt idx="289">
                  <c:v>199500</c:v>
                </c:pt>
                <c:pt idx="290">
                  <c:v>199000</c:v>
                </c:pt>
                <c:pt idx="291">
                  <c:v>197000</c:v>
                </c:pt>
                <c:pt idx="292">
                  <c:v>196000</c:v>
                </c:pt>
                <c:pt idx="293">
                  <c:v>192000</c:v>
                </c:pt>
                <c:pt idx="294">
                  <c:v>191000</c:v>
                </c:pt>
                <c:pt idx="295">
                  <c:v>191000</c:v>
                </c:pt>
                <c:pt idx="296">
                  <c:v>191000</c:v>
                </c:pt>
                <c:pt idx="297">
                  <c:v>191000</c:v>
                </c:pt>
                <c:pt idx="298">
                  <c:v>191000</c:v>
                </c:pt>
                <c:pt idx="299">
                  <c:v>191000</c:v>
                </c:pt>
                <c:pt idx="300">
                  <c:v>191000</c:v>
                </c:pt>
                <c:pt idx="301">
                  <c:v>192000</c:v>
                </c:pt>
                <c:pt idx="302">
                  <c:v>192000</c:v>
                </c:pt>
                <c:pt idx="303">
                  <c:v>193000</c:v>
                </c:pt>
                <c:pt idx="304">
                  <c:v>193000</c:v>
                </c:pt>
                <c:pt idx="305">
                  <c:v>193000</c:v>
                </c:pt>
                <c:pt idx="306">
                  <c:v>193000</c:v>
                </c:pt>
                <c:pt idx="307">
                  <c:v>193000</c:v>
                </c:pt>
                <c:pt idx="308">
                  <c:v>193000</c:v>
                </c:pt>
                <c:pt idx="309">
                  <c:v>192000</c:v>
                </c:pt>
                <c:pt idx="310">
                  <c:v>191000</c:v>
                </c:pt>
                <c:pt idx="311">
                  <c:v>184000</c:v>
                </c:pt>
                <c:pt idx="312">
                  <c:v>184000</c:v>
                </c:pt>
                <c:pt idx="313">
                  <c:v>183000</c:v>
                </c:pt>
                <c:pt idx="314">
                  <c:v>182000</c:v>
                </c:pt>
                <c:pt idx="315">
                  <c:v>181000</c:v>
                </c:pt>
                <c:pt idx="316">
                  <c:v>179000</c:v>
                </c:pt>
                <c:pt idx="317">
                  <c:v>175000</c:v>
                </c:pt>
                <c:pt idx="318">
                  <c:v>173000</c:v>
                </c:pt>
                <c:pt idx="319">
                  <c:v>173500</c:v>
                </c:pt>
                <c:pt idx="320">
                  <c:v>172500</c:v>
                </c:pt>
                <c:pt idx="321">
                  <c:v>172500</c:v>
                </c:pt>
                <c:pt idx="322">
                  <c:v>171500</c:v>
                </c:pt>
                <c:pt idx="323">
                  <c:v>171000</c:v>
                </c:pt>
                <c:pt idx="324">
                  <c:v>170000</c:v>
                </c:pt>
                <c:pt idx="325">
                  <c:v>168000</c:v>
                </c:pt>
                <c:pt idx="326">
                  <c:v>166000</c:v>
                </c:pt>
                <c:pt idx="327">
                  <c:v>161000</c:v>
                </c:pt>
                <c:pt idx="328">
                  <c:v>161000</c:v>
                </c:pt>
                <c:pt idx="329">
                  <c:v>159000</c:v>
                </c:pt>
                <c:pt idx="330">
                  <c:v>160000</c:v>
                </c:pt>
                <c:pt idx="331">
                  <c:v>160000</c:v>
                </c:pt>
                <c:pt idx="332">
                  <c:v>161000</c:v>
                </c:pt>
                <c:pt idx="333">
                  <c:v>164000</c:v>
                </c:pt>
                <c:pt idx="334">
                  <c:v>164000</c:v>
                </c:pt>
                <c:pt idx="335">
                  <c:v>165000</c:v>
                </c:pt>
                <c:pt idx="336">
                  <c:v>167000</c:v>
                </c:pt>
                <c:pt idx="337">
                  <c:v>168000</c:v>
                </c:pt>
                <c:pt idx="338">
                  <c:v>168000</c:v>
                </c:pt>
                <c:pt idx="339">
                  <c:v>169000</c:v>
                </c:pt>
                <c:pt idx="340">
                  <c:v>169000</c:v>
                </c:pt>
                <c:pt idx="341">
                  <c:v>169000</c:v>
                </c:pt>
                <c:pt idx="342">
                  <c:v>171000</c:v>
                </c:pt>
                <c:pt idx="343">
                  <c:v>171000</c:v>
                </c:pt>
                <c:pt idx="344">
                  <c:v>171000</c:v>
                </c:pt>
                <c:pt idx="345">
                  <c:v>171000</c:v>
                </c:pt>
                <c:pt idx="346">
                  <c:v>171000</c:v>
                </c:pt>
                <c:pt idx="347">
                  <c:v>171000</c:v>
                </c:pt>
                <c:pt idx="348">
                  <c:v>171000</c:v>
                </c:pt>
                <c:pt idx="349">
                  <c:v>171000</c:v>
                </c:pt>
                <c:pt idx="350">
                  <c:v>171000</c:v>
                </c:pt>
                <c:pt idx="351">
                  <c:v>166000</c:v>
                </c:pt>
                <c:pt idx="352">
                  <c:v>164000</c:v>
                </c:pt>
                <c:pt idx="353">
                  <c:v>160000</c:v>
                </c:pt>
                <c:pt idx="354">
                  <c:v>157000</c:v>
                </c:pt>
                <c:pt idx="355">
                  <c:v>154000</c:v>
                </c:pt>
                <c:pt idx="356">
                  <c:v>152000</c:v>
                </c:pt>
                <c:pt idx="357">
                  <c:v>152000</c:v>
                </c:pt>
                <c:pt idx="358">
                  <c:v>151000</c:v>
                </c:pt>
                <c:pt idx="359">
                  <c:v>151000</c:v>
                </c:pt>
                <c:pt idx="360">
                  <c:v>151000</c:v>
                </c:pt>
                <c:pt idx="361">
                  <c:v>151000</c:v>
                </c:pt>
                <c:pt idx="362">
                  <c:v>151000</c:v>
                </c:pt>
                <c:pt idx="363">
                  <c:v>150000</c:v>
                </c:pt>
                <c:pt idx="364">
                  <c:v>149000</c:v>
                </c:pt>
                <c:pt idx="365">
                  <c:v>147000</c:v>
                </c:pt>
                <c:pt idx="366">
                  <c:v>147000</c:v>
                </c:pt>
                <c:pt idx="367">
                  <c:v>147000</c:v>
                </c:pt>
                <c:pt idx="368">
                  <c:v>147000</c:v>
                </c:pt>
                <c:pt idx="369">
                  <c:v>147000</c:v>
                </c:pt>
                <c:pt idx="370">
                  <c:v>147000</c:v>
                </c:pt>
                <c:pt idx="371">
                  <c:v>147000</c:v>
                </c:pt>
                <c:pt idx="372">
                  <c:v>147000</c:v>
                </c:pt>
                <c:pt idx="373">
                  <c:v>147000</c:v>
                </c:pt>
                <c:pt idx="374">
                  <c:v>147000</c:v>
                </c:pt>
                <c:pt idx="375">
                  <c:v>145000</c:v>
                </c:pt>
                <c:pt idx="376">
                  <c:v>141000</c:v>
                </c:pt>
                <c:pt idx="377">
                  <c:v>139000</c:v>
                </c:pt>
                <c:pt idx="378">
                  <c:v>137000</c:v>
                </c:pt>
                <c:pt idx="379">
                  <c:v>136000</c:v>
                </c:pt>
                <c:pt idx="380">
                  <c:v>135000</c:v>
                </c:pt>
                <c:pt idx="381">
                  <c:v>132000</c:v>
                </c:pt>
                <c:pt idx="382">
                  <c:v>130000</c:v>
                </c:pt>
                <c:pt idx="383">
                  <c:v>126000</c:v>
                </c:pt>
                <c:pt idx="384">
                  <c:v>124000</c:v>
                </c:pt>
                <c:pt idx="385">
                  <c:v>124000</c:v>
                </c:pt>
                <c:pt idx="386">
                  <c:v>121000</c:v>
                </c:pt>
                <c:pt idx="387">
                  <c:v>117000</c:v>
                </c:pt>
                <c:pt idx="388">
                  <c:v>117000</c:v>
                </c:pt>
                <c:pt idx="389">
                  <c:v>114000</c:v>
                </c:pt>
                <c:pt idx="390">
                  <c:v>109000</c:v>
                </c:pt>
                <c:pt idx="391">
                  <c:v>109000</c:v>
                </c:pt>
                <c:pt idx="392">
                  <c:v>106000</c:v>
                </c:pt>
                <c:pt idx="393">
                  <c:v>104000</c:v>
                </c:pt>
                <c:pt idx="394">
                  <c:v>102000</c:v>
                </c:pt>
                <c:pt idx="395">
                  <c:v>101000</c:v>
                </c:pt>
                <c:pt idx="396">
                  <c:v>100000</c:v>
                </c:pt>
                <c:pt idx="397">
                  <c:v>100000</c:v>
                </c:pt>
                <c:pt idx="398">
                  <c:v>100000</c:v>
                </c:pt>
                <c:pt idx="399">
                  <c:v>101000</c:v>
                </c:pt>
                <c:pt idx="400">
                  <c:v>101000</c:v>
                </c:pt>
                <c:pt idx="401">
                  <c:v>101000</c:v>
                </c:pt>
                <c:pt idx="402">
                  <c:v>101000</c:v>
                </c:pt>
                <c:pt idx="403">
                  <c:v>101000</c:v>
                </c:pt>
                <c:pt idx="404">
                  <c:v>101000</c:v>
                </c:pt>
                <c:pt idx="405">
                  <c:v>101000</c:v>
                </c:pt>
                <c:pt idx="406">
                  <c:v>102000</c:v>
                </c:pt>
                <c:pt idx="407">
                  <c:v>102000</c:v>
                </c:pt>
                <c:pt idx="408">
                  <c:v>104000</c:v>
                </c:pt>
                <c:pt idx="409">
                  <c:v>104000</c:v>
                </c:pt>
                <c:pt idx="410">
                  <c:v>104000</c:v>
                </c:pt>
                <c:pt idx="411">
                  <c:v>104000</c:v>
                </c:pt>
                <c:pt idx="412">
                  <c:v>104000</c:v>
                </c:pt>
                <c:pt idx="413">
                  <c:v>99000</c:v>
                </c:pt>
                <c:pt idx="414">
                  <c:v>93000</c:v>
                </c:pt>
                <c:pt idx="415">
                  <c:v>88000</c:v>
                </c:pt>
                <c:pt idx="416">
                  <c:v>88000</c:v>
                </c:pt>
                <c:pt idx="417">
                  <c:v>83000</c:v>
                </c:pt>
                <c:pt idx="418">
                  <c:v>83000</c:v>
                </c:pt>
                <c:pt idx="419">
                  <c:v>82000</c:v>
                </c:pt>
                <c:pt idx="420">
                  <c:v>80000</c:v>
                </c:pt>
                <c:pt idx="421">
                  <c:v>80000</c:v>
                </c:pt>
                <c:pt idx="422">
                  <c:v>78000</c:v>
                </c:pt>
                <c:pt idx="423">
                  <c:v>78000</c:v>
                </c:pt>
                <c:pt idx="424">
                  <c:v>77000</c:v>
                </c:pt>
                <c:pt idx="425">
                  <c:v>76000</c:v>
                </c:pt>
                <c:pt idx="426">
                  <c:v>76000</c:v>
                </c:pt>
                <c:pt idx="427">
                  <c:v>76000</c:v>
                </c:pt>
                <c:pt idx="428">
                  <c:v>76000</c:v>
                </c:pt>
                <c:pt idx="429">
                  <c:v>76000</c:v>
                </c:pt>
                <c:pt idx="430">
                  <c:v>76000</c:v>
                </c:pt>
                <c:pt idx="431">
                  <c:v>76000</c:v>
                </c:pt>
                <c:pt idx="432">
                  <c:v>76000</c:v>
                </c:pt>
                <c:pt idx="433">
                  <c:v>76000</c:v>
                </c:pt>
                <c:pt idx="434">
                  <c:v>76000</c:v>
                </c:pt>
                <c:pt idx="435">
                  <c:v>77000</c:v>
                </c:pt>
                <c:pt idx="436">
                  <c:v>77000</c:v>
                </c:pt>
                <c:pt idx="437">
                  <c:v>77000</c:v>
                </c:pt>
                <c:pt idx="438">
                  <c:v>77500</c:v>
                </c:pt>
                <c:pt idx="439">
                  <c:v>77500</c:v>
                </c:pt>
                <c:pt idx="440">
                  <c:v>78000</c:v>
                </c:pt>
                <c:pt idx="441">
                  <c:v>78000</c:v>
                </c:pt>
                <c:pt idx="442">
                  <c:v>78000</c:v>
                </c:pt>
                <c:pt idx="443">
                  <c:v>77000</c:v>
                </c:pt>
                <c:pt idx="444">
                  <c:v>77000</c:v>
                </c:pt>
                <c:pt idx="445">
                  <c:v>77000</c:v>
                </c:pt>
                <c:pt idx="446">
                  <c:v>76000</c:v>
                </c:pt>
                <c:pt idx="447">
                  <c:v>75000</c:v>
                </c:pt>
                <c:pt idx="448">
                  <c:v>75000</c:v>
                </c:pt>
                <c:pt idx="449">
                  <c:v>71500</c:v>
                </c:pt>
                <c:pt idx="450">
                  <c:v>71000</c:v>
                </c:pt>
                <c:pt idx="451">
                  <c:v>71000</c:v>
                </c:pt>
                <c:pt idx="452">
                  <c:v>70000</c:v>
                </c:pt>
                <c:pt idx="453">
                  <c:v>69000</c:v>
                </c:pt>
                <c:pt idx="454">
                  <c:v>68000</c:v>
                </c:pt>
                <c:pt idx="455">
                  <c:v>67000</c:v>
                </c:pt>
                <c:pt idx="456">
                  <c:v>67000</c:v>
                </c:pt>
                <c:pt idx="457">
                  <c:v>67000</c:v>
                </c:pt>
                <c:pt idx="458">
                  <c:v>67000</c:v>
                </c:pt>
                <c:pt idx="459">
                  <c:v>66000</c:v>
                </c:pt>
                <c:pt idx="460">
                  <c:v>66000</c:v>
                </c:pt>
                <c:pt idx="461">
                  <c:v>66000</c:v>
                </c:pt>
                <c:pt idx="462">
                  <c:v>65000</c:v>
                </c:pt>
                <c:pt idx="463">
                  <c:v>65000</c:v>
                </c:pt>
                <c:pt idx="464">
                  <c:v>65000</c:v>
                </c:pt>
                <c:pt idx="465">
                  <c:v>65000</c:v>
                </c:pt>
                <c:pt idx="466">
                  <c:v>65000</c:v>
                </c:pt>
                <c:pt idx="467">
                  <c:v>65000</c:v>
                </c:pt>
                <c:pt idx="468">
                  <c:v>64000</c:v>
                </c:pt>
                <c:pt idx="469">
                  <c:v>64000</c:v>
                </c:pt>
                <c:pt idx="470">
                  <c:v>64000</c:v>
                </c:pt>
                <c:pt idx="471">
                  <c:v>63000</c:v>
                </c:pt>
                <c:pt idx="472">
                  <c:v>63000</c:v>
                </c:pt>
                <c:pt idx="473">
                  <c:v>63000</c:v>
                </c:pt>
                <c:pt idx="474">
                  <c:v>63000</c:v>
                </c:pt>
                <c:pt idx="475">
                  <c:v>63000</c:v>
                </c:pt>
                <c:pt idx="476">
                  <c:v>63000</c:v>
                </c:pt>
                <c:pt idx="477">
                  <c:v>64000</c:v>
                </c:pt>
                <c:pt idx="478">
                  <c:v>64000</c:v>
                </c:pt>
                <c:pt idx="479">
                  <c:v>64000</c:v>
                </c:pt>
                <c:pt idx="480">
                  <c:v>64000</c:v>
                </c:pt>
                <c:pt idx="481">
                  <c:v>65000</c:v>
                </c:pt>
                <c:pt idx="482">
                  <c:v>65000</c:v>
                </c:pt>
                <c:pt idx="483">
                  <c:v>66000</c:v>
                </c:pt>
                <c:pt idx="484">
                  <c:v>65000</c:v>
                </c:pt>
                <c:pt idx="485">
                  <c:v>66000</c:v>
                </c:pt>
                <c:pt idx="486">
                  <c:v>67000</c:v>
                </c:pt>
                <c:pt idx="487">
                  <c:v>68000</c:v>
                </c:pt>
                <c:pt idx="488">
                  <c:v>68000</c:v>
                </c:pt>
                <c:pt idx="489">
                  <c:v>68000</c:v>
                </c:pt>
                <c:pt idx="490">
                  <c:v>67000</c:v>
                </c:pt>
                <c:pt idx="491">
                  <c:v>66000</c:v>
                </c:pt>
                <c:pt idx="492">
                  <c:v>65000</c:v>
                </c:pt>
                <c:pt idx="493">
                  <c:v>63000</c:v>
                </c:pt>
                <c:pt idx="494">
                  <c:v>62000</c:v>
                </c:pt>
                <c:pt idx="495">
                  <c:v>61000</c:v>
                </c:pt>
                <c:pt idx="496">
                  <c:v>60000</c:v>
                </c:pt>
                <c:pt idx="497">
                  <c:v>60000</c:v>
                </c:pt>
                <c:pt idx="498">
                  <c:v>60000</c:v>
                </c:pt>
                <c:pt idx="499">
                  <c:v>60000</c:v>
                </c:pt>
                <c:pt idx="500">
                  <c:v>60000</c:v>
                </c:pt>
                <c:pt idx="501">
                  <c:v>59000</c:v>
                </c:pt>
                <c:pt idx="502">
                  <c:v>59000</c:v>
                </c:pt>
                <c:pt idx="503">
                  <c:v>59000</c:v>
                </c:pt>
                <c:pt idx="504">
                  <c:v>59000</c:v>
                </c:pt>
                <c:pt idx="505">
                  <c:v>59000</c:v>
                </c:pt>
                <c:pt idx="506">
                  <c:v>59000</c:v>
                </c:pt>
                <c:pt idx="507">
                  <c:v>59000</c:v>
                </c:pt>
                <c:pt idx="508">
                  <c:v>59000</c:v>
                </c:pt>
                <c:pt idx="509">
                  <c:v>59000</c:v>
                </c:pt>
                <c:pt idx="510">
                  <c:v>59000</c:v>
                </c:pt>
                <c:pt idx="511">
                  <c:v>59000</c:v>
                </c:pt>
                <c:pt idx="512">
                  <c:v>57000</c:v>
                </c:pt>
                <c:pt idx="513">
                  <c:v>54000</c:v>
                </c:pt>
                <c:pt idx="514">
                  <c:v>51000</c:v>
                </c:pt>
                <c:pt idx="515">
                  <c:v>51000</c:v>
                </c:pt>
                <c:pt idx="516">
                  <c:v>51000</c:v>
                </c:pt>
                <c:pt idx="517">
                  <c:v>53000</c:v>
                </c:pt>
                <c:pt idx="518">
                  <c:v>58000</c:v>
                </c:pt>
                <c:pt idx="519">
                  <c:v>59000</c:v>
                </c:pt>
                <c:pt idx="520">
                  <c:v>61000</c:v>
                </c:pt>
                <c:pt idx="521">
                  <c:v>66000</c:v>
                </c:pt>
                <c:pt idx="522">
                  <c:v>69000</c:v>
                </c:pt>
                <c:pt idx="523">
                  <c:v>79000</c:v>
                </c:pt>
                <c:pt idx="524">
                  <c:v>83000</c:v>
                </c:pt>
                <c:pt idx="525">
                  <c:v>85000</c:v>
                </c:pt>
                <c:pt idx="526">
                  <c:v>89000</c:v>
                </c:pt>
                <c:pt idx="527">
                  <c:v>91000</c:v>
                </c:pt>
                <c:pt idx="528">
                  <c:v>94000</c:v>
                </c:pt>
                <c:pt idx="529">
                  <c:v>94000</c:v>
                </c:pt>
                <c:pt idx="530">
                  <c:v>97000</c:v>
                </c:pt>
                <c:pt idx="531">
                  <c:v>99000</c:v>
                </c:pt>
                <c:pt idx="532">
                  <c:v>101000</c:v>
                </c:pt>
                <c:pt idx="533">
                  <c:v>103000</c:v>
                </c:pt>
                <c:pt idx="534">
                  <c:v>102000</c:v>
                </c:pt>
                <c:pt idx="535">
                  <c:v>102000</c:v>
                </c:pt>
                <c:pt idx="536">
                  <c:v>102000</c:v>
                </c:pt>
                <c:pt idx="537">
                  <c:v>102000</c:v>
                </c:pt>
                <c:pt idx="538">
                  <c:v>101000</c:v>
                </c:pt>
                <c:pt idx="539">
                  <c:v>99000</c:v>
                </c:pt>
                <c:pt idx="540">
                  <c:v>99000</c:v>
                </c:pt>
                <c:pt idx="541">
                  <c:v>100000</c:v>
                </c:pt>
                <c:pt idx="542">
                  <c:v>101000</c:v>
                </c:pt>
                <c:pt idx="543">
                  <c:v>101000</c:v>
                </c:pt>
                <c:pt idx="544">
                  <c:v>101000</c:v>
                </c:pt>
                <c:pt idx="545">
                  <c:v>101000</c:v>
                </c:pt>
                <c:pt idx="546">
                  <c:v>101000</c:v>
                </c:pt>
                <c:pt idx="547">
                  <c:v>104000</c:v>
                </c:pt>
                <c:pt idx="548">
                  <c:v>109000</c:v>
                </c:pt>
                <c:pt idx="549">
                  <c:v>114000</c:v>
                </c:pt>
                <c:pt idx="550">
                  <c:v>121000</c:v>
                </c:pt>
                <c:pt idx="551">
                  <c:v>126000</c:v>
                </c:pt>
                <c:pt idx="552">
                  <c:v>129000</c:v>
                </c:pt>
                <c:pt idx="553">
                  <c:v>134000</c:v>
                </c:pt>
                <c:pt idx="554">
                  <c:v>134000</c:v>
                </c:pt>
                <c:pt idx="555">
                  <c:v>135000</c:v>
                </c:pt>
                <c:pt idx="556">
                  <c:v>136000</c:v>
                </c:pt>
                <c:pt idx="557">
                  <c:v>141000</c:v>
                </c:pt>
                <c:pt idx="558">
                  <c:v>143000</c:v>
                </c:pt>
                <c:pt idx="559">
                  <c:v>144000</c:v>
                </c:pt>
                <c:pt idx="560">
                  <c:v>146000</c:v>
                </c:pt>
                <c:pt idx="561">
                  <c:v>149000</c:v>
                </c:pt>
                <c:pt idx="562">
                  <c:v>150000</c:v>
                </c:pt>
                <c:pt idx="563">
                  <c:v>152000</c:v>
                </c:pt>
                <c:pt idx="564">
                  <c:v>154000</c:v>
                </c:pt>
                <c:pt idx="565">
                  <c:v>154000</c:v>
                </c:pt>
                <c:pt idx="566">
                  <c:v>153000</c:v>
                </c:pt>
                <c:pt idx="567">
                  <c:v>152000</c:v>
                </c:pt>
                <c:pt idx="568">
                  <c:v>151000</c:v>
                </c:pt>
                <c:pt idx="569">
                  <c:v>149000</c:v>
                </c:pt>
                <c:pt idx="570">
                  <c:v>144000</c:v>
                </c:pt>
                <c:pt idx="571">
                  <c:v>145000</c:v>
                </c:pt>
                <c:pt idx="572">
                  <c:v>146000</c:v>
                </c:pt>
                <c:pt idx="573">
                  <c:v>148000</c:v>
                </c:pt>
                <c:pt idx="574">
                  <c:v>149000</c:v>
                </c:pt>
                <c:pt idx="575">
                  <c:v>149000</c:v>
                </c:pt>
                <c:pt idx="576">
                  <c:v>149000</c:v>
                </c:pt>
                <c:pt idx="577">
                  <c:v>154000</c:v>
                </c:pt>
                <c:pt idx="578">
                  <c:v>154000</c:v>
                </c:pt>
                <c:pt idx="579">
                  <c:v>154000</c:v>
                </c:pt>
                <c:pt idx="580">
                  <c:v>157000</c:v>
                </c:pt>
                <c:pt idx="581">
                  <c:v>159000</c:v>
                </c:pt>
                <c:pt idx="582">
                  <c:v>159000</c:v>
                </c:pt>
                <c:pt idx="583">
                  <c:v>159000</c:v>
                </c:pt>
                <c:pt idx="584">
                  <c:v>162000</c:v>
                </c:pt>
                <c:pt idx="585">
                  <c:v>164000</c:v>
                </c:pt>
                <c:pt idx="586">
                  <c:v>164000</c:v>
                </c:pt>
                <c:pt idx="587">
                  <c:v>164000</c:v>
                </c:pt>
                <c:pt idx="588">
                  <c:v>164000</c:v>
                </c:pt>
                <c:pt idx="589">
                  <c:v>169000</c:v>
                </c:pt>
                <c:pt idx="590">
                  <c:v>169000</c:v>
                </c:pt>
                <c:pt idx="591">
                  <c:v>168000</c:v>
                </c:pt>
                <c:pt idx="592">
                  <c:v>168000</c:v>
                </c:pt>
                <c:pt idx="593">
                  <c:v>168000</c:v>
                </c:pt>
                <c:pt idx="594">
                  <c:v>168000</c:v>
                </c:pt>
                <c:pt idx="595">
                  <c:v>168000</c:v>
                </c:pt>
                <c:pt idx="596">
                  <c:v>167000</c:v>
                </c:pt>
                <c:pt idx="597">
                  <c:v>164000</c:v>
                </c:pt>
                <c:pt idx="598">
                  <c:v>156000</c:v>
                </c:pt>
                <c:pt idx="599">
                  <c:v>149000</c:v>
                </c:pt>
                <c:pt idx="600">
                  <c:v>149000</c:v>
                </c:pt>
                <c:pt idx="601">
                  <c:v>146000</c:v>
                </c:pt>
                <c:pt idx="602">
                  <c:v>144000</c:v>
                </c:pt>
                <c:pt idx="603">
                  <c:v>142000</c:v>
                </c:pt>
                <c:pt idx="604">
                  <c:v>141000</c:v>
                </c:pt>
                <c:pt idx="605">
                  <c:v>141000</c:v>
                </c:pt>
                <c:pt idx="606">
                  <c:v>142000</c:v>
                </c:pt>
                <c:pt idx="607">
                  <c:v>146000</c:v>
                </c:pt>
                <c:pt idx="608">
                  <c:v>146000</c:v>
                </c:pt>
                <c:pt idx="609">
                  <c:v>146000</c:v>
                </c:pt>
                <c:pt idx="610">
                  <c:v>149000</c:v>
                </c:pt>
                <c:pt idx="611">
                  <c:v>151000</c:v>
                </c:pt>
                <c:pt idx="612">
                  <c:v>156000</c:v>
                </c:pt>
                <c:pt idx="613">
                  <c:v>161000</c:v>
                </c:pt>
                <c:pt idx="614">
                  <c:v>162000</c:v>
                </c:pt>
                <c:pt idx="615">
                  <c:v>164000</c:v>
                </c:pt>
                <c:pt idx="616">
                  <c:v>166000</c:v>
                </c:pt>
                <c:pt idx="617">
                  <c:v>169000</c:v>
                </c:pt>
                <c:pt idx="618">
                  <c:v>169000</c:v>
                </c:pt>
                <c:pt idx="619">
                  <c:v>170000</c:v>
                </c:pt>
                <c:pt idx="620">
                  <c:v>170000</c:v>
                </c:pt>
                <c:pt idx="621">
                  <c:v>170000</c:v>
                </c:pt>
                <c:pt idx="622">
                  <c:v>171000</c:v>
                </c:pt>
                <c:pt idx="623">
                  <c:v>176000</c:v>
                </c:pt>
                <c:pt idx="624">
                  <c:v>176000</c:v>
                </c:pt>
                <c:pt idx="625">
                  <c:v>176000</c:v>
                </c:pt>
                <c:pt idx="626">
                  <c:v>176000</c:v>
                </c:pt>
                <c:pt idx="627">
                  <c:v>174000</c:v>
                </c:pt>
                <c:pt idx="628">
                  <c:v>171000</c:v>
                </c:pt>
                <c:pt idx="629">
                  <c:v>171000</c:v>
                </c:pt>
                <c:pt idx="630">
                  <c:v>167000</c:v>
                </c:pt>
                <c:pt idx="631">
                  <c:v>164000</c:v>
                </c:pt>
                <c:pt idx="632">
                  <c:v>161000</c:v>
                </c:pt>
                <c:pt idx="633">
                  <c:v>161000</c:v>
                </c:pt>
                <c:pt idx="634">
                  <c:v>161000</c:v>
                </c:pt>
                <c:pt idx="635">
                  <c:v>161000</c:v>
                </c:pt>
                <c:pt idx="636">
                  <c:v>169000</c:v>
                </c:pt>
                <c:pt idx="637">
                  <c:v>171000</c:v>
                </c:pt>
                <c:pt idx="638">
                  <c:v>171000</c:v>
                </c:pt>
                <c:pt idx="639">
                  <c:v>176000</c:v>
                </c:pt>
                <c:pt idx="640">
                  <c:v>181000</c:v>
                </c:pt>
                <c:pt idx="641">
                  <c:v>196000</c:v>
                </c:pt>
                <c:pt idx="642">
                  <c:v>204000</c:v>
                </c:pt>
                <c:pt idx="643">
                  <c:v>204000</c:v>
                </c:pt>
                <c:pt idx="644">
                  <c:v>206000</c:v>
                </c:pt>
                <c:pt idx="645">
                  <c:v>209000</c:v>
                </c:pt>
                <c:pt idx="646">
                  <c:v>211000</c:v>
                </c:pt>
                <c:pt idx="647">
                  <c:v>221000</c:v>
                </c:pt>
                <c:pt idx="648">
                  <c:v>226000</c:v>
                </c:pt>
                <c:pt idx="649">
                  <c:v>227000</c:v>
                </c:pt>
                <c:pt idx="650">
                  <c:v>229000</c:v>
                </c:pt>
                <c:pt idx="651">
                  <c:v>231000</c:v>
                </c:pt>
                <c:pt idx="652">
                  <c:v>231000</c:v>
                </c:pt>
                <c:pt idx="653">
                  <c:v>231000</c:v>
                </c:pt>
                <c:pt idx="654">
                  <c:v>232000</c:v>
                </c:pt>
                <c:pt idx="655">
                  <c:v>234000</c:v>
                </c:pt>
                <c:pt idx="656">
                  <c:v>236000</c:v>
                </c:pt>
                <c:pt idx="657">
                  <c:v>239000</c:v>
                </c:pt>
                <c:pt idx="658">
                  <c:v>239000</c:v>
                </c:pt>
                <c:pt idx="659">
                  <c:v>236000</c:v>
                </c:pt>
                <c:pt idx="660">
                  <c:v>234000</c:v>
                </c:pt>
                <c:pt idx="661">
                  <c:v>234000</c:v>
                </c:pt>
                <c:pt idx="662">
                  <c:v>224000</c:v>
                </c:pt>
                <c:pt idx="663">
                  <c:v>219000</c:v>
                </c:pt>
                <c:pt idx="664">
                  <c:v>214000</c:v>
                </c:pt>
                <c:pt idx="665">
                  <c:v>199000</c:v>
                </c:pt>
                <c:pt idx="666">
                  <c:v>194000</c:v>
                </c:pt>
                <c:pt idx="667">
                  <c:v>191000</c:v>
                </c:pt>
                <c:pt idx="668">
                  <c:v>185000</c:v>
                </c:pt>
                <c:pt idx="669">
                  <c:v>183000</c:v>
                </c:pt>
                <c:pt idx="670">
                  <c:v>181000</c:v>
                </c:pt>
                <c:pt idx="671">
                  <c:v>181000</c:v>
                </c:pt>
                <c:pt idx="672">
                  <c:v>179000</c:v>
                </c:pt>
                <c:pt idx="673">
                  <c:v>179000</c:v>
                </c:pt>
                <c:pt idx="674">
                  <c:v>174000</c:v>
                </c:pt>
                <c:pt idx="675">
                  <c:v>171000</c:v>
                </c:pt>
                <c:pt idx="676">
                  <c:v>171000</c:v>
                </c:pt>
                <c:pt idx="677">
                  <c:v>171000</c:v>
                </c:pt>
                <c:pt idx="678">
                  <c:v>171000</c:v>
                </c:pt>
                <c:pt idx="679">
                  <c:v>169000</c:v>
                </c:pt>
                <c:pt idx="680">
                  <c:v>169000</c:v>
                </c:pt>
                <c:pt idx="681">
                  <c:v>169000</c:v>
                </c:pt>
                <c:pt idx="682">
                  <c:v>169000</c:v>
                </c:pt>
                <c:pt idx="683">
                  <c:v>167000</c:v>
                </c:pt>
                <c:pt idx="684">
                  <c:v>164000</c:v>
                </c:pt>
                <c:pt idx="685">
                  <c:v>164000</c:v>
                </c:pt>
                <c:pt idx="686">
                  <c:v>164000</c:v>
                </c:pt>
                <c:pt idx="687">
                  <c:v>163000</c:v>
                </c:pt>
                <c:pt idx="688">
                  <c:v>161000</c:v>
                </c:pt>
                <c:pt idx="689">
                  <c:v>161000</c:v>
                </c:pt>
                <c:pt idx="690">
                  <c:v>161000</c:v>
                </c:pt>
                <c:pt idx="691">
                  <c:v>159000</c:v>
                </c:pt>
                <c:pt idx="692">
                  <c:v>159000</c:v>
                </c:pt>
                <c:pt idx="693">
                  <c:v>159000</c:v>
                </c:pt>
                <c:pt idx="694">
                  <c:v>159000</c:v>
                </c:pt>
                <c:pt idx="695">
                  <c:v>159000</c:v>
                </c:pt>
                <c:pt idx="696">
                  <c:v>159000</c:v>
                </c:pt>
                <c:pt idx="697">
                  <c:v>159000</c:v>
                </c:pt>
                <c:pt idx="698">
                  <c:v>159000</c:v>
                </c:pt>
                <c:pt idx="699">
                  <c:v>159000</c:v>
                </c:pt>
                <c:pt idx="700">
                  <c:v>159000</c:v>
                </c:pt>
                <c:pt idx="701">
                  <c:v>159000</c:v>
                </c:pt>
                <c:pt idx="702">
                  <c:v>159000</c:v>
                </c:pt>
                <c:pt idx="703">
                  <c:v>159000</c:v>
                </c:pt>
                <c:pt idx="704">
                  <c:v>160000</c:v>
                </c:pt>
                <c:pt idx="705">
                  <c:v>160000</c:v>
                </c:pt>
                <c:pt idx="706">
                  <c:v>160000</c:v>
                </c:pt>
                <c:pt idx="707">
                  <c:v>160000</c:v>
                </c:pt>
                <c:pt idx="708">
                  <c:v>160000</c:v>
                </c:pt>
                <c:pt idx="709">
                  <c:v>161000</c:v>
                </c:pt>
                <c:pt idx="710">
                  <c:v>161000</c:v>
                </c:pt>
                <c:pt idx="711">
                  <c:v>161000</c:v>
                </c:pt>
                <c:pt idx="712">
                  <c:v>162000</c:v>
                </c:pt>
                <c:pt idx="713">
                  <c:v>162000</c:v>
                </c:pt>
                <c:pt idx="714">
                  <c:v>162000</c:v>
                </c:pt>
                <c:pt idx="715">
                  <c:v>161000</c:v>
                </c:pt>
                <c:pt idx="716">
                  <c:v>159000</c:v>
                </c:pt>
                <c:pt idx="717">
                  <c:v>159000</c:v>
                </c:pt>
                <c:pt idx="718">
                  <c:v>159000</c:v>
                </c:pt>
                <c:pt idx="719">
                  <c:v>159000</c:v>
                </c:pt>
                <c:pt idx="720">
                  <c:v>159000</c:v>
                </c:pt>
                <c:pt idx="721">
                  <c:v>159000</c:v>
                </c:pt>
                <c:pt idx="722">
                  <c:v>157000</c:v>
                </c:pt>
                <c:pt idx="723">
                  <c:v>156000</c:v>
                </c:pt>
                <c:pt idx="724">
                  <c:v>151000</c:v>
                </c:pt>
                <c:pt idx="725">
                  <c:v>151000</c:v>
                </c:pt>
                <c:pt idx="726">
                  <c:v>151000</c:v>
                </c:pt>
                <c:pt idx="727">
                  <c:v>151000</c:v>
                </c:pt>
                <c:pt idx="728">
                  <c:v>151000</c:v>
                </c:pt>
                <c:pt idx="729">
                  <c:v>151000</c:v>
                </c:pt>
                <c:pt idx="730">
                  <c:v>151000</c:v>
                </c:pt>
                <c:pt idx="731">
                  <c:v>151000</c:v>
                </c:pt>
                <c:pt idx="732">
                  <c:v>151000</c:v>
                </c:pt>
                <c:pt idx="733">
                  <c:v>151000</c:v>
                </c:pt>
                <c:pt idx="734">
                  <c:v>152000</c:v>
                </c:pt>
                <c:pt idx="735">
                  <c:v>154000</c:v>
                </c:pt>
                <c:pt idx="736">
                  <c:v>154000</c:v>
                </c:pt>
                <c:pt idx="737">
                  <c:v>154000</c:v>
                </c:pt>
                <c:pt idx="738">
                  <c:v>154000</c:v>
                </c:pt>
                <c:pt idx="739">
                  <c:v>154000</c:v>
                </c:pt>
                <c:pt idx="740">
                  <c:v>154000</c:v>
                </c:pt>
                <c:pt idx="741">
                  <c:v>154000</c:v>
                </c:pt>
                <c:pt idx="742">
                  <c:v>149000</c:v>
                </c:pt>
                <c:pt idx="743">
                  <c:v>147000</c:v>
                </c:pt>
                <c:pt idx="744">
                  <c:v>142000</c:v>
                </c:pt>
                <c:pt idx="745">
                  <c:v>139000</c:v>
                </c:pt>
                <c:pt idx="746">
                  <c:v>129000</c:v>
                </c:pt>
                <c:pt idx="747">
                  <c:v>126500</c:v>
                </c:pt>
                <c:pt idx="748">
                  <c:v>116000</c:v>
                </c:pt>
                <c:pt idx="749">
                  <c:v>114000</c:v>
                </c:pt>
                <c:pt idx="750">
                  <c:v>109000</c:v>
                </c:pt>
                <c:pt idx="751">
                  <c:v>99000</c:v>
                </c:pt>
                <c:pt idx="752">
                  <c:v>99000</c:v>
                </c:pt>
                <c:pt idx="753">
                  <c:v>99000</c:v>
                </c:pt>
                <c:pt idx="754">
                  <c:v>97000</c:v>
                </c:pt>
                <c:pt idx="755">
                  <c:v>95000</c:v>
                </c:pt>
                <c:pt idx="756">
                  <c:v>95000</c:v>
                </c:pt>
                <c:pt idx="757">
                  <c:v>94000</c:v>
                </c:pt>
                <c:pt idx="758">
                  <c:v>92000</c:v>
                </c:pt>
                <c:pt idx="759">
                  <c:v>91000</c:v>
                </c:pt>
                <c:pt idx="760">
                  <c:v>89000</c:v>
                </c:pt>
                <c:pt idx="761">
                  <c:v>89000</c:v>
                </c:pt>
                <c:pt idx="762">
                  <c:v>87000</c:v>
                </c:pt>
                <c:pt idx="763">
                  <c:v>87000</c:v>
                </c:pt>
                <c:pt idx="764">
                  <c:v>87000</c:v>
                </c:pt>
                <c:pt idx="765">
                  <c:v>87000</c:v>
                </c:pt>
                <c:pt idx="766">
                  <c:v>80000</c:v>
                </c:pt>
                <c:pt idx="767">
                  <c:v>80000</c:v>
                </c:pt>
                <c:pt idx="768">
                  <c:v>80000</c:v>
                </c:pt>
                <c:pt idx="769">
                  <c:v>79000</c:v>
                </c:pt>
                <c:pt idx="770">
                  <c:v>79000</c:v>
                </c:pt>
                <c:pt idx="771">
                  <c:v>77000</c:v>
                </c:pt>
                <c:pt idx="772">
                  <c:v>75000</c:v>
                </c:pt>
                <c:pt idx="773">
                  <c:v>74000</c:v>
                </c:pt>
                <c:pt idx="774">
                  <c:v>74000</c:v>
                </c:pt>
                <c:pt idx="775">
                  <c:v>71000</c:v>
                </c:pt>
                <c:pt idx="776">
                  <c:v>71000</c:v>
                </c:pt>
                <c:pt idx="777">
                  <c:v>71000</c:v>
                </c:pt>
                <c:pt idx="778">
                  <c:v>71000</c:v>
                </c:pt>
                <c:pt idx="779">
                  <c:v>71000</c:v>
                </c:pt>
                <c:pt idx="780">
                  <c:v>71000</c:v>
                </c:pt>
                <c:pt idx="781">
                  <c:v>71000</c:v>
                </c:pt>
                <c:pt idx="782">
                  <c:v>70000</c:v>
                </c:pt>
                <c:pt idx="783">
                  <c:v>70000</c:v>
                </c:pt>
                <c:pt idx="784">
                  <c:v>70000</c:v>
                </c:pt>
                <c:pt idx="785">
                  <c:v>70000</c:v>
                </c:pt>
                <c:pt idx="786">
                  <c:v>69000</c:v>
                </c:pt>
                <c:pt idx="787">
                  <c:v>69000</c:v>
                </c:pt>
                <c:pt idx="788">
                  <c:v>69000</c:v>
                </c:pt>
                <c:pt idx="789">
                  <c:v>69000</c:v>
                </c:pt>
                <c:pt idx="790">
                  <c:v>69000</c:v>
                </c:pt>
                <c:pt idx="791">
                  <c:v>69000</c:v>
                </c:pt>
                <c:pt idx="792">
                  <c:v>69000</c:v>
                </c:pt>
                <c:pt idx="793">
                  <c:v>69000</c:v>
                </c:pt>
                <c:pt idx="794">
                  <c:v>69000</c:v>
                </c:pt>
                <c:pt idx="795">
                  <c:v>69000</c:v>
                </c:pt>
                <c:pt idx="796">
                  <c:v>67000</c:v>
                </c:pt>
                <c:pt idx="797">
                  <c:v>67000</c:v>
                </c:pt>
                <c:pt idx="798">
                  <c:v>67000</c:v>
                </c:pt>
                <c:pt idx="799">
                  <c:v>66000</c:v>
                </c:pt>
              </c:numCache>
            </c:numRef>
          </c:val>
        </c:ser>
        <c:marker val="1"/>
        <c:axId val="354364800"/>
        <c:axId val="354530432"/>
      </c:lineChart>
      <c:dateAx>
        <c:axId val="354361728"/>
        <c:scaling>
          <c:orientation val="minMax"/>
        </c:scaling>
        <c:axPos val="b"/>
        <c:numFmt formatCode="[$-409]mmm/yy;@" sourceLinked="0"/>
        <c:majorTickMark val="in"/>
        <c:tickLblPos val="nextTo"/>
        <c:spPr>
          <a:ln w="3175">
            <a:solidFill>
              <a:srgbClr val="005082"/>
            </a:solidFill>
            <a:prstDash val="solid"/>
          </a:ln>
        </c:spPr>
        <c:txPr>
          <a:bodyPr rot="-5400000" vert="horz"/>
          <a:lstStyle/>
          <a:p>
            <a:pPr>
              <a:defRPr sz="800" b="0" i="0" u="none" strike="noStrike" baseline="0">
                <a:solidFill>
                  <a:srgbClr val="005082"/>
                </a:solidFill>
                <a:latin typeface="Arial"/>
                <a:ea typeface="Arial"/>
                <a:cs typeface="Arial"/>
              </a:defRPr>
            </a:pPr>
            <a:endParaRPr lang="zh-CN"/>
          </a:p>
        </c:txPr>
        <c:crossAx val="354363264"/>
        <c:crosses val="autoZero"/>
        <c:auto val="1"/>
        <c:lblOffset val="100"/>
        <c:baseTimeUnit val="days"/>
        <c:majorUnit val="3"/>
        <c:majorTimeUnit val="months"/>
        <c:minorUnit val="1"/>
        <c:minorTimeUnit val="months"/>
      </c:dateAx>
      <c:valAx>
        <c:axId val="354363264"/>
        <c:scaling>
          <c:orientation val="minMax"/>
        </c:scaling>
        <c:axPos val="l"/>
        <c:numFmt formatCode="#,##0_ " sourceLinked="0"/>
        <c:majorTickMark val="in"/>
        <c:tickLblPos val="nextTo"/>
        <c:spPr>
          <a:ln w="3175">
            <a:solidFill>
              <a:srgbClr val="005082"/>
            </a:solidFill>
            <a:prstDash val="solid"/>
          </a:ln>
        </c:spPr>
        <c:txPr>
          <a:bodyPr rot="0" vert="horz"/>
          <a:lstStyle/>
          <a:p>
            <a:pPr>
              <a:defRPr sz="800" b="0" i="0" u="none" strike="noStrike" baseline="0">
                <a:solidFill>
                  <a:srgbClr val="005082"/>
                </a:solidFill>
                <a:latin typeface="Arial"/>
                <a:ea typeface="Arial"/>
                <a:cs typeface="Arial"/>
              </a:defRPr>
            </a:pPr>
            <a:endParaRPr lang="zh-CN"/>
          </a:p>
        </c:txPr>
        <c:crossAx val="354361728"/>
        <c:crosses val="autoZero"/>
        <c:crossBetween val="between"/>
      </c:valAx>
      <c:catAx>
        <c:axId val="354364800"/>
        <c:scaling>
          <c:orientation val="minMax"/>
        </c:scaling>
        <c:delete val="1"/>
        <c:axPos val="b"/>
        <c:tickLblPos val="none"/>
        <c:crossAx val="354530432"/>
        <c:crosses val="autoZero"/>
        <c:auto val="1"/>
        <c:lblAlgn val="ctr"/>
        <c:lblOffset val="100"/>
      </c:catAx>
      <c:valAx>
        <c:axId val="354530432"/>
        <c:scaling>
          <c:orientation val="minMax"/>
        </c:scaling>
        <c:axPos val="r"/>
        <c:numFmt formatCode="_ * #,##0_ ;_ * \-#,##0_ ;_ * &quot;-&quot;??_ ;_ @_ " sourceLinked="1"/>
        <c:majorTickMark val="in"/>
        <c:tickLblPos val="nextTo"/>
        <c:spPr>
          <a:ln w="3175">
            <a:solidFill>
              <a:srgbClr val="005082"/>
            </a:solidFill>
            <a:prstDash val="solid"/>
          </a:ln>
        </c:spPr>
        <c:txPr>
          <a:bodyPr rot="0" vert="horz"/>
          <a:lstStyle/>
          <a:p>
            <a:pPr>
              <a:defRPr sz="800" b="0" i="0" u="none" strike="noStrike" baseline="0">
                <a:solidFill>
                  <a:srgbClr val="005082"/>
                </a:solidFill>
                <a:latin typeface="Arial"/>
                <a:ea typeface="Arial"/>
                <a:cs typeface="Arial"/>
              </a:defRPr>
            </a:pPr>
            <a:endParaRPr lang="zh-CN"/>
          </a:p>
        </c:txPr>
        <c:crossAx val="354364800"/>
        <c:crosses val="max"/>
        <c:crossBetween val="between"/>
      </c:valAx>
      <c:spPr>
        <a:noFill/>
        <a:ln w="25400">
          <a:noFill/>
        </a:ln>
      </c:spPr>
    </c:plotArea>
    <c:legend>
      <c:legendPos val="r"/>
      <c:layout>
        <c:manualLayout>
          <c:xMode val="edge"/>
          <c:yMode val="edge"/>
          <c:x val="9.9601593625498266E-3"/>
          <c:y val="1.7241379310344827E-2"/>
          <c:w val="0.54183266932270857"/>
          <c:h val="0.13103448275862153"/>
        </c:manualLayout>
      </c:layout>
      <c:spPr>
        <a:noFill/>
        <a:ln w="25400">
          <a:noFill/>
        </a:ln>
      </c:spPr>
      <c:txPr>
        <a:bodyPr/>
        <a:lstStyle/>
        <a:p>
          <a:pPr>
            <a:defRPr sz="825" b="0" i="0" u="none" strike="noStrike" baseline="0">
              <a:solidFill>
                <a:srgbClr val="333333"/>
              </a:solidFill>
              <a:latin typeface="楷体_GB2312"/>
              <a:ea typeface="楷体_GB2312"/>
              <a:cs typeface="楷体_GB2312"/>
            </a:defRPr>
          </a:pPr>
          <a:endParaRPr lang="zh-CN"/>
        </a:p>
      </c:txPr>
    </c:legend>
    <c:plotVisOnly val="1"/>
    <c:dispBlanksAs val="gap"/>
  </c:chart>
  <c:spPr>
    <a:solidFill>
      <a:srgbClr val="FFFFFF"/>
    </a:solidFill>
    <a:ln w="3175">
      <a:solidFill>
        <a:srgbClr val="333333"/>
      </a:solidFill>
      <a:prstDash val="solid"/>
    </a:ln>
  </c:spPr>
  <c:txPr>
    <a:bodyPr/>
    <a:lstStyle/>
    <a:p>
      <a:pPr>
        <a:defRPr sz="800" b="0" i="0" u="none" strike="noStrike" baseline="0">
          <a:solidFill>
            <a:srgbClr val="005082"/>
          </a:solidFill>
          <a:latin typeface="Arial"/>
          <a:ea typeface="Arial"/>
          <a:cs typeface="Arial"/>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7.0143884892086394E-2"/>
          <c:y val="6.4516129032258132E-2"/>
          <c:w val="0.8579136690647482"/>
          <c:h val="0.77956989247312469"/>
        </c:manualLayout>
      </c:layout>
      <c:lineChart>
        <c:grouping val="standard"/>
        <c:ser>
          <c:idx val="0"/>
          <c:order val="1"/>
          <c:tx>
            <c:strRef>
              <c:f>Sheet1!$C$1</c:f>
              <c:strCache>
                <c:ptCount val="1"/>
                <c:pt idx="0">
                  <c:v>出生率</c:v>
                </c:pt>
              </c:strCache>
            </c:strRef>
          </c:tx>
          <c:spPr>
            <a:ln w="12700">
              <a:solidFill>
                <a:srgbClr val="FF0000"/>
              </a:solidFill>
              <a:prstDash val="solid"/>
            </a:ln>
          </c:spPr>
          <c:marker>
            <c:symbol val="none"/>
          </c:marker>
          <c:cat>
            <c:numRef>
              <c:f>Sheet1!$A$2:$A$40</c:f>
              <c:numCache>
                <c:formatCode>yyyy/m/d</c:formatCode>
                <c:ptCount val="39"/>
                <c:pt idx="0">
                  <c:v>29221</c:v>
                </c:pt>
                <c:pt idx="1">
                  <c:v>29587</c:v>
                </c:pt>
                <c:pt idx="2">
                  <c:v>29952</c:v>
                </c:pt>
                <c:pt idx="3">
                  <c:v>30317</c:v>
                </c:pt>
                <c:pt idx="4">
                  <c:v>30682</c:v>
                </c:pt>
                <c:pt idx="5">
                  <c:v>31048</c:v>
                </c:pt>
                <c:pt idx="6">
                  <c:v>31413</c:v>
                </c:pt>
                <c:pt idx="7">
                  <c:v>31778</c:v>
                </c:pt>
                <c:pt idx="8">
                  <c:v>32143</c:v>
                </c:pt>
                <c:pt idx="9">
                  <c:v>32509</c:v>
                </c:pt>
                <c:pt idx="10">
                  <c:v>32874</c:v>
                </c:pt>
                <c:pt idx="11">
                  <c:v>33239</c:v>
                </c:pt>
                <c:pt idx="12">
                  <c:v>33604</c:v>
                </c:pt>
                <c:pt idx="13">
                  <c:v>33970</c:v>
                </c:pt>
                <c:pt idx="14">
                  <c:v>34335</c:v>
                </c:pt>
                <c:pt idx="15">
                  <c:v>34700</c:v>
                </c:pt>
                <c:pt idx="16">
                  <c:v>35065</c:v>
                </c:pt>
                <c:pt idx="17">
                  <c:v>35431</c:v>
                </c:pt>
                <c:pt idx="18">
                  <c:v>35796</c:v>
                </c:pt>
                <c:pt idx="19">
                  <c:v>36161</c:v>
                </c:pt>
                <c:pt idx="20">
                  <c:v>36526</c:v>
                </c:pt>
                <c:pt idx="21">
                  <c:v>36892</c:v>
                </c:pt>
                <c:pt idx="22">
                  <c:v>37257</c:v>
                </c:pt>
                <c:pt idx="23">
                  <c:v>37622</c:v>
                </c:pt>
                <c:pt idx="24">
                  <c:v>37987</c:v>
                </c:pt>
                <c:pt idx="25">
                  <c:v>38353</c:v>
                </c:pt>
                <c:pt idx="26">
                  <c:v>38718</c:v>
                </c:pt>
                <c:pt idx="27">
                  <c:v>39083</c:v>
                </c:pt>
                <c:pt idx="28">
                  <c:v>39448</c:v>
                </c:pt>
                <c:pt idx="29">
                  <c:v>39814</c:v>
                </c:pt>
                <c:pt idx="30">
                  <c:v>40179</c:v>
                </c:pt>
                <c:pt idx="31">
                  <c:v>40544</c:v>
                </c:pt>
                <c:pt idx="32">
                  <c:v>40909</c:v>
                </c:pt>
                <c:pt idx="33">
                  <c:v>41275</c:v>
                </c:pt>
                <c:pt idx="34">
                  <c:v>41640</c:v>
                </c:pt>
                <c:pt idx="35">
                  <c:v>42005</c:v>
                </c:pt>
                <c:pt idx="36">
                  <c:v>42370</c:v>
                </c:pt>
                <c:pt idx="37">
                  <c:v>42736</c:v>
                </c:pt>
                <c:pt idx="38">
                  <c:v>43101</c:v>
                </c:pt>
              </c:numCache>
            </c:numRef>
          </c:cat>
          <c:val>
            <c:numRef>
              <c:f>Sheet1!$C$2:$C$40</c:f>
              <c:numCache>
                <c:formatCode>General</c:formatCode>
                <c:ptCount val="39"/>
                <c:pt idx="0">
                  <c:v>1.1870000000000021E-2</c:v>
                </c:pt>
                <c:pt idx="1">
                  <c:v>1.4550000000000002E-2</c:v>
                </c:pt>
                <c:pt idx="2">
                  <c:v>1.5679999999999999E-2</c:v>
                </c:pt>
                <c:pt idx="3">
                  <c:v>1.3290000000000001E-2</c:v>
                </c:pt>
                <c:pt idx="4">
                  <c:v>1.3080000000000041E-2</c:v>
                </c:pt>
                <c:pt idx="5">
                  <c:v>1.4260000000000005E-2</c:v>
                </c:pt>
                <c:pt idx="6">
                  <c:v>1.5570000000000007E-2</c:v>
                </c:pt>
                <c:pt idx="7">
                  <c:v>1.6610000000000003E-2</c:v>
                </c:pt>
                <c:pt idx="8">
                  <c:v>1.5730000000000001E-2</c:v>
                </c:pt>
                <c:pt idx="9">
                  <c:v>1.5040000000000041E-2</c:v>
                </c:pt>
                <c:pt idx="10">
                  <c:v>1.4390000000000002E-2</c:v>
                </c:pt>
                <c:pt idx="11">
                  <c:v>1.2980000000000021E-2</c:v>
                </c:pt>
                <c:pt idx="12">
                  <c:v>1.1599999999999996E-2</c:v>
                </c:pt>
                <c:pt idx="13">
                  <c:v>1.1450000000000005E-2</c:v>
                </c:pt>
                <c:pt idx="14">
                  <c:v>1.1209999999999999E-2</c:v>
                </c:pt>
                <c:pt idx="15">
                  <c:v>1.0550000000000002E-2</c:v>
                </c:pt>
                <c:pt idx="16">
                  <c:v>1.0420000000000007E-2</c:v>
                </c:pt>
                <c:pt idx="17">
                  <c:v>1.005999999999993E-2</c:v>
                </c:pt>
                <c:pt idx="18">
                  <c:v>9.1400000000000006E-3</c:v>
                </c:pt>
                <c:pt idx="19">
                  <c:v>8.1800000000000067E-3</c:v>
                </c:pt>
                <c:pt idx="20">
                  <c:v>7.5800000000000329E-3</c:v>
                </c:pt>
                <c:pt idx="21">
                  <c:v>6.9500000000000343E-3</c:v>
                </c:pt>
                <c:pt idx="22">
                  <c:v>6.4500000000000347E-3</c:v>
                </c:pt>
                <c:pt idx="23">
                  <c:v>6.0100000000000023E-3</c:v>
                </c:pt>
                <c:pt idx="24">
                  <c:v>5.8700000000000124E-3</c:v>
                </c:pt>
                <c:pt idx="25">
                  <c:v>5.8900000000000011E-3</c:v>
                </c:pt>
                <c:pt idx="26">
                  <c:v>5.2800000000000034E-3</c:v>
                </c:pt>
                <c:pt idx="27">
                  <c:v>5.1700000000000114E-3</c:v>
                </c:pt>
                <c:pt idx="28">
                  <c:v>5.0800000000000133E-3</c:v>
                </c:pt>
                <c:pt idx="29">
                  <c:v>5.0500000000000024E-3</c:v>
                </c:pt>
                <c:pt idx="30">
                  <c:v>5.0000000000000114E-3</c:v>
                </c:pt>
              </c:numCache>
            </c:numRef>
          </c:val>
          <c:smooth val="1"/>
        </c:ser>
        <c:marker val="1"/>
        <c:axId val="380950784"/>
        <c:axId val="384831488"/>
      </c:lineChart>
      <c:lineChart>
        <c:grouping val="standard"/>
        <c:ser>
          <c:idx val="3"/>
          <c:order val="0"/>
          <c:tx>
            <c:strRef>
              <c:f>Sheet1!$B$1</c:f>
              <c:strCache>
                <c:ptCount val="1"/>
                <c:pt idx="0">
                  <c:v>新开工(千套，右轴)</c:v>
                </c:pt>
              </c:strCache>
            </c:strRef>
          </c:tx>
          <c:spPr>
            <a:ln w="25399">
              <a:solidFill>
                <a:srgbClr val="0000FF"/>
              </a:solidFill>
              <a:prstDash val="solid"/>
            </a:ln>
          </c:spPr>
          <c:marker>
            <c:symbol val="none"/>
          </c:marker>
          <c:cat>
            <c:numRef>
              <c:f>Sheet1!$A$2:$A$40</c:f>
              <c:numCache>
                <c:formatCode>yyyy/m/d</c:formatCode>
                <c:ptCount val="39"/>
                <c:pt idx="0">
                  <c:v>29221</c:v>
                </c:pt>
                <c:pt idx="1">
                  <c:v>29587</c:v>
                </c:pt>
                <c:pt idx="2">
                  <c:v>29952</c:v>
                </c:pt>
                <c:pt idx="3">
                  <c:v>30317</c:v>
                </c:pt>
                <c:pt idx="4">
                  <c:v>30682</c:v>
                </c:pt>
                <c:pt idx="5">
                  <c:v>31048</c:v>
                </c:pt>
                <c:pt idx="6">
                  <c:v>31413</c:v>
                </c:pt>
                <c:pt idx="7">
                  <c:v>31778</c:v>
                </c:pt>
                <c:pt idx="8">
                  <c:v>32143</c:v>
                </c:pt>
                <c:pt idx="9">
                  <c:v>32509</c:v>
                </c:pt>
                <c:pt idx="10">
                  <c:v>32874</c:v>
                </c:pt>
                <c:pt idx="11">
                  <c:v>33239</c:v>
                </c:pt>
                <c:pt idx="12">
                  <c:v>33604</c:v>
                </c:pt>
                <c:pt idx="13">
                  <c:v>33970</c:v>
                </c:pt>
                <c:pt idx="14">
                  <c:v>34335</c:v>
                </c:pt>
                <c:pt idx="15">
                  <c:v>34700</c:v>
                </c:pt>
                <c:pt idx="16">
                  <c:v>35065</c:v>
                </c:pt>
                <c:pt idx="17">
                  <c:v>35431</c:v>
                </c:pt>
                <c:pt idx="18">
                  <c:v>35796</c:v>
                </c:pt>
                <c:pt idx="19">
                  <c:v>36161</c:v>
                </c:pt>
                <c:pt idx="20">
                  <c:v>36526</c:v>
                </c:pt>
                <c:pt idx="21">
                  <c:v>36892</c:v>
                </c:pt>
                <c:pt idx="22">
                  <c:v>37257</c:v>
                </c:pt>
                <c:pt idx="23">
                  <c:v>37622</c:v>
                </c:pt>
                <c:pt idx="24">
                  <c:v>37987</c:v>
                </c:pt>
                <c:pt idx="25">
                  <c:v>38353</c:v>
                </c:pt>
                <c:pt idx="26">
                  <c:v>38718</c:v>
                </c:pt>
                <c:pt idx="27">
                  <c:v>39083</c:v>
                </c:pt>
                <c:pt idx="28">
                  <c:v>39448</c:v>
                </c:pt>
                <c:pt idx="29">
                  <c:v>39814</c:v>
                </c:pt>
                <c:pt idx="30">
                  <c:v>40179</c:v>
                </c:pt>
                <c:pt idx="31">
                  <c:v>40544</c:v>
                </c:pt>
                <c:pt idx="32">
                  <c:v>40909</c:v>
                </c:pt>
                <c:pt idx="33">
                  <c:v>41275</c:v>
                </c:pt>
                <c:pt idx="34">
                  <c:v>41640</c:v>
                </c:pt>
                <c:pt idx="35">
                  <c:v>42005</c:v>
                </c:pt>
                <c:pt idx="36">
                  <c:v>42370</c:v>
                </c:pt>
                <c:pt idx="37">
                  <c:v>42736</c:v>
                </c:pt>
                <c:pt idx="38">
                  <c:v>43101</c:v>
                </c:pt>
              </c:numCache>
            </c:numRef>
          </c:cat>
          <c:val>
            <c:numRef>
              <c:f>Sheet1!$B$2:$B$40</c:f>
              <c:numCache>
                <c:formatCode>General</c:formatCode>
                <c:ptCount val="39"/>
                <c:pt idx="18">
                  <c:v>1400</c:v>
                </c:pt>
                <c:pt idx="19">
                  <c:v>2000</c:v>
                </c:pt>
                <c:pt idx="20">
                  <c:v>2300</c:v>
                </c:pt>
                <c:pt idx="21">
                  <c:v>3000</c:v>
                </c:pt>
                <c:pt idx="22">
                  <c:v>3700</c:v>
                </c:pt>
                <c:pt idx="23">
                  <c:v>4300</c:v>
                </c:pt>
                <c:pt idx="24">
                  <c:v>5500</c:v>
                </c:pt>
                <c:pt idx="25">
                  <c:v>6000</c:v>
                </c:pt>
                <c:pt idx="26">
                  <c:v>6800</c:v>
                </c:pt>
                <c:pt idx="27">
                  <c:v>7900</c:v>
                </c:pt>
                <c:pt idx="28">
                  <c:v>9500</c:v>
                </c:pt>
                <c:pt idx="29">
                  <c:v>10300</c:v>
                </c:pt>
                <c:pt idx="30">
                  <c:v>11500</c:v>
                </c:pt>
              </c:numCache>
            </c:numRef>
          </c:val>
          <c:smooth val="1"/>
        </c:ser>
        <c:marker val="1"/>
        <c:axId val="384833024"/>
        <c:axId val="384834560"/>
      </c:lineChart>
      <c:dateAx>
        <c:axId val="380950784"/>
        <c:scaling>
          <c:orientation val="minMax"/>
        </c:scaling>
        <c:axPos val="b"/>
        <c:numFmt formatCode="yy" sourceLinked="0"/>
        <c:majorTickMark val="in"/>
        <c:tickLblPos val="low"/>
        <c:spPr>
          <a:ln w="12700">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zh-CN"/>
          </a:p>
        </c:txPr>
        <c:crossAx val="384831488"/>
        <c:crossesAt val="0"/>
        <c:auto val="1"/>
        <c:lblOffset val="100"/>
        <c:baseTimeUnit val="years"/>
        <c:majorUnit val="3"/>
        <c:majorTimeUnit val="years"/>
        <c:minorUnit val="1"/>
        <c:minorTimeUnit val="years"/>
      </c:dateAx>
      <c:valAx>
        <c:axId val="384831488"/>
        <c:scaling>
          <c:orientation val="minMax"/>
          <c:max val="2.0000000000000011E-2"/>
          <c:min val="0"/>
        </c:scaling>
        <c:axPos val="l"/>
        <c:numFmt formatCode="0.0%" sourceLinked="0"/>
        <c:majorTickMark val="in"/>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zh-CN"/>
          </a:p>
        </c:txPr>
        <c:crossAx val="380950784"/>
        <c:crosses val="autoZero"/>
        <c:crossBetween val="midCat"/>
        <c:majorUnit val="5.0000000000000114E-3"/>
        <c:minorUnit val="1.0000000000000041E-3"/>
      </c:valAx>
      <c:dateAx>
        <c:axId val="384833024"/>
        <c:scaling>
          <c:orientation val="minMax"/>
        </c:scaling>
        <c:delete val="1"/>
        <c:axPos val="b"/>
        <c:numFmt formatCode="yyyy/m/d" sourceLinked="1"/>
        <c:tickLblPos val="none"/>
        <c:crossAx val="384834560"/>
        <c:crosses val="autoZero"/>
        <c:auto val="1"/>
        <c:lblOffset val="100"/>
      </c:dateAx>
      <c:valAx>
        <c:axId val="384834560"/>
        <c:scaling>
          <c:orientation val="minMax"/>
        </c:scaling>
        <c:axPos val="r"/>
        <c:numFmt formatCode="General" sourceLinked="1"/>
        <c:majorTickMark val="in"/>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zh-CN"/>
          </a:p>
        </c:txPr>
        <c:crossAx val="384833024"/>
        <c:crosses val="max"/>
        <c:crossBetween val="midCat"/>
      </c:valAx>
      <c:spPr>
        <a:noFill/>
        <a:ln w="25399">
          <a:noFill/>
        </a:ln>
      </c:spPr>
    </c:plotArea>
    <c:legend>
      <c:legendPos val="r"/>
      <c:layout>
        <c:manualLayout>
          <c:xMode val="edge"/>
          <c:yMode val="edge"/>
          <c:x val="0.30035971223021746"/>
          <c:y val="0"/>
          <c:w val="0.43705035971223088"/>
          <c:h val="0.17741935483871088"/>
        </c:manualLayout>
      </c:layout>
      <c:spPr>
        <a:noFill/>
        <a:ln w="25399">
          <a:noFill/>
        </a:ln>
      </c:spPr>
      <c:txPr>
        <a:bodyPr/>
        <a:lstStyle/>
        <a:p>
          <a:pPr>
            <a:defRPr sz="825" b="0" i="0" u="none" strike="noStrike" baseline="0">
              <a:solidFill>
                <a:srgbClr val="000000"/>
              </a:solidFill>
              <a:latin typeface="Times New Roman"/>
              <a:ea typeface="Times New Roman"/>
              <a:cs typeface="Times New Roman"/>
            </a:defRPr>
          </a:pPr>
          <a:endParaRPr lang="zh-CN"/>
        </a:p>
      </c:txPr>
    </c:legend>
    <c:plotVisOnly val="1"/>
    <c:dispBlanksAs val="gap"/>
  </c:chart>
  <c:spPr>
    <a:noFill/>
    <a:ln>
      <a:noFill/>
    </a:ln>
  </c:spPr>
  <c:txPr>
    <a:bodyPr/>
    <a:lstStyle/>
    <a:p>
      <a:pPr>
        <a:defRPr sz="900" b="0" i="0" u="none" strike="noStrike" baseline="0">
          <a:solidFill>
            <a:srgbClr val="000000"/>
          </a:solidFill>
          <a:latin typeface="Times New Roman"/>
          <a:ea typeface="Times New Roman"/>
          <a:cs typeface="Times New Roman"/>
        </a:defRPr>
      </a:pPr>
      <a:endParaRPr lang="zh-CN"/>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5.9544658493870396E-2"/>
          <c:y val="6.7708333333333745E-2"/>
          <c:w val="0.91768826619964972"/>
          <c:h val="0.78125"/>
        </c:manualLayout>
      </c:layout>
      <c:lineChart>
        <c:grouping val="standard"/>
        <c:ser>
          <c:idx val="1"/>
          <c:order val="0"/>
          <c:tx>
            <c:strRef>
              <c:f>Sheet1!$B$1</c:f>
              <c:strCache>
                <c:ptCount val="1"/>
                <c:pt idx="0">
                  <c:v>实际值</c:v>
                </c:pt>
              </c:strCache>
            </c:strRef>
          </c:tx>
          <c:spPr>
            <a:ln w="25399">
              <a:solidFill>
                <a:srgbClr val="0000FF"/>
              </a:solidFill>
              <a:prstDash val="solid"/>
            </a:ln>
          </c:spPr>
          <c:marker>
            <c:symbol val="none"/>
          </c:marker>
          <c:cat>
            <c:numRef>
              <c:f>Sheet1!$A$2:$A$133</c:f>
              <c:numCache>
                <c:formatCode>yyyy/m/d</c:formatCode>
                <c:ptCount val="132"/>
                <c:pt idx="0">
                  <c:v>37257</c:v>
                </c:pt>
                <c:pt idx="1">
                  <c:v>37288</c:v>
                </c:pt>
                <c:pt idx="2">
                  <c:v>37316</c:v>
                </c:pt>
                <c:pt idx="3">
                  <c:v>37347</c:v>
                </c:pt>
                <c:pt idx="4">
                  <c:v>37377</c:v>
                </c:pt>
                <c:pt idx="5">
                  <c:v>37408</c:v>
                </c:pt>
                <c:pt idx="6">
                  <c:v>37438</c:v>
                </c:pt>
                <c:pt idx="7">
                  <c:v>37469</c:v>
                </c:pt>
                <c:pt idx="8">
                  <c:v>37500</c:v>
                </c:pt>
                <c:pt idx="9">
                  <c:v>37530</c:v>
                </c:pt>
                <c:pt idx="10">
                  <c:v>37561</c:v>
                </c:pt>
                <c:pt idx="11">
                  <c:v>37591</c:v>
                </c:pt>
                <c:pt idx="12">
                  <c:v>37622</c:v>
                </c:pt>
                <c:pt idx="13">
                  <c:v>37653</c:v>
                </c:pt>
                <c:pt idx="14">
                  <c:v>37681</c:v>
                </c:pt>
                <c:pt idx="15">
                  <c:v>37712</c:v>
                </c:pt>
                <c:pt idx="16">
                  <c:v>37742</c:v>
                </c:pt>
                <c:pt idx="17">
                  <c:v>37773</c:v>
                </c:pt>
                <c:pt idx="18">
                  <c:v>37803</c:v>
                </c:pt>
                <c:pt idx="19">
                  <c:v>37834</c:v>
                </c:pt>
                <c:pt idx="20">
                  <c:v>37865</c:v>
                </c:pt>
                <c:pt idx="21">
                  <c:v>37895</c:v>
                </c:pt>
                <c:pt idx="22">
                  <c:v>37926</c:v>
                </c:pt>
                <c:pt idx="23">
                  <c:v>37956</c:v>
                </c:pt>
                <c:pt idx="24">
                  <c:v>37987</c:v>
                </c:pt>
                <c:pt idx="25">
                  <c:v>38018</c:v>
                </c:pt>
                <c:pt idx="26">
                  <c:v>38047</c:v>
                </c:pt>
                <c:pt idx="27">
                  <c:v>38078</c:v>
                </c:pt>
                <c:pt idx="28">
                  <c:v>38108</c:v>
                </c:pt>
                <c:pt idx="29">
                  <c:v>38139</c:v>
                </c:pt>
                <c:pt idx="30">
                  <c:v>38169</c:v>
                </c:pt>
                <c:pt idx="31">
                  <c:v>38200</c:v>
                </c:pt>
                <c:pt idx="32">
                  <c:v>38231</c:v>
                </c:pt>
                <c:pt idx="33">
                  <c:v>38261</c:v>
                </c:pt>
                <c:pt idx="34">
                  <c:v>38292</c:v>
                </c:pt>
                <c:pt idx="35">
                  <c:v>38322</c:v>
                </c:pt>
                <c:pt idx="36">
                  <c:v>38353</c:v>
                </c:pt>
                <c:pt idx="37">
                  <c:v>38384</c:v>
                </c:pt>
                <c:pt idx="38">
                  <c:v>38412</c:v>
                </c:pt>
                <c:pt idx="39">
                  <c:v>38443</c:v>
                </c:pt>
                <c:pt idx="40">
                  <c:v>38473</c:v>
                </c:pt>
                <c:pt idx="41">
                  <c:v>38504</c:v>
                </c:pt>
                <c:pt idx="42">
                  <c:v>38534</c:v>
                </c:pt>
                <c:pt idx="43">
                  <c:v>38565</c:v>
                </c:pt>
                <c:pt idx="44">
                  <c:v>38596</c:v>
                </c:pt>
                <c:pt idx="45">
                  <c:v>38626</c:v>
                </c:pt>
                <c:pt idx="46">
                  <c:v>38657</c:v>
                </c:pt>
                <c:pt idx="47">
                  <c:v>38687</c:v>
                </c:pt>
                <c:pt idx="48">
                  <c:v>38718</c:v>
                </c:pt>
                <c:pt idx="49">
                  <c:v>38749</c:v>
                </c:pt>
                <c:pt idx="50">
                  <c:v>38777</c:v>
                </c:pt>
                <c:pt idx="51">
                  <c:v>38808</c:v>
                </c:pt>
                <c:pt idx="52">
                  <c:v>38838</c:v>
                </c:pt>
                <c:pt idx="53">
                  <c:v>38869</c:v>
                </c:pt>
                <c:pt idx="54">
                  <c:v>38899</c:v>
                </c:pt>
                <c:pt idx="55">
                  <c:v>38930</c:v>
                </c:pt>
                <c:pt idx="56">
                  <c:v>38961</c:v>
                </c:pt>
                <c:pt idx="57">
                  <c:v>38991</c:v>
                </c:pt>
                <c:pt idx="58">
                  <c:v>39022</c:v>
                </c:pt>
                <c:pt idx="59">
                  <c:v>39052</c:v>
                </c:pt>
                <c:pt idx="60">
                  <c:v>39083</c:v>
                </c:pt>
                <c:pt idx="61">
                  <c:v>39114</c:v>
                </c:pt>
                <c:pt idx="62">
                  <c:v>39142</c:v>
                </c:pt>
                <c:pt idx="63">
                  <c:v>39173</c:v>
                </c:pt>
                <c:pt idx="64">
                  <c:v>39203</c:v>
                </c:pt>
                <c:pt idx="65">
                  <c:v>39234</c:v>
                </c:pt>
                <c:pt idx="66">
                  <c:v>39264</c:v>
                </c:pt>
                <c:pt idx="67">
                  <c:v>39295</c:v>
                </c:pt>
                <c:pt idx="68">
                  <c:v>39326</c:v>
                </c:pt>
                <c:pt idx="69">
                  <c:v>39356</c:v>
                </c:pt>
                <c:pt idx="70">
                  <c:v>39387</c:v>
                </c:pt>
                <c:pt idx="71">
                  <c:v>39417</c:v>
                </c:pt>
                <c:pt idx="72">
                  <c:v>39448</c:v>
                </c:pt>
                <c:pt idx="73">
                  <c:v>39479</c:v>
                </c:pt>
                <c:pt idx="74">
                  <c:v>39508</c:v>
                </c:pt>
                <c:pt idx="75">
                  <c:v>39539</c:v>
                </c:pt>
                <c:pt idx="76">
                  <c:v>39569</c:v>
                </c:pt>
                <c:pt idx="77">
                  <c:v>39600</c:v>
                </c:pt>
                <c:pt idx="78">
                  <c:v>39630</c:v>
                </c:pt>
                <c:pt idx="79">
                  <c:v>39661</c:v>
                </c:pt>
                <c:pt idx="80">
                  <c:v>39692</c:v>
                </c:pt>
                <c:pt idx="81">
                  <c:v>39722</c:v>
                </c:pt>
                <c:pt idx="82">
                  <c:v>39753</c:v>
                </c:pt>
                <c:pt idx="83">
                  <c:v>39783</c:v>
                </c:pt>
                <c:pt idx="84">
                  <c:v>39814</c:v>
                </c:pt>
                <c:pt idx="85">
                  <c:v>39845</c:v>
                </c:pt>
                <c:pt idx="86">
                  <c:v>39873</c:v>
                </c:pt>
                <c:pt idx="87">
                  <c:v>39904</c:v>
                </c:pt>
                <c:pt idx="88">
                  <c:v>39934</c:v>
                </c:pt>
                <c:pt idx="89">
                  <c:v>39965</c:v>
                </c:pt>
                <c:pt idx="90">
                  <c:v>39995</c:v>
                </c:pt>
                <c:pt idx="91">
                  <c:v>40026</c:v>
                </c:pt>
                <c:pt idx="92">
                  <c:v>40057</c:v>
                </c:pt>
                <c:pt idx="93">
                  <c:v>40087</c:v>
                </c:pt>
                <c:pt idx="94">
                  <c:v>40118</c:v>
                </c:pt>
                <c:pt idx="95">
                  <c:v>40148</c:v>
                </c:pt>
                <c:pt idx="96">
                  <c:v>40179</c:v>
                </c:pt>
                <c:pt idx="97">
                  <c:v>40210</c:v>
                </c:pt>
                <c:pt idx="98">
                  <c:v>40238</c:v>
                </c:pt>
                <c:pt idx="99">
                  <c:v>40269</c:v>
                </c:pt>
                <c:pt idx="100">
                  <c:v>40299</c:v>
                </c:pt>
                <c:pt idx="101">
                  <c:v>40330</c:v>
                </c:pt>
                <c:pt idx="102">
                  <c:v>40360</c:v>
                </c:pt>
                <c:pt idx="103">
                  <c:v>40391</c:v>
                </c:pt>
                <c:pt idx="104">
                  <c:v>40422</c:v>
                </c:pt>
                <c:pt idx="105">
                  <c:v>40452</c:v>
                </c:pt>
                <c:pt idx="106">
                  <c:v>40483</c:v>
                </c:pt>
                <c:pt idx="107">
                  <c:v>40513</c:v>
                </c:pt>
                <c:pt idx="108">
                  <c:v>40544</c:v>
                </c:pt>
                <c:pt idx="109">
                  <c:v>40575</c:v>
                </c:pt>
                <c:pt idx="110">
                  <c:v>40603</c:v>
                </c:pt>
                <c:pt idx="111">
                  <c:v>40634</c:v>
                </c:pt>
                <c:pt idx="112">
                  <c:v>40664</c:v>
                </c:pt>
                <c:pt idx="113">
                  <c:v>40695</c:v>
                </c:pt>
                <c:pt idx="114">
                  <c:v>40725</c:v>
                </c:pt>
                <c:pt idx="115">
                  <c:v>40756</c:v>
                </c:pt>
                <c:pt idx="116">
                  <c:v>40787</c:v>
                </c:pt>
                <c:pt idx="117">
                  <c:v>40817</c:v>
                </c:pt>
                <c:pt idx="118">
                  <c:v>40848</c:v>
                </c:pt>
                <c:pt idx="119">
                  <c:v>40878</c:v>
                </c:pt>
                <c:pt idx="120">
                  <c:v>40909</c:v>
                </c:pt>
                <c:pt idx="121">
                  <c:v>40940</c:v>
                </c:pt>
                <c:pt idx="122">
                  <c:v>40969</c:v>
                </c:pt>
                <c:pt idx="123">
                  <c:v>41000</c:v>
                </c:pt>
                <c:pt idx="124">
                  <c:v>41030</c:v>
                </c:pt>
                <c:pt idx="125">
                  <c:v>41061</c:v>
                </c:pt>
                <c:pt idx="126">
                  <c:v>41091</c:v>
                </c:pt>
                <c:pt idx="127">
                  <c:v>41122</c:v>
                </c:pt>
                <c:pt idx="128">
                  <c:v>41153</c:v>
                </c:pt>
                <c:pt idx="129">
                  <c:v>41183</c:v>
                </c:pt>
                <c:pt idx="130">
                  <c:v>41214</c:v>
                </c:pt>
                <c:pt idx="131">
                  <c:v>41244</c:v>
                </c:pt>
              </c:numCache>
            </c:numRef>
          </c:cat>
          <c:val>
            <c:numRef>
              <c:f>Sheet1!$B$2:$B$133</c:f>
              <c:numCache>
                <c:formatCode>General</c:formatCode>
                <c:ptCount val="132"/>
                <c:pt idx="0">
                  <c:v>20.724976130000005</c:v>
                </c:pt>
                <c:pt idx="1">
                  <c:v>20.863315249999989</c:v>
                </c:pt>
                <c:pt idx="2">
                  <c:v>25.359951450000164</c:v>
                </c:pt>
                <c:pt idx="3">
                  <c:v>25.76306851</c:v>
                </c:pt>
                <c:pt idx="4">
                  <c:v>25.165000450000001</c:v>
                </c:pt>
                <c:pt idx="5">
                  <c:v>23.145284029999999</c:v>
                </c:pt>
                <c:pt idx="6">
                  <c:v>27.140801440000097</c:v>
                </c:pt>
                <c:pt idx="7">
                  <c:v>30.398812419999999</c:v>
                </c:pt>
                <c:pt idx="8">
                  <c:v>29.53111737</c:v>
                </c:pt>
                <c:pt idx="9">
                  <c:v>33.30713411</c:v>
                </c:pt>
                <c:pt idx="10">
                  <c:v>32.708885240000157</c:v>
                </c:pt>
                <c:pt idx="11">
                  <c:v>33.723547640000113</c:v>
                </c:pt>
                <c:pt idx="12">
                  <c:v>32.250766669999997</c:v>
                </c:pt>
                <c:pt idx="13">
                  <c:v>32.454446979999894</c:v>
                </c:pt>
                <c:pt idx="14">
                  <c:v>31.262276819999876</c:v>
                </c:pt>
                <c:pt idx="15">
                  <c:v>31.406077119999999</c:v>
                </c:pt>
                <c:pt idx="16">
                  <c:v>35.202137670000013</c:v>
                </c:pt>
                <c:pt idx="17">
                  <c:v>31.724547839999868</c:v>
                </c:pt>
                <c:pt idx="18">
                  <c:v>37.963298050000006</c:v>
                </c:pt>
                <c:pt idx="19">
                  <c:v>38.295897660000001</c:v>
                </c:pt>
                <c:pt idx="20">
                  <c:v>41.660874559999996</c:v>
                </c:pt>
                <c:pt idx="21">
                  <c:v>40.034715510000012</c:v>
                </c:pt>
                <c:pt idx="22">
                  <c:v>37.881872439999995</c:v>
                </c:pt>
                <c:pt idx="23">
                  <c:v>44.212343350000012</c:v>
                </c:pt>
                <c:pt idx="24">
                  <c:v>40.842517690000001</c:v>
                </c:pt>
                <c:pt idx="25">
                  <c:v>41.162266980000012</c:v>
                </c:pt>
                <c:pt idx="26">
                  <c:v>39.346746750000001</c:v>
                </c:pt>
                <c:pt idx="27">
                  <c:v>40.726784210000012</c:v>
                </c:pt>
                <c:pt idx="28">
                  <c:v>41.995841759999998</c:v>
                </c:pt>
                <c:pt idx="29">
                  <c:v>35.439617820000002</c:v>
                </c:pt>
                <c:pt idx="30">
                  <c:v>43.528479960000013</c:v>
                </c:pt>
                <c:pt idx="31">
                  <c:v>43.774664859999994</c:v>
                </c:pt>
                <c:pt idx="32">
                  <c:v>44.390476340000063</c:v>
                </c:pt>
                <c:pt idx="33">
                  <c:v>48.556852599999999</c:v>
                </c:pt>
                <c:pt idx="34">
                  <c:v>48.975537760000002</c:v>
                </c:pt>
                <c:pt idx="35">
                  <c:v>50.407089089999843</c:v>
                </c:pt>
                <c:pt idx="36">
                  <c:v>46.76191320000018</c:v>
                </c:pt>
                <c:pt idx="37">
                  <c:v>47.263649040000011</c:v>
                </c:pt>
                <c:pt idx="38">
                  <c:v>45.369107720000002</c:v>
                </c:pt>
                <c:pt idx="39">
                  <c:v>45.186284389999997</c:v>
                </c:pt>
                <c:pt idx="40">
                  <c:v>44.784489499999843</c:v>
                </c:pt>
                <c:pt idx="41">
                  <c:v>38.019041119999997</c:v>
                </c:pt>
                <c:pt idx="42">
                  <c:v>46.806644749999997</c:v>
                </c:pt>
                <c:pt idx="43">
                  <c:v>44.345867829999996</c:v>
                </c:pt>
                <c:pt idx="44">
                  <c:v>41.512624099999996</c:v>
                </c:pt>
                <c:pt idx="45">
                  <c:v>43.10112385</c:v>
                </c:pt>
                <c:pt idx="46">
                  <c:v>40.573979630000011</c:v>
                </c:pt>
                <c:pt idx="47">
                  <c:v>53.633111530000157</c:v>
                </c:pt>
                <c:pt idx="48">
                  <c:v>45.891237079999996</c:v>
                </c:pt>
                <c:pt idx="49">
                  <c:v>46.737582260000003</c:v>
                </c:pt>
                <c:pt idx="50">
                  <c:v>48.44970412</c:v>
                </c:pt>
                <c:pt idx="51">
                  <c:v>45.815074789999997</c:v>
                </c:pt>
                <c:pt idx="52">
                  <c:v>48.468229720000011</c:v>
                </c:pt>
                <c:pt idx="53">
                  <c:v>42.706933060000011</c:v>
                </c:pt>
                <c:pt idx="54">
                  <c:v>49.810113000000001</c:v>
                </c:pt>
                <c:pt idx="55">
                  <c:v>48.711850869999999</c:v>
                </c:pt>
                <c:pt idx="56">
                  <c:v>49.462422800000013</c:v>
                </c:pt>
                <c:pt idx="57">
                  <c:v>50.224479479999999</c:v>
                </c:pt>
                <c:pt idx="58">
                  <c:v>54.342715780000013</c:v>
                </c:pt>
                <c:pt idx="59">
                  <c:v>61.750232160000003</c:v>
                </c:pt>
                <c:pt idx="60">
                  <c:v>52.335042459999997</c:v>
                </c:pt>
                <c:pt idx="61">
                  <c:v>52.836573290000011</c:v>
                </c:pt>
                <c:pt idx="62">
                  <c:v>58.349817809999998</c:v>
                </c:pt>
                <c:pt idx="63">
                  <c:v>61.093869509999998</c:v>
                </c:pt>
                <c:pt idx="64">
                  <c:v>60.207269859999997</c:v>
                </c:pt>
                <c:pt idx="65">
                  <c:v>54.713149540000003</c:v>
                </c:pt>
                <c:pt idx="66">
                  <c:v>71.203341760000001</c:v>
                </c:pt>
                <c:pt idx="67">
                  <c:v>76.159440689999983</c:v>
                </c:pt>
                <c:pt idx="68">
                  <c:v>67.177417789999978</c:v>
                </c:pt>
                <c:pt idx="69">
                  <c:v>67.717977989999994</c:v>
                </c:pt>
                <c:pt idx="70">
                  <c:v>69.16126966000067</c:v>
                </c:pt>
                <c:pt idx="71">
                  <c:v>71.05444860999998</c:v>
                </c:pt>
                <c:pt idx="72">
                  <c:v>55.442861299999997</c:v>
                </c:pt>
                <c:pt idx="73">
                  <c:v>56.517271350000001</c:v>
                </c:pt>
                <c:pt idx="74">
                  <c:v>57.405165490000002</c:v>
                </c:pt>
                <c:pt idx="75">
                  <c:v>52.697129270000012</c:v>
                </c:pt>
                <c:pt idx="76">
                  <c:v>51.428176220000246</c:v>
                </c:pt>
                <c:pt idx="77">
                  <c:v>48.05783254</c:v>
                </c:pt>
                <c:pt idx="78">
                  <c:v>50.494546930000013</c:v>
                </c:pt>
                <c:pt idx="79">
                  <c:v>46.70517884000035</c:v>
                </c:pt>
                <c:pt idx="80">
                  <c:v>53.211441599999944</c:v>
                </c:pt>
                <c:pt idx="81">
                  <c:v>47.861782779999999</c:v>
                </c:pt>
                <c:pt idx="82">
                  <c:v>45.947693119999997</c:v>
                </c:pt>
                <c:pt idx="83">
                  <c:v>59.539636280000003</c:v>
                </c:pt>
                <c:pt idx="84">
                  <c:v>57.635128720000239</c:v>
                </c:pt>
                <c:pt idx="85">
                  <c:v>57.825827279999999</c:v>
                </c:pt>
                <c:pt idx="86">
                  <c:v>63.998100590000156</c:v>
                </c:pt>
                <c:pt idx="87">
                  <c:v>70.151949139999758</c:v>
                </c:pt>
                <c:pt idx="88">
                  <c:v>79.435628490000127</c:v>
                </c:pt>
                <c:pt idx="89">
                  <c:v>72.902716249999983</c:v>
                </c:pt>
                <c:pt idx="90">
                  <c:v>91.875663329999981</c:v>
                </c:pt>
                <c:pt idx="91">
                  <c:v>93.60139427</c:v>
                </c:pt>
                <c:pt idx="92">
                  <c:v>80.352245589999981</c:v>
                </c:pt>
                <c:pt idx="93">
                  <c:v>84.853128499999983</c:v>
                </c:pt>
                <c:pt idx="94">
                  <c:v>89.391754629999994</c:v>
                </c:pt>
                <c:pt idx="95">
                  <c:v>91.443326139999982</c:v>
                </c:pt>
                <c:pt idx="96">
                  <c:v>79.233493339999981</c:v>
                </c:pt>
                <c:pt idx="97">
                  <c:v>80.388354539999497</c:v>
                </c:pt>
                <c:pt idx="98">
                  <c:v>82.026174169999948</c:v>
                </c:pt>
                <c:pt idx="99">
                  <c:v>90.082989940000004</c:v>
                </c:pt>
                <c:pt idx="100">
                  <c:v>75.885204709999982</c:v>
                </c:pt>
                <c:pt idx="101">
                  <c:v>70.296181619999999</c:v>
                </c:pt>
                <c:pt idx="102">
                  <c:v>79.11224267999998</c:v>
                </c:pt>
                <c:pt idx="103">
                  <c:v>82.290377429999978</c:v>
                </c:pt>
                <c:pt idx="104">
                  <c:v>89.739649729999996</c:v>
                </c:pt>
                <c:pt idx="105">
                  <c:v>95.551535920000006</c:v>
                </c:pt>
                <c:pt idx="106">
                  <c:v>94.828597189999584</c:v>
                </c:pt>
                <c:pt idx="107">
                  <c:v>101.97780299999998</c:v>
                </c:pt>
                <c:pt idx="108">
                  <c:v>94.288421690000007</c:v>
                </c:pt>
                <c:pt idx="109">
                  <c:v>91.788591179999628</c:v>
                </c:pt>
                <c:pt idx="110">
                  <c:v>93.179729269999982</c:v>
                </c:pt>
                <c:pt idx="111">
                  <c:v>85.74283973</c:v>
                </c:pt>
                <c:pt idx="112">
                  <c:v>92.836126590000006</c:v>
                </c:pt>
                <c:pt idx="113">
                  <c:v>87.510623910000405</c:v>
                </c:pt>
                <c:pt idx="114">
                  <c:v>97.525340659999657</c:v>
                </c:pt>
                <c:pt idx="115">
                  <c:v>90.229739719999657</c:v>
                </c:pt>
                <c:pt idx="116">
                  <c:v>90.388507509999599</c:v>
                </c:pt>
                <c:pt idx="117">
                  <c:v>81.583342299999671</c:v>
                </c:pt>
              </c:numCache>
            </c:numRef>
          </c:val>
        </c:ser>
        <c:ser>
          <c:idx val="0"/>
          <c:order val="1"/>
          <c:tx>
            <c:strRef>
              <c:f>Sheet1!$C$1</c:f>
              <c:strCache>
                <c:ptCount val="1"/>
              </c:strCache>
            </c:strRef>
          </c:tx>
          <c:spPr>
            <a:ln w="25399">
              <a:pattFill prst="pct50">
                <a:fgClr>
                  <a:srgbClr val="0000FF"/>
                </a:fgClr>
                <a:bgClr>
                  <a:srgbClr val="FFFFFF"/>
                </a:bgClr>
              </a:pattFill>
              <a:prstDash val="solid"/>
            </a:ln>
          </c:spPr>
          <c:marker>
            <c:symbol val="none"/>
          </c:marker>
          <c:cat>
            <c:numRef>
              <c:f>Sheet1!$A$2:$A$133</c:f>
              <c:numCache>
                <c:formatCode>yyyy/m/d</c:formatCode>
                <c:ptCount val="132"/>
                <c:pt idx="0">
                  <c:v>37257</c:v>
                </c:pt>
                <c:pt idx="1">
                  <c:v>37288</c:v>
                </c:pt>
                <c:pt idx="2">
                  <c:v>37316</c:v>
                </c:pt>
                <c:pt idx="3">
                  <c:v>37347</c:v>
                </c:pt>
                <c:pt idx="4">
                  <c:v>37377</c:v>
                </c:pt>
                <c:pt idx="5">
                  <c:v>37408</c:v>
                </c:pt>
                <c:pt idx="6">
                  <c:v>37438</c:v>
                </c:pt>
                <c:pt idx="7">
                  <c:v>37469</c:v>
                </c:pt>
                <c:pt idx="8">
                  <c:v>37500</c:v>
                </c:pt>
                <c:pt idx="9">
                  <c:v>37530</c:v>
                </c:pt>
                <c:pt idx="10">
                  <c:v>37561</c:v>
                </c:pt>
                <c:pt idx="11">
                  <c:v>37591</c:v>
                </c:pt>
                <c:pt idx="12">
                  <c:v>37622</c:v>
                </c:pt>
                <c:pt idx="13">
                  <c:v>37653</c:v>
                </c:pt>
                <c:pt idx="14">
                  <c:v>37681</c:v>
                </c:pt>
                <c:pt idx="15">
                  <c:v>37712</c:v>
                </c:pt>
                <c:pt idx="16">
                  <c:v>37742</c:v>
                </c:pt>
                <c:pt idx="17">
                  <c:v>37773</c:v>
                </c:pt>
                <c:pt idx="18">
                  <c:v>37803</c:v>
                </c:pt>
                <c:pt idx="19">
                  <c:v>37834</c:v>
                </c:pt>
                <c:pt idx="20">
                  <c:v>37865</c:v>
                </c:pt>
                <c:pt idx="21">
                  <c:v>37895</c:v>
                </c:pt>
                <c:pt idx="22">
                  <c:v>37926</c:v>
                </c:pt>
                <c:pt idx="23">
                  <c:v>37956</c:v>
                </c:pt>
                <c:pt idx="24">
                  <c:v>37987</c:v>
                </c:pt>
                <c:pt idx="25">
                  <c:v>38018</c:v>
                </c:pt>
                <c:pt idx="26">
                  <c:v>38047</c:v>
                </c:pt>
                <c:pt idx="27">
                  <c:v>38078</c:v>
                </c:pt>
                <c:pt idx="28">
                  <c:v>38108</c:v>
                </c:pt>
                <c:pt idx="29">
                  <c:v>38139</c:v>
                </c:pt>
                <c:pt idx="30">
                  <c:v>38169</c:v>
                </c:pt>
                <c:pt idx="31">
                  <c:v>38200</c:v>
                </c:pt>
                <c:pt idx="32">
                  <c:v>38231</c:v>
                </c:pt>
                <c:pt idx="33">
                  <c:v>38261</c:v>
                </c:pt>
                <c:pt idx="34">
                  <c:v>38292</c:v>
                </c:pt>
                <c:pt idx="35">
                  <c:v>38322</c:v>
                </c:pt>
                <c:pt idx="36">
                  <c:v>38353</c:v>
                </c:pt>
                <c:pt idx="37">
                  <c:v>38384</c:v>
                </c:pt>
                <c:pt idx="38">
                  <c:v>38412</c:v>
                </c:pt>
                <c:pt idx="39">
                  <c:v>38443</c:v>
                </c:pt>
                <c:pt idx="40">
                  <c:v>38473</c:v>
                </c:pt>
                <c:pt idx="41">
                  <c:v>38504</c:v>
                </c:pt>
                <c:pt idx="42">
                  <c:v>38534</c:v>
                </c:pt>
                <c:pt idx="43">
                  <c:v>38565</c:v>
                </c:pt>
                <c:pt idx="44">
                  <c:v>38596</c:v>
                </c:pt>
                <c:pt idx="45">
                  <c:v>38626</c:v>
                </c:pt>
                <c:pt idx="46">
                  <c:v>38657</c:v>
                </c:pt>
                <c:pt idx="47">
                  <c:v>38687</c:v>
                </c:pt>
                <c:pt idx="48">
                  <c:v>38718</c:v>
                </c:pt>
                <c:pt idx="49">
                  <c:v>38749</c:v>
                </c:pt>
                <c:pt idx="50">
                  <c:v>38777</c:v>
                </c:pt>
                <c:pt idx="51">
                  <c:v>38808</c:v>
                </c:pt>
                <c:pt idx="52">
                  <c:v>38838</c:v>
                </c:pt>
                <c:pt idx="53">
                  <c:v>38869</c:v>
                </c:pt>
                <c:pt idx="54">
                  <c:v>38899</c:v>
                </c:pt>
                <c:pt idx="55">
                  <c:v>38930</c:v>
                </c:pt>
                <c:pt idx="56">
                  <c:v>38961</c:v>
                </c:pt>
                <c:pt idx="57">
                  <c:v>38991</c:v>
                </c:pt>
                <c:pt idx="58">
                  <c:v>39022</c:v>
                </c:pt>
                <c:pt idx="59">
                  <c:v>39052</c:v>
                </c:pt>
                <c:pt idx="60">
                  <c:v>39083</c:v>
                </c:pt>
                <c:pt idx="61">
                  <c:v>39114</c:v>
                </c:pt>
                <c:pt idx="62">
                  <c:v>39142</c:v>
                </c:pt>
                <c:pt idx="63">
                  <c:v>39173</c:v>
                </c:pt>
                <c:pt idx="64">
                  <c:v>39203</c:v>
                </c:pt>
                <c:pt idx="65">
                  <c:v>39234</c:v>
                </c:pt>
                <c:pt idx="66">
                  <c:v>39264</c:v>
                </c:pt>
                <c:pt idx="67">
                  <c:v>39295</c:v>
                </c:pt>
                <c:pt idx="68">
                  <c:v>39326</c:v>
                </c:pt>
                <c:pt idx="69">
                  <c:v>39356</c:v>
                </c:pt>
                <c:pt idx="70">
                  <c:v>39387</c:v>
                </c:pt>
                <c:pt idx="71">
                  <c:v>39417</c:v>
                </c:pt>
                <c:pt idx="72">
                  <c:v>39448</c:v>
                </c:pt>
                <c:pt idx="73">
                  <c:v>39479</c:v>
                </c:pt>
                <c:pt idx="74">
                  <c:v>39508</c:v>
                </c:pt>
                <c:pt idx="75">
                  <c:v>39539</c:v>
                </c:pt>
                <c:pt idx="76">
                  <c:v>39569</c:v>
                </c:pt>
                <c:pt idx="77">
                  <c:v>39600</c:v>
                </c:pt>
                <c:pt idx="78">
                  <c:v>39630</c:v>
                </c:pt>
                <c:pt idx="79">
                  <c:v>39661</c:v>
                </c:pt>
                <c:pt idx="80">
                  <c:v>39692</c:v>
                </c:pt>
                <c:pt idx="81">
                  <c:v>39722</c:v>
                </c:pt>
                <c:pt idx="82">
                  <c:v>39753</c:v>
                </c:pt>
                <c:pt idx="83">
                  <c:v>39783</c:v>
                </c:pt>
                <c:pt idx="84">
                  <c:v>39814</c:v>
                </c:pt>
                <c:pt idx="85">
                  <c:v>39845</c:v>
                </c:pt>
                <c:pt idx="86">
                  <c:v>39873</c:v>
                </c:pt>
                <c:pt idx="87">
                  <c:v>39904</c:v>
                </c:pt>
                <c:pt idx="88">
                  <c:v>39934</c:v>
                </c:pt>
                <c:pt idx="89">
                  <c:v>39965</c:v>
                </c:pt>
                <c:pt idx="90">
                  <c:v>39995</c:v>
                </c:pt>
                <c:pt idx="91">
                  <c:v>40026</c:v>
                </c:pt>
                <c:pt idx="92">
                  <c:v>40057</c:v>
                </c:pt>
                <c:pt idx="93">
                  <c:v>40087</c:v>
                </c:pt>
                <c:pt idx="94">
                  <c:v>40118</c:v>
                </c:pt>
                <c:pt idx="95">
                  <c:v>40148</c:v>
                </c:pt>
                <c:pt idx="96">
                  <c:v>40179</c:v>
                </c:pt>
                <c:pt idx="97">
                  <c:v>40210</c:v>
                </c:pt>
                <c:pt idx="98">
                  <c:v>40238</c:v>
                </c:pt>
                <c:pt idx="99">
                  <c:v>40269</c:v>
                </c:pt>
                <c:pt idx="100">
                  <c:v>40299</c:v>
                </c:pt>
                <c:pt idx="101">
                  <c:v>40330</c:v>
                </c:pt>
                <c:pt idx="102">
                  <c:v>40360</c:v>
                </c:pt>
                <c:pt idx="103">
                  <c:v>40391</c:v>
                </c:pt>
                <c:pt idx="104">
                  <c:v>40422</c:v>
                </c:pt>
                <c:pt idx="105">
                  <c:v>40452</c:v>
                </c:pt>
                <c:pt idx="106">
                  <c:v>40483</c:v>
                </c:pt>
                <c:pt idx="107">
                  <c:v>40513</c:v>
                </c:pt>
                <c:pt idx="108">
                  <c:v>40544</c:v>
                </c:pt>
                <c:pt idx="109">
                  <c:v>40575</c:v>
                </c:pt>
                <c:pt idx="110">
                  <c:v>40603</c:v>
                </c:pt>
                <c:pt idx="111">
                  <c:v>40634</c:v>
                </c:pt>
                <c:pt idx="112">
                  <c:v>40664</c:v>
                </c:pt>
                <c:pt idx="113">
                  <c:v>40695</c:v>
                </c:pt>
                <c:pt idx="114">
                  <c:v>40725</c:v>
                </c:pt>
                <c:pt idx="115">
                  <c:v>40756</c:v>
                </c:pt>
                <c:pt idx="116">
                  <c:v>40787</c:v>
                </c:pt>
                <c:pt idx="117">
                  <c:v>40817</c:v>
                </c:pt>
                <c:pt idx="118">
                  <c:v>40848</c:v>
                </c:pt>
                <c:pt idx="119">
                  <c:v>40878</c:v>
                </c:pt>
                <c:pt idx="120">
                  <c:v>40909</c:v>
                </c:pt>
                <c:pt idx="121">
                  <c:v>40940</c:v>
                </c:pt>
                <c:pt idx="122">
                  <c:v>40969</c:v>
                </c:pt>
                <c:pt idx="123">
                  <c:v>41000</c:v>
                </c:pt>
                <c:pt idx="124">
                  <c:v>41030</c:v>
                </c:pt>
                <c:pt idx="125">
                  <c:v>41061</c:v>
                </c:pt>
                <c:pt idx="126">
                  <c:v>41091</c:v>
                </c:pt>
                <c:pt idx="127">
                  <c:v>41122</c:v>
                </c:pt>
                <c:pt idx="128">
                  <c:v>41153</c:v>
                </c:pt>
                <c:pt idx="129">
                  <c:v>41183</c:v>
                </c:pt>
                <c:pt idx="130">
                  <c:v>41214</c:v>
                </c:pt>
                <c:pt idx="131">
                  <c:v>41244</c:v>
                </c:pt>
              </c:numCache>
            </c:numRef>
          </c:cat>
          <c:val>
            <c:numRef>
              <c:f>Sheet1!$C$2:$C$133</c:f>
              <c:numCache>
                <c:formatCode>General</c:formatCode>
                <c:ptCount val="132"/>
                <c:pt idx="117">
                  <c:v>81.583342299999671</c:v>
                </c:pt>
                <c:pt idx="118">
                  <c:v>84.222345469999979</c:v>
                </c:pt>
                <c:pt idx="119">
                  <c:v>86.423014069999994</c:v>
                </c:pt>
                <c:pt idx="120">
                  <c:v>78.220217169999998</c:v>
                </c:pt>
                <c:pt idx="121">
                  <c:v>81.819529500000343</c:v>
                </c:pt>
                <c:pt idx="122">
                  <c:v>85.16616827999998</c:v>
                </c:pt>
                <c:pt idx="123">
                  <c:v>85.708487809999468</c:v>
                </c:pt>
                <c:pt idx="124">
                  <c:v>87.118223910000026</c:v>
                </c:pt>
                <c:pt idx="125">
                  <c:v>80.297240980000538</c:v>
                </c:pt>
                <c:pt idx="126">
                  <c:v>91.916893310000006</c:v>
                </c:pt>
                <c:pt idx="127">
                  <c:v>84.317253410000376</c:v>
                </c:pt>
                <c:pt idx="128">
                  <c:v>81.622237239999464</c:v>
                </c:pt>
                <c:pt idx="129">
                  <c:v>87.636621239999982</c:v>
                </c:pt>
                <c:pt idx="130">
                  <c:v>84.153438949999497</c:v>
                </c:pt>
                <c:pt idx="131">
                  <c:v>86.075782339999179</c:v>
                </c:pt>
              </c:numCache>
            </c:numRef>
          </c:val>
          <c:smooth val="1"/>
        </c:ser>
        <c:marker val="1"/>
        <c:axId val="359472128"/>
        <c:axId val="359473920"/>
      </c:lineChart>
      <c:dateAx>
        <c:axId val="359472128"/>
        <c:scaling>
          <c:orientation val="minMax"/>
        </c:scaling>
        <c:axPos val="b"/>
        <c:numFmt formatCode="yyyy" sourceLinked="0"/>
        <c:majorTickMark val="in"/>
        <c:tickLblPos val="low"/>
        <c:spPr>
          <a:ln w="3175">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zh-CN"/>
          </a:p>
        </c:txPr>
        <c:crossAx val="359473920"/>
        <c:crosses val="autoZero"/>
        <c:auto val="1"/>
        <c:lblOffset val="100"/>
        <c:baseTimeUnit val="months"/>
        <c:majorUnit val="1"/>
        <c:majorTimeUnit val="years"/>
        <c:minorUnit val="1"/>
        <c:minorTimeUnit val="years"/>
      </c:dateAx>
      <c:valAx>
        <c:axId val="359473920"/>
        <c:scaling>
          <c:orientation val="minMax"/>
        </c:scaling>
        <c:axPos val="l"/>
        <c:numFmt formatCode="General" sourceLinked="0"/>
        <c:majorTickMark val="in"/>
        <c:tickLblPos val="nextTo"/>
        <c:spPr>
          <a:ln w="3175">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zh-CN"/>
          </a:p>
        </c:txPr>
        <c:crossAx val="359472128"/>
        <c:crosses val="autoZero"/>
        <c:crossBetween val="between"/>
      </c:valAx>
      <c:spPr>
        <a:noFill/>
        <a:ln w="25399">
          <a:noFill/>
        </a:ln>
      </c:spPr>
    </c:plotArea>
    <c:plotVisOnly val="1"/>
    <c:dispBlanksAs val="gap"/>
  </c:chart>
  <c:spPr>
    <a:noFill/>
    <a:ln>
      <a:noFill/>
    </a:ln>
  </c:spPr>
  <c:txPr>
    <a:bodyPr/>
    <a:lstStyle/>
    <a:p>
      <a:pPr>
        <a:defRPr sz="800" b="0" i="0" u="none" strike="noStrike" baseline="0">
          <a:solidFill>
            <a:srgbClr val="000000"/>
          </a:solidFill>
          <a:latin typeface="Times New Roman"/>
          <a:ea typeface="Times New Roman"/>
          <a:cs typeface="Times New Roman"/>
        </a:defRPr>
      </a:pPr>
      <a:endParaRPr lang="zh-CN"/>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0895883777239668"/>
          <c:y val="0.20187793427230091"/>
          <c:w val="0.86924939467312934"/>
          <c:h val="0.62910798122065659"/>
        </c:manualLayout>
      </c:layout>
      <c:barChart>
        <c:barDir val="col"/>
        <c:grouping val="clustered"/>
        <c:ser>
          <c:idx val="0"/>
          <c:order val="0"/>
          <c:tx>
            <c:strRef>
              <c:f>Sheet1!$A$10</c:f>
              <c:strCache>
                <c:ptCount val="1"/>
                <c:pt idx="0">
                  <c:v>人均GDP（美元）</c:v>
                </c:pt>
              </c:strCache>
            </c:strRef>
          </c:tx>
          <c:spPr>
            <a:solidFill>
              <a:srgbClr val="3366FF"/>
            </a:solidFill>
            <a:ln w="12688">
              <a:solidFill>
                <a:srgbClr val="000000"/>
              </a:solidFill>
              <a:prstDash val="solid"/>
            </a:ln>
          </c:spPr>
          <c:cat>
            <c:numRef>
              <c:f>Sheet1!$B$9:$AE$9</c:f>
              <c:numCache>
                <c:formatCode>General</c:formatCode>
                <c:ptCount val="3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numCache>
            </c:numRef>
          </c:cat>
          <c:val>
            <c:numRef>
              <c:f>Sheet1!$B$10:$AE$10</c:f>
              <c:numCache>
                <c:formatCode>General</c:formatCode>
                <c:ptCount val="30"/>
                <c:pt idx="0">
                  <c:v>226</c:v>
                </c:pt>
                <c:pt idx="1">
                  <c:v>269</c:v>
                </c:pt>
                <c:pt idx="2">
                  <c:v>309</c:v>
                </c:pt>
                <c:pt idx="3">
                  <c:v>288</c:v>
                </c:pt>
                <c:pt idx="4">
                  <c:v>279</c:v>
                </c:pt>
                <c:pt idx="5">
                  <c:v>295</c:v>
                </c:pt>
                <c:pt idx="6">
                  <c:v>299</c:v>
                </c:pt>
                <c:pt idx="7">
                  <c:v>292</c:v>
                </c:pt>
                <c:pt idx="8">
                  <c:v>279</c:v>
                </c:pt>
                <c:pt idx="9">
                  <c:v>299</c:v>
                </c:pt>
                <c:pt idx="10">
                  <c:v>367</c:v>
                </c:pt>
                <c:pt idx="11">
                  <c:v>419</c:v>
                </c:pt>
                <c:pt idx="12">
                  <c:v>520</c:v>
                </c:pt>
                <c:pt idx="13">
                  <c:v>469</c:v>
                </c:pt>
                <c:pt idx="14">
                  <c:v>604</c:v>
                </c:pt>
                <c:pt idx="15">
                  <c:v>703</c:v>
                </c:pt>
                <c:pt idx="16">
                  <c:v>775</c:v>
                </c:pt>
                <c:pt idx="17">
                  <c:v>821</c:v>
                </c:pt>
                <c:pt idx="18">
                  <c:v>864</c:v>
                </c:pt>
                <c:pt idx="19">
                  <c:v>945</c:v>
                </c:pt>
                <c:pt idx="20">
                  <c:v>1041</c:v>
                </c:pt>
                <c:pt idx="21">
                  <c:v>1135</c:v>
                </c:pt>
                <c:pt idx="22">
                  <c:v>1273</c:v>
                </c:pt>
                <c:pt idx="23">
                  <c:v>1490</c:v>
                </c:pt>
                <c:pt idx="24">
                  <c:v>1739</c:v>
                </c:pt>
                <c:pt idx="25">
                  <c:v>2052</c:v>
                </c:pt>
                <c:pt idx="26">
                  <c:v>2553</c:v>
                </c:pt>
                <c:pt idx="27">
                  <c:v>3381</c:v>
                </c:pt>
                <c:pt idx="28">
                  <c:v>3687</c:v>
                </c:pt>
                <c:pt idx="29">
                  <c:v>4430</c:v>
                </c:pt>
              </c:numCache>
            </c:numRef>
          </c:val>
        </c:ser>
        <c:axId val="380928000"/>
        <c:axId val="380929536"/>
      </c:barChart>
      <c:catAx>
        <c:axId val="380928000"/>
        <c:scaling>
          <c:orientation val="minMax"/>
        </c:scaling>
        <c:axPos val="b"/>
        <c:numFmt formatCode="General" sourceLinked="1"/>
        <c:majorTickMark val="in"/>
        <c:tickLblPos val="nextTo"/>
        <c:spPr>
          <a:ln w="3172">
            <a:solidFill>
              <a:srgbClr val="000000"/>
            </a:solidFill>
            <a:prstDash val="solid"/>
          </a:ln>
        </c:spPr>
        <c:txPr>
          <a:bodyPr rot="0" vert="horz"/>
          <a:lstStyle/>
          <a:p>
            <a:pPr>
              <a:defRPr sz="824" b="0" i="0" u="none" strike="noStrike" baseline="0">
                <a:solidFill>
                  <a:srgbClr val="000000"/>
                </a:solidFill>
                <a:latin typeface="Arial"/>
                <a:ea typeface="Arial"/>
                <a:cs typeface="Arial"/>
              </a:defRPr>
            </a:pPr>
            <a:endParaRPr lang="zh-CN"/>
          </a:p>
        </c:txPr>
        <c:crossAx val="380929536"/>
        <c:crosses val="autoZero"/>
        <c:auto val="1"/>
        <c:lblAlgn val="ctr"/>
        <c:lblOffset val="100"/>
        <c:tickLblSkip val="4"/>
        <c:tickMarkSkip val="1"/>
      </c:catAx>
      <c:valAx>
        <c:axId val="380929536"/>
        <c:scaling>
          <c:orientation val="minMax"/>
        </c:scaling>
        <c:axPos val="l"/>
        <c:majorGridlines>
          <c:spPr>
            <a:ln w="3172">
              <a:solidFill>
                <a:srgbClr val="FFFFFF"/>
              </a:solidFill>
              <a:prstDash val="solid"/>
            </a:ln>
          </c:spPr>
        </c:majorGridlines>
        <c:numFmt formatCode="General" sourceLinked="1"/>
        <c:majorTickMark val="in"/>
        <c:tickLblPos val="nextTo"/>
        <c:spPr>
          <a:ln w="3172">
            <a:solidFill>
              <a:srgbClr val="000000"/>
            </a:solidFill>
            <a:prstDash val="solid"/>
          </a:ln>
        </c:spPr>
        <c:txPr>
          <a:bodyPr rot="0" vert="horz"/>
          <a:lstStyle/>
          <a:p>
            <a:pPr>
              <a:defRPr sz="824" b="0" i="0" u="none" strike="noStrike" baseline="0">
                <a:solidFill>
                  <a:srgbClr val="000000"/>
                </a:solidFill>
                <a:latin typeface="宋体"/>
                <a:ea typeface="宋体"/>
                <a:cs typeface="宋体"/>
              </a:defRPr>
            </a:pPr>
            <a:endParaRPr lang="zh-CN"/>
          </a:p>
        </c:txPr>
        <c:crossAx val="380928000"/>
        <c:crosses val="autoZero"/>
        <c:crossBetween val="between"/>
      </c:valAx>
      <c:spPr>
        <a:noFill/>
        <a:ln w="25375">
          <a:noFill/>
        </a:ln>
      </c:spPr>
    </c:plotArea>
    <c:legend>
      <c:legendPos val="t"/>
      <c:layout>
        <c:manualLayout>
          <c:xMode val="edge"/>
          <c:yMode val="edge"/>
          <c:x val="0.41404358353510895"/>
          <c:y val="1.4084507042253521E-2"/>
          <c:w val="0.25181598062953997"/>
          <c:h val="8.9201877934272963E-2"/>
        </c:manualLayout>
      </c:layout>
      <c:spPr>
        <a:solidFill>
          <a:srgbClr val="FFFFFF"/>
        </a:solidFill>
        <a:ln w="3172">
          <a:solidFill>
            <a:srgbClr val="000000"/>
          </a:solidFill>
          <a:prstDash val="solid"/>
        </a:ln>
      </c:spPr>
      <c:txPr>
        <a:bodyPr/>
        <a:lstStyle/>
        <a:p>
          <a:pPr>
            <a:defRPr sz="754" b="0" i="0" u="none" strike="noStrike" baseline="0">
              <a:solidFill>
                <a:srgbClr val="000000"/>
              </a:solidFill>
              <a:latin typeface="宋体"/>
              <a:ea typeface="宋体"/>
              <a:cs typeface="宋体"/>
            </a:defRPr>
          </a:pPr>
          <a:endParaRPr lang="zh-CN"/>
        </a:p>
      </c:txPr>
    </c:legend>
    <c:plotVisOnly val="1"/>
    <c:dispBlanksAs val="gap"/>
  </c:chart>
  <c:spPr>
    <a:solidFill>
      <a:srgbClr val="FFFFFF"/>
    </a:solidFill>
    <a:ln w="3172">
      <a:solidFill>
        <a:srgbClr val="000000"/>
      </a:solidFill>
      <a:prstDash val="solid"/>
    </a:ln>
  </c:spPr>
  <c:txPr>
    <a:bodyPr/>
    <a:lstStyle/>
    <a:p>
      <a:pPr>
        <a:defRPr sz="824" b="0" i="0" u="none" strike="noStrike" baseline="0">
          <a:solidFill>
            <a:srgbClr val="000000"/>
          </a:solidFill>
          <a:latin typeface="宋体"/>
          <a:ea typeface="宋体"/>
          <a:cs typeface="宋体"/>
        </a:defRPr>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Sheet2!$A$2</c:f>
              <c:strCache>
                <c:ptCount val="1"/>
                <c:pt idx="0">
                  <c:v>国内电影票房（亿元）</c:v>
                </c:pt>
              </c:strCache>
            </c:strRef>
          </c:tx>
          <c:cat>
            <c:strRef>
              <c:f>Sheet2!$B$1:$O$1</c:f>
              <c:strCache>
                <c:ptCount val="14"/>
                <c:pt idx="0">
                  <c:v>2002</c:v>
                </c:pt>
                <c:pt idx="1">
                  <c:v>2003</c:v>
                </c:pt>
                <c:pt idx="2">
                  <c:v>2004</c:v>
                </c:pt>
                <c:pt idx="3">
                  <c:v>2005</c:v>
                </c:pt>
                <c:pt idx="4">
                  <c:v>2006</c:v>
                </c:pt>
                <c:pt idx="5">
                  <c:v>2007</c:v>
                </c:pt>
                <c:pt idx="6">
                  <c:v>2008</c:v>
                </c:pt>
                <c:pt idx="7">
                  <c:v>2009</c:v>
                </c:pt>
                <c:pt idx="8">
                  <c:v>2010</c:v>
                </c:pt>
                <c:pt idx="9">
                  <c:v>2011E</c:v>
                </c:pt>
                <c:pt idx="10">
                  <c:v>2012E</c:v>
                </c:pt>
                <c:pt idx="11">
                  <c:v>2013E</c:v>
                </c:pt>
                <c:pt idx="12">
                  <c:v>2014E</c:v>
                </c:pt>
                <c:pt idx="13">
                  <c:v>2015E</c:v>
                </c:pt>
              </c:strCache>
            </c:strRef>
          </c:cat>
          <c:val>
            <c:numRef>
              <c:f>Sheet2!$B$2:$O$2</c:f>
              <c:numCache>
                <c:formatCode>General</c:formatCode>
                <c:ptCount val="14"/>
                <c:pt idx="0">
                  <c:v>9</c:v>
                </c:pt>
                <c:pt idx="1">
                  <c:v>10</c:v>
                </c:pt>
                <c:pt idx="2">
                  <c:v>15.14</c:v>
                </c:pt>
                <c:pt idx="3">
                  <c:v>20.630000000000031</c:v>
                </c:pt>
                <c:pt idx="4">
                  <c:v>26.2</c:v>
                </c:pt>
                <c:pt idx="5">
                  <c:v>33.270000000000003</c:v>
                </c:pt>
                <c:pt idx="6">
                  <c:v>43.41</c:v>
                </c:pt>
                <c:pt idx="7">
                  <c:v>62.06</c:v>
                </c:pt>
                <c:pt idx="8">
                  <c:v>101.72</c:v>
                </c:pt>
                <c:pt idx="9">
                  <c:v>127.14999999999999</c:v>
                </c:pt>
                <c:pt idx="10" formatCode="0.00_ ">
                  <c:v>157.666</c:v>
                </c:pt>
                <c:pt idx="11" formatCode="0.00_ ">
                  <c:v>195.50584000000001</c:v>
                </c:pt>
                <c:pt idx="12" formatCode="0.00_ ">
                  <c:v>242.42724160000071</c:v>
                </c:pt>
                <c:pt idx="13" formatCode="0.00_ ">
                  <c:v>300.60977958400002</c:v>
                </c:pt>
              </c:numCache>
            </c:numRef>
          </c:val>
        </c:ser>
        <c:axId val="359305984"/>
        <c:axId val="359307520"/>
      </c:barChart>
      <c:catAx>
        <c:axId val="359305984"/>
        <c:scaling>
          <c:orientation val="minMax"/>
        </c:scaling>
        <c:axPos val="b"/>
        <c:tickLblPos val="nextTo"/>
        <c:txPr>
          <a:bodyPr/>
          <a:lstStyle/>
          <a:p>
            <a:pPr>
              <a:defRPr sz="1000" baseline="0"/>
            </a:pPr>
            <a:endParaRPr lang="zh-CN"/>
          </a:p>
        </c:txPr>
        <c:crossAx val="359307520"/>
        <c:crosses val="autoZero"/>
        <c:auto val="1"/>
        <c:lblAlgn val="ctr"/>
        <c:lblOffset val="100"/>
      </c:catAx>
      <c:valAx>
        <c:axId val="359307520"/>
        <c:scaling>
          <c:orientation val="minMax"/>
        </c:scaling>
        <c:axPos val="l"/>
        <c:majorGridlines>
          <c:spPr>
            <a:ln>
              <a:solidFill>
                <a:srgbClr val="4F81BD">
                  <a:alpha val="0"/>
                </a:srgbClr>
              </a:solidFill>
            </a:ln>
          </c:spPr>
        </c:majorGridlines>
        <c:numFmt formatCode="General" sourceLinked="1"/>
        <c:tickLblPos val="nextTo"/>
        <c:crossAx val="359305984"/>
        <c:crosses val="autoZero"/>
        <c:crossBetween val="between"/>
      </c:valAx>
      <c:spPr>
        <a:noFill/>
        <a:ln>
          <a:noFill/>
        </a:ln>
      </c:spPr>
    </c:plotArea>
    <c:legend>
      <c:legendPos val="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col"/>
        <c:grouping val="stacked"/>
        <c:ser>
          <c:idx val="0"/>
          <c:order val="0"/>
          <c:tx>
            <c:strRef>
              <c:f>Sheet4!$A$94</c:f>
              <c:strCache>
                <c:ptCount val="1"/>
                <c:pt idx="0">
                  <c:v>电视台电视剧交易额(亿元)</c:v>
                </c:pt>
              </c:strCache>
            </c:strRef>
          </c:tx>
          <c:cat>
            <c:strRef>
              <c:f>Sheet4!$B$93:$I$93</c:f>
              <c:strCache>
                <c:ptCount val="8"/>
                <c:pt idx="0">
                  <c:v>2009</c:v>
                </c:pt>
                <c:pt idx="1">
                  <c:v>2010</c:v>
                </c:pt>
                <c:pt idx="2">
                  <c:v>2011E</c:v>
                </c:pt>
                <c:pt idx="3">
                  <c:v>2012E</c:v>
                </c:pt>
                <c:pt idx="4">
                  <c:v>2013E</c:v>
                </c:pt>
                <c:pt idx="5">
                  <c:v>2014E</c:v>
                </c:pt>
                <c:pt idx="6">
                  <c:v>2015E</c:v>
                </c:pt>
                <c:pt idx="7">
                  <c:v>2016E</c:v>
                </c:pt>
              </c:strCache>
            </c:strRef>
          </c:cat>
          <c:val>
            <c:numRef>
              <c:f>Sheet4!$B$94:$I$94</c:f>
              <c:numCache>
                <c:formatCode>0.0_ </c:formatCode>
                <c:ptCount val="8"/>
                <c:pt idx="0">
                  <c:v>54.8</c:v>
                </c:pt>
                <c:pt idx="1">
                  <c:v>59.2</c:v>
                </c:pt>
                <c:pt idx="2">
                  <c:v>72</c:v>
                </c:pt>
                <c:pt idx="3">
                  <c:v>84.907000000000025</c:v>
                </c:pt>
                <c:pt idx="4">
                  <c:v>99.539999999999992</c:v>
                </c:pt>
                <c:pt idx="5">
                  <c:v>116.72337599999985</c:v>
                </c:pt>
                <c:pt idx="6">
                  <c:v>135.84725055000001</c:v>
                </c:pt>
                <c:pt idx="7">
                  <c:v>157.62866625000004</c:v>
                </c:pt>
              </c:numCache>
            </c:numRef>
          </c:val>
        </c:ser>
        <c:ser>
          <c:idx val="1"/>
          <c:order val="1"/>
          <c:tx>
            <c:strRef>
              <c:f>Sheet4!$A$95</c:f>
              <c:strCache>
                <c:ptCount val="1"/>
                <c:pt idx="0">
                  <c:v>视频网站电视剧交易额（亿元）</c:v>
                </c:pt>
              </c:strCache>
            </c:strRef>
          </c:tx>
          <c:spPr>
            <a:solidFill>
              <a:schemeClr val="tx2">
                <a:lumMod val="40000"/>
                <a:lumOff val="60000"/>
              </a:schemeClr>
            </a:solidFill>
          </c:spPr>
          <c:cat>
            <c:strRef>
              <c:f>Sheet4!$B$93:$I$93</c:f>
              <c:strCache>
                <c:ptCount val="8"/>
                <c:pt idx="0">
                  <c:v>2009</c:v>
                </c:pt>
                <c:pt idx="1">
                  <c:v>2010</c:v>
                </c:pt>
                <c:pt idx="2">
                  <c:v>2011E</c:v>
                </c:pt>
                <c:pt idx="3">
                  <c:v>2012E</c:v>
                </c:pt>
                <c:pt idx="4">
                  <c:v>2013E</c:v>
                </c:pt>
                <c:pt idx="5">
                  <c:v>2014E</c:v>
                </c:pt>
                <c:pt idx="6">
                  <c:v>2015E</c:v>
                </c:pt>
                <c:pt idx="7">
                  <c:v>2016E</c:v>
                </c:pt>
              </c:strCache>
            </c:strRef>
          </c:cat>
          <c:val>
            <c:numRef>
              <c:f>Sheet4!$B$95:$I$95</c:f>
              <c:numCache>
                <c:formatCode>0.0_ </c:formatCode>
                <c:ptCount val="8"/>
                <c:pt idx="0">
                  <c:v>1.9800000000000058</c:v>
                </c:pt>
                <c:pt idx="1">
                  <c:v>6.2</c:v>
                </c:pt>
                <c:pt idx="2">
                  <c:v>14</c:v>
                </c:pt>
                <c:pt idx="3">
                  <c:v>22.25</c:v>
                </c:pt>
                <c:pt idx="4">
                  <c:v>30</c:v>
                </c:pt>
                <c:pt idx="5">
                  <c:v>38</c:v>
                </c:pt>
                <c:pt idx="6">
                  <c:v>45.5</c:v>
                </c:pt>
                <c:pt idx="7">
                  <c:v>50.5</c:v>
                </c:pt>
              </c:numCache>
            </c:numRef>
          </c:val>
        </c:ser>
        <c:overlap val="100"/>
        <c:axId val="359314560"/>
        <c:axId val="359316096"/>
      </c:barChart>
      <c:catAx>
        <c:axId val="359314560"/>
        <c:scaling>
          <c:orientation val="minMax"/>
        </c:scaling>
        <c:axPos val="b"/>
        <c:tickLblPos val="nextTo"/>
        <c:crossAx val="359316096"/>
        <c:crosses val="autoZero"/>
        <c:auto val="1"/>
        <c:lblAlgn val="ctr"/>
        <c:lblOffset val="100"/>
      </c:catAx>
      <c:valAx>
        <c:axId val="359316096"/>
        <c:scaling>
          <c:orientation val="minMax"/>
        </c:scaling>
        <c:axPos val="l"/>
        <c:majorGridlines>
          <c:spPr>
            <a:ln>
              <a:solidFill>
                <a:srgbClr val="4F81BD">
                  <a:alpha val="0"/>
                </a:srgbClr>
              </a:solidFill>
            </a:ln>
          </c:spPr>
        </c:majorGridlines>
        <c:numFmt formatCode="0.0_ " sourceLinked="1"/>
        <c:tickLblPos val="nextTo"/>
        <c:crossAx val="359314560"/>
        <c:crosses val="autoZero"/>
        <c:crossBetween val="between"/>
      </c:valAx>
    </c:plotArea>
    <c:legend>
      <c:legendPos val="t"/>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0.0696</cdr:x>
      <cdr:y>0.01894</cdr:y>
    </cdr:from>
    <cdr:to>
      <cdr:x>0.10479</cdr:x>
      <cdr:y>0.08701</cdr:y>
    </cdr:to>
    <cdr:sp macro="" textlink="">
      <cdr:nvSpPr>
        <cdr:cNvPr id="253953" name="Text Box 1025"/>
        <cdr:cNvSpPr txBox="1">
          <a:spLocks xmlns:a="http://schemas.openxmlformats.org/drawingml/2006/main" noChangeArrowheads="1"/>
        </cdr:cNvSpPr>
      </cdr:nvSpPr>
      <cdr:spPr bwMode="auto">
        <a:xfrm xmlns:a="http://schemas.openxmlformats.org/drawingml/2006/main">
          <a:off x="299505" y="50800"/>
          <a:ext cx="149847" cy="17116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en-US" altLang="zh-CN" sz="1000" b="0" i="0" u="none" strike="noStrike" baseline="0">
              <a:solidFill>
                <a:srgbClr val="000000"/>
              </a:solidFill>
              <a:latin typeface="宋体"/>
              <a:ea typeface="宋体"/>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0.10849</cdr:x>
      <cdr:y>0.05617</cdr:y>
    </cdr:from>
    <cdr:to>
      <cdr:x>0.16536</cdr:x>
      <cdr:y>0.1325</cdr:y>
    </cdr:to>
    <cdr:sp macro="" textlink="">
      <cdr:nvSpPr>
        <cdr:cNvPr id="514049" name="Text Box 1025"/>
        <cdr:cNvSpPr txBox="1">
          <a:spLocks xmlns:a="http://schemas.openxmlformats.org/drawingml/2006/main" noChangeArrowheads="1"/>
        </cdr:cNvSpPr>
      </cdr:nvSpPr>
      <cdr:spPr bwMode="auto">
        <a:xfrm xmlns:a="http://schemas.openxmlformats.org/drawingml/2006/main">
          <a:off x="536380" y="137456"/>
          <a:ext cx="279539" cy="18249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en-US" sz="900" b="0" i="0" u="none" strike="noStrike" baseline="0">
              <a:solidFill>
                <a:srgbClr val="000000"/>
              </a:solidFill>
              <a:latin typeface="宋体"/>
              <a:ea typeface="宋体"/>
            </a:rPr>
            <a:t>ROE</a:t>
          </a:r>
        </a:p>
      </cdr:txBody>
    </cdr:sp>
  </cdr:relSizeAnchor>
  <cdr:relSizeAnchor xmlns:cdr="http://schemas.openxmlformats.org/drawingml/2006/chartDrawing">
    <cdr:from>
      <cdr:x>0.92853</cdr:x>
      <cdr:y>0.74388</cdr:y>
    </cdr:from>
    <cdr:to>
      <cdr:x>0.97119</cdr:x>
      <cdr:y>0.82021</cdr:y>
    </cdr:to>
    <cdr:sp macro="" textlink="">
      <cdr:nvSpPr>
        <cdr:cNvPr id="514050" name="Text Box 1026"/>
        <cdr:cNvSpPr txBox="1">
          <a:spLocks xmlns:a="http://schemas.openxmlformats.org/drawingml/2006/main" noChangeArrowheads="1"/>
        </cdr:cNvSpPr>
      </cdr:nvSpPr>
      <cdr:spPr bwMode="auto">
        <a:xfrm xmlns:a="http://schemas.openxmlformats.org/drawingml/2006/main">
          <a:off x="4566812" y="1781626"/>
          <a:ext cx="209655" cy="18249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en-US" sz="900" b="0" i="0" u="none" strike="noStrike" baseline="0">
              <a:solidFill>
                <a:srgbClr val="000000"/>
              </a:solidFill>
              <a:latin typeface="宋体"/>
              <a:ea typeface="宋体"/>
            </a:rPr>
            <a:t>PB</a:t>
          </a:r>
        </a:p>
      </cdr:txBody>
    </cdr:sp>
  </cdr:relSizeAnchor>
</c:userShapes>
</file>

<file path=word/drawings/drawing3.xml><?xml version="1.0" encoding="utf-8"?>
<c:userShapes xmlns:c="http://schemas.openxmlformats.org/drawingml/2006/chart">
  <cdr:relSizeAnchor xmlns:cdr="http://schemas.openxmlformats.org/drawingml/2006/chartDrawing">
    <cdr:from>
      <cdr:x>0.23475</cdr:x>
      <cdr:y>0.145</cdr:y>
    </cdr:from>
    <cdr:to>
      <cdr:x>0.46725</cdr:x>
      <cdr:y>0.399</cdr:y>
    </cdr:to>
    <cdr:sp macro="" textlink="">
      <cdr:nvSpPr>
        <cdr:cNvPr id="1025" name="Line 1"/>
        <cdr:cNvSpPr>
          <a:spLocks xmlns:a="http://schemas.openxmlformats.org/drawingml/2006/main" noChangeShapeType="1"/>
        </cdr:cNvSpPr>
      </cdr:nvSpPr>
      <cdr:spPr bwMode="auto">
        <a:xfrm xmlns:a="http://schemas.openxmlformats.org/drawingml/2006/main">
          <a:off x="1243213" y="256889"/>
          <a:ext cx="1231296" cy="449999"/>
        </a:xfrm>
        <a:prstGeom xmlns:a="http://schemas.openxmlformats.org/drawingml/2006/main" prst="line">
          <a:avLst/>
        </a:prstGeom>
        <a:noFill xmlns:a="http://schemas.openxmlformats.org/drawingml/2006/main"/>
        <a:ln xmlns:a="http://schemas.openxmlformats.org/drawingml/2006/main" w="12700">
          <a:solidFill>
            <a:srgbClr val="000000"/>
          </a:solidFill>
          <a:round/>
          <a:headEnd/>
          <a:tailEnd type="triangle" w="med" len="med"/>
        </a:ln>
      </cdr:spPr>
    </cdr:sp>
  </cdr:relSizeAnchor>
  <cdr:relSizeAnchor xmlns:cdr="http://schemas.openxmlformats.org/drawingml/2006/chartDrawing">
    <cdr:from>
      <cdr:x>0.2245</cdr:x>
      <cdr:y>0.19175</cdr:y>
    </cdr:from>
    <cdr:to>
      <cdr:x>0.2245</cdr:x>
      <cdr:y>0.8255</cdr:y>
    </cdr:to>
    <cdr:sp macro="" textlink="">
      <cdr:nvSpPr>
        <cdr:cNvPr id="1029" name="Line 5"/>
        <cdr:cNvSpPr>
          <a:spLocks xmlns:a="http://schemas.openxmlformats.org/drawingml/2006/main" noChangeShapeType="1"/>
        </cdr:cNvSpPr>
      </cdr:nvSpPr>
      <cdr:spPr bwMode="auto">
        <a:xfrm xmlns:a="http://schemas.openxmlformats.org/drawingml/2006/main">
          <a:off x="1188930" y="339714"/>
          <a:ext cx="0" cy="1122783"/>
        </a:xfrm>
        <a:prstGeom xmlns:a="http://schemas.openxmlformats.org/drawingml/2006/main" prst="line">
          <a:avLst/>
        </a:prstGeom>
        <a:noFill xmlns:a="http://schemas.openxmlformats.org/drawingml/2006/main"/>
        <a:ln xmlns:a="http://schemas.openxmlformats.org/drawingml/2006/main" w="9525">
          <a:solidFill>
            <a:srgbClr val="000000"/>
          </a:solidFill>
          <a:prstDash val="dash"/>
          <a:round/>
          <a:headEnd/>
          <a:tailEnd/>
        </a:ln>
      </cdr:spPr>
    </cdr:sp>
  </cdr:relSizeAnchor>
  <cdr:relSizeAnchor xmlns:cdr="http://schemas.openxmlformats.org/drawingml/2006/chartDrawing">
    <cdr:from>
      <cdr:x>0.75375</cdr:x>
      <cdr:y>0.19175</cdr:y>
    </cdr:from>
    <cdr:to>
      <cdr:x>0.897</cdr:x>
      <cdr:y>0.30325</cdr:y>
    </cdr:to>
    <cdr:sp macro="" textlink="">
      <cdr:nvSpPr>
        <cdr:cNvPr id="1030" name="Freeform 6"/>
        <cdr:cNvSpPr>
          <a:spLocks xmlns:a="http://schemas.openxmlformats.org/drawingml/2006/main"/>
        </cdr:cNvSpPr>
      </cdr:nvSpPr>
      <cdr:spPr bwMode="auto">
        <a:xfrm xmlns:a="http://schemas.openxmlformats.org/drawingml/2006/main">
          <a:off x="3991785" y="339714"/>
          <a:ext cx="758637" cy="197539"/>
        </a:xfrm>
        <a:custGeom xmlns:a="http://schemas.openxmlformats.org/drawingml/2006/main">
          <a:avLst/>
          <a:gdLst/>
          <a:ahLst/>
          <a:cxnLst>
            <a:cxn ang="0">
              <a:pos x="0" y="0"/>
            </a:cxn>
            <a:cxn ang="0">
              <a:pos x="202315" y="154573"/>
            </a:cxn>
            <a:cxn ang="0">
              <a:pos x="345126" y="154573"/>
            </a:cxn>
            <a:cxn ang="0">
              <a:pos x="535541" y="59451"/>
            </a:cxn>
            <a:cxn ang="0">
              <a:pos x="749757" y="202134"/>
            </a:cxn>
          </a:cxnLst>
          <a:rect l="0" t="0" r="r" b="b"/>
          <a:pathLst>
            <a:path w="749757" h="202134">
              <a:moveTo>
                <a:pt x="0" y="0"/>
              </a:moveTo>
              <a:cubicBezTo>
                <a:pt x="72397" y="64405"/>
                <a:pt x="144794" y="128811"/>
                <a:pt x="202315" y="154573"/>
              </a:cubicBezTo>
              <a:cubicBezTo>
                <a:pt x="259836" y="180335"/>
                <a:pt x="289588" y="170427"/>
                <a:pt x="345126" y="154573"/>
              </a:cubicBezTo>
              <a:cubicBezTo>
                <a:pt x="400664" y="138719"/>
                <a:pt x="468103" y="51524"/>
                <a:pt x="535541" y="59451"/>
              </a:cubicBezTo>
              <a:cubicBezTo>
                <a:pt x="602979" y="67378"/>
                <a:pt x="676368" y="134756"/>
                <a:pt x="749757" y="202134"/>
              </a:cubicBezTo>
            </a:path>
          </a:pathLst>
        </a:custGeom>
        <a:noFill xmlns:a="http://schemas.openxmlformats.org/drawingml/2006/main"/>
        <a:ln xmlns:a="http://schemas.openxmlformats.org/drawingml/2006/main" w="9525" cap="flat" cmpd="sng">
          <a:solidFill>
            <a:srgbClr val="000000"/>
          </a:solidFill>
          <a:prstDash val="dash"/>
          <a:round/>
          <a:headEnd type="none" w="med" len="med"/>
          <a:tailEnd type="triangle" w="med" len="med"/>
        </a:ln>
      </cdr:spPr>
    </cdr:sp>
  </cdr:relSizeAnchor>
</c:userShapes>
</file>

<file path=word/drawings/drawing4.xml><?xml version="1.0" encoding="utf-8"?>
<c:userShapes xmlns:c="http://schemas.openxmlformats.org/drawingml/2006/chart">
  <cdr:relSizeAnchor xmlns:cdr="http://schemas.openxmlformats.org/drawingml/2006/chartDrawing">
    <cdr:from>
      <cdr:x>0.06875</cdr:x>
      <cdr:y>0.4055</cdr:y>
    </cdr:from>
    <cdr:to>
      <cdr:x>0.54325</cdr:x>
      <cdr:y>0.70625</cdr:y>
    </cdr:to>
    <cdr:sp macro="" textlink="">
      <cdr:nvSpPr>
        <cdr:cNvPr id="1026" name="Line 2"/>
        <cdr:cNvSpPr>
          <a:spLocks xmlns:a="http://schemas.openxmlformats.org/drawingml/2006/main" noChangeShapeType="1"/>
        </cdr:cNvSpPr>
      </cdr:nvSpPr>
      <cdr:spPr bwMode="auto">
        <a:xfrm xmlns:a="http://schemas.openxmlformats.org/drawingml/2006/main" flipV="1">
          <a:off x="373916" y="741578"/>
          <a:ext cx="2580699" cy="550012"/>
        </a:xfrm>
        <a:prstGeom xmlns:a="http://schemas.openxmlformats.org/drawingml/2006/main" prst="line">
          <a:avLst/>
        </a:prstGeom>
        <a:noFill xmlns:a="http://schemas.openxmlformats.org/drawingml/2006/main"/>
        <a:ln xmlns:a="http://schemas.openxmlformats.org/drawingml/2006/main" w="9525">
          <a:solidFill>
            <a:srgbClr val="000000"/>
          </a:solidFill>
          <a:prstDash val="dash"/>
          <a:round/>
          <a:headEnd/>
          <a:tailEnd type="triangle" w="med" len="med"/>
        </a:ln>
      </cdr:spPr>
    </cdr:sp>
  </cdr:relSizeAnchor>
  <cdr:relSizeAnchor xmlns:cdr="http://schemas.openxmlformats.org/drawingml/2006/chartDrawing">
    <cdr:from>
      <cdr:x>0.54325</cdr:x>
      <cdr:y>0.4055</cdr:y>
    </cdr:from>
    <cdr:to>
      <cdr:x>0.6175</cdr:x>
      <cdr:y>0.52725</cdr:y>
    </cdr:to>
    <cdr:sp macro="" textlink="">
      <cdr:nvSpPr>
        <cdr:cNvPr id="1027" name="Line 3"/>
        <cdr:cNvSpPr>
          <a:spLocks xmlns:a="http://schemas.openxmlformats.org/drawingml/2006/main" noChangeShapeType="1"/>
        </cdr:cNvSpPr>
      </cdr:nvSpPr>
      <cdr:spPr bwMode="auto">
        <a:xfrm xmlns:a="http://schemas.openxmlformats.org/drawingml/2006/main">
          <a:off x="2954615" y="741578"/>
          <a:ext cx="403829" cy="222657"/>
        </a:xfrm>
        <a:prstGeom xmlns:a="http://schemas.openxmlformats.org/drawingml/2006/main" prst="line">
          <a:avLst/>
        </a:prstGeom>
        <a:noFill xmlns:a="http://schemas.openxmlformats.org/drawingml/2006/main"/>
        <a:ln xmlns:a="http://schemas.openxmlformats.org/drawingml/2006/main" w="9525">
          <a:solidFill>
            <a:srgbClr val="000000"/>
          </a:solidFill>
          <a:prstDash val="dash"/>
          <a:round/>
          <a:headEnd/>
          <a:tailEnd type="triangle" w="med" len="med"/>
        </a:ln>
      </cdr:spPr>
    </cdr:sp>
  </cdr:relSizeAnchor>
  <cdr:relSizeAnchor xmlns:cdr="http://schemas.openxmlformats.org/drawingml/2006/chartDrawing">
    <cdr:from>
      <cdr:x>0.6175</cdr:x>
      <cdr:y>0.24775</cdr:y>
    </cdr:from>
    <cdr:to>
      <cdr:x>0.68925</cdr:x>
      <cdr:y>0.52725</cdr:y>
    </cdr:to>
    <cdr:sp macro="" textlink="">
      <cdr:nvSpPr>
        <cdr:cNvPr id="1028" name="Line 4"/>
        <cdr:cNvSpPr>
          <a:spLocks xmlns:a="http://schemas.openxmlformats.org/drawingml/2006/main" noChangeShapeType="1"/>
        </cdr:cNvSpPr>
      </cdr:nvSpPr>
      <cdr:spPr bwMode="auto">
        <a:xfrm xmlns:a="http://schemas.openxmlformats.org/drawingml/2006/main" flipV="1">
          <a:off x="3358444" y="453085"/>
          <a:ext cx="390232" cy="511150"/>
        </a:xfrm>
        <a:prstGeom xmlns:a="http://schemas.openxmlformats.org/drawingml/2006/main" prst="line">
          <a:avLst/>
        </a:prstGeom>
        <a:noFill xmlns:a="http://schemas.openxmlformats.org/drawingml/2006/main"/>
        <a:ln xmlns:a="http://schemas.openxmlformats.org/drawingml/2006/main" w="9525">
          <a:solidFill>
            <a:srgbClr val="000000"/>
          </a:solidFill>
          <a:prstDash val="dash"/>
          <a:round/>
          <a:headEnd/>
          <a:tailEnd type="triangle" w="med" len="med"/>
        </a:ln>
      </cdr:spPr>
    </cdr:sp>
  </cdr:relSizeAnchor>
  <cdr:relSizeAnchor xmlns:cdr="http://schemas.openxmlformats.org/drawingml/2006/chartDrawing">
    <cdr:from>
      <cdr:x>0.68925</cdr:x>
      <cdr:y>0.24775</cdr:y>
    </cdr:from>
    <cdr:to>
      <cdr:x>0.76175</cdr:x>
      <cdr:y>0.3375</cdr:y>
    </cdr:to>
    <cdr:sp macro="" textlink="">
      <cdr:nvSpPr>
        <cdr:cNvPr id="1029" name="Line 5"/>
        <cdr:cNvSpPr>
          <a:spLocks xmlns:a="http://schemas.openxmlformats.org/drawingml/2006/main" noChangeShapeType="1"/>
        </cdr:cNvSpPr>
      </cdr:nvSpPr>
      <cdr:spPr bwMode="auto">
        <a:xfrm xmlns:a="http://schemas.openxmlformats.org/drawingml/2006/main">
          <a:off x="3748676" y="453085"/>
          <a:ext cx="394311" cy="164135"/>
        </a:xfrm>
        <a:prstGeom xmlns:a="http://schemas.openxmlformats.org/drawingml/2006/main" prst="line">
          <a:avLst/>
        </a:prstGeom>
        <a:noFill xmlns:a="http://schemas.openxmlformats.org/drawingml/2006/main"/>
        <a:ln xmlns:a="http://schemas.openxmlformats.org/drawingml/2006/main" w="9525">
          <a:solidFill>
            <a:srgbClr val="000000"/>
          </a:solidFill>
          <a:prstDash val="dash"/>
          <a:round/>
          <a:headEnd/>
          <a:tailEnd type="triangle" w="med" len="med"/>
        </a:ln>
      </cdr:spPr>
    </cdr:sp>
  </cdr:relSizeAnchor>
  <cdr:relSizeAnchor xmlns:cdr="http://schemas.openxmlformats.org/drawingml/2006/chartDrawing">
    <cdr:from>
      <cdr:x>0.76175</cdr:x>
      <cdr:y>0.18425</cdr:y>
    </cdr:from>
    <cdr:to>
      <cdr:x>0.8075</cdr:x>
      <cdr:y>0.3375</cdr:y>
    </cdr:to>
    <cdr:sp macro="" textlink="">
      <cdr:nvSpPr>
        <cdr:cNvPr id="1030" name="Line 6"/>
        <cdr:cNvSpPr>
          <a:spLocks xmlns:a="http://schemas.openxmlformats.org/drawingml/2006/main" noChangeShapeType="1"/>
        </cdr:cNvSpPr>
      </cdr:nvSpPr>
      <cdr:spPr bwMode="auto">
        <a:xfrm xmlns:a="http://schemas.openxmlformats.org/drawingml/2006/main" flipV="1">
          <a:off x="4142987" y="336956"/>
          <a:ext cx="248824" cy="280264"/>
        </a:xfrm>
        <a:prstGeom xmlns:a="http://schemas.openxmlformats.org/drawingml/2006/main" prst="line">
          <a:avLst/>
        </a:prstGeom>
        <a:noFill xmlns:a="http://schemas.openxmlformats.org/drawingml/2006/main"/>
        <a:ln xmlns:a="http://schemas.openxmlformats.org/drawingml/2006/main" w="9525">
          <a:solidFill>
            <a:srgbClr val="000000"/>
          </a:solidFill>
          <a:prstDash val="dash"/>
          <a:round/>
          <a:headEnd/>
          <a:tailEnd type="triangle" w="med" len="med"/>
        </a:ln>
      </cdr:spPr>
    </cdr:sp>
  </cdr:relSizeAnchor>
  <cdr:relSizeAnchor xmlns:cdr="http://schemas.openxmlformats.org/drawingml/2006/chartDrawing">
    <cdr:from>
      <cdr:x>0.8075</cdr:x>
      <cdr:y>0.18425</cdr:y>
    </cdr:from>
    <cdr:to>
      <cdr:x>0.89475</cdr:x>
      <cdr:y>0.28975</cdr:y>
    </cdr:to>
    <cdr:sp macro="" textlink="">
      <cdr:nvSpPr>
        <cdr:cNvPr id="1031" name="Line 7"/>
        <cdr:cNvSpPr>
          <a:spLocks xmlns:a="http://schemas.openxmlformats.org/drawingml/2006/main" noChangeShapeType="1"/>
        </cdr:cNvSpPr>
      </cdr:nvSpPr>
      <cdr:spPr bwMode="auto">
        <a:xfrm xmlns:a="http://schemas.openxmlformats.org/drawingml/2006/main">
          <a:off x="4391811" y="336956"/>
          <a:ext cx="474533" cy="192939"/>
        </a:xfrm>
        <a:prstGeom xmlns:a="http://schemas.openxmlformats.org/drawingml/2006/main" prst="line">
          <a:avLst/>
        </a:prstGeom>
        <a:noFill xmlns:a="http://schemas.openxmlformats.org/drawingml/2006/main"/>
        <a:ln xmlns:a="http://schemas.openxmlformats.org/drawingml/2006/main" w="9525">
          <a:solidFill>
            <a:srgbClr val="000000"/>
          </a:solidFill>
          <a:prstDash val="dash"/>
          <a:round/>
          <a:headEnd/>
          <a:tailEnd type="triangle" w="med" len="med"/>
        </a:ln>
      </cdr:spPr>
    </cdr:sp>
  </cdr:relSizeAnchor>
  <cdr:relSizeAnchor xmlns:cdr="http://schemas.openxmlformats.org/drawingml/2006/chartDrawing">
    <cdr:from>
      <cdr:x>0.89475</cdr:x>
      <cdr:y>0.28975</cdr:y>
    </cdr:from>
    <cdr:to>
      <cdr:x>0.969</cdr:x>
      <cdr:y>0.28975</cdr:y>
    </cdr:to>
    <cdr:sp macro="" textlink="">
      <cdr:nvSpPr>
        <cdr:cNvPr id="1032" name="Line 8"/>
        <cdr:cNvSpPr>
          <a:spLocks xmlns:a="http://schemas.openxmlformats.org/drawingml/2006/main" noChangeShapeType="1"/>
        </cdr:cNvSpPr>
      </cdr:nvSpPr>
      <cdr:spPr bwMode="auto">
        <a:xfrm xmlns:a="http://schemas.openxmlformats.org/drawingml/2006/main">
          <a:off x="4866344" y="529895"/>
          <a:ext cx="403829" cy="0"/>
        </a:xfrm>
        <a:prstGeom xmlns:a="http://schemas.openxmlformats.org/drawingml/2006/main" prst="line">
          <a:avLst/>
        </a:prstGeom>
        <a:noFill xmlns:a="http://schemas.openxmlformats.org/drawingml/2006/main"/>
        <a:ln xmlns:a="http://schemas.openxmlformats.org/drawingml/2006/main" w="9525">
          <a:solidFill>
            <a:srgbClr val="000000"/>
          </a:solidFill>
          <a:prstDash val="dash"/>
          <a:round/>
          <a:headEnd/>
          <a:tailEnd type="triangle" w="med" len="med"/>
        </a:l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CB709-71C7-4342-A871-BCEB54B57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67</Pages>
  <Words>8584</Words>
  <Characters>48931</Characters>
  <Application>Microsoft Office Word</Application>
  <DocSecurity>0</DocSecurity>
  <Lines>407</Lines>
  <Paragraphs>114</Paragraphs>
  <ScaleCrop>false</ScaleCrop>
  <Company>hsfund</Company>
  <LinksUpToDate>false</LinksUpToDate>
  <CharactersWithSpaces>57401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一、宏观经济状况及预测</dc:title>
  <dc:subject/>
  <dc:creator>huzg</dc:creator>
  <cp:keywords/>
  <dc:description/>
  <cp:lastModifiedBy>wein</cp:lastModifiedBy>
  <cp:revision>4</cp:revision>
  <cp:lastPrinted>2012-01-06T06:30:00Z</cp:lastPrinted>
  <dcterms:created xsi:type="dcterms:W3CDTF">2012-02-06T05:58:00Z</dcterms:created>
  <dcterms:modified xsi:type="dcterms:W3CDTF">2012-02-10T08:59:00Z</dcterms:modified>
</cp:coreProperties>
</file>